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Integrated Team Manager</w:t>
            </w:r>
          </w:p>
        </w:tc>
      </w:tr>
      <w:tr>
        <w:trPr>
          <w:trHeight w:val="675" w:hRule="atLeast"/>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Children’s Services</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Education, Skills and Early Years</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10</w:t>
            </w:r>
          </w:p>
          <w:p>
            <w:pPr>
              <w:pStyle w:val="Header"/>
              <w:tabs>
                <w:tab w:val="clear" w:pos="4153"/>
                <w:tab w:val="clear" w:pos="8306"/>
              </w:tabs>
              <w:rPr>
                <w:rFonts w:cs="Arial"/>
                <w:szCs w:val="22"/>
              </w:rPr>
            </w:pPr>
            <w:r>
              <w:rPr>
                <w:rFonts w:cs="Arial"/>
                <w:szCs w:val="22"/>
              </w:rPr>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11214</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rHeight w:val="721" w:hRule="atLeast"/>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shd w:fill="FFFFFF" w:val="clear"/>
              </w:rPr>
            </w:pPr>
            <w:r>
              <w:rPr>
                <w:rFonts w:cs="Arial"/>
                <w:sz w:val="22"/>
                <w:szCs w:val="22"/>
                <w:shd w:fill="FFFFFF" w:val="clear"/>
              </w:rPr>
              <w:t>The post holder will manage and provide leadership to implement the Best Start in Life through Oldham’s Family Hub offer and early years educational settings.</w:t>
            </w:r>
          </w:p>
          <w:p>
            <w:pPr>
              <w:pStyle w:val="Normal"/>
              <w:rPr>
                <w:rFonts w:cs="Arial"/>
                <w:sz w:val="22"/>
                <w:szCs w:val="22"/>
                <w:shd w:fill="FFFFFF" w:val="clear"/>
              </w:rPr>
            </w:pPr>
            <w:r>
              <w:rPr>
                <w:rFonts w:cs="Arial"/>
                <w:sz w:val="22"/>
                <w:szCs w:val="22"/>
                <w:shd w:fill="FFFFFF" w:val="clear"/>
              </w:rPr>
            </w:r>
          </w:p>
          <w:p>
            <w:pPr>
              <w:pStyle w:val="Normal"/>
              <w:rPr>
                <w:rFonts w:cs="Arial"/>
                <w:sz w:val="22"/>
                <w:szCs w:val="22"/>
                <w:shd w:fill="FFFFFF" w:val="clear"/>
              </w:rPr>
            </w:pPr>
            <w:r>
              <w:rPr>
                <w:rFonts w:cs="Arial"/>
                <w:sz w:val="22"/>
                <w:szCs w:val="22"/>
                <w:shd w:fill="FFFFFF" w:val="clear"/>
              </w:rPr>
              <w:t xml:space="preserve">Lead and be responsible for a multi-disciplinary integrated team delivering the local implementation of the Best Start for Life plan to improve the Early Years Foundation Stage Good Level of Development for all children in line with the statutory target set by DfE. </w:t>
            </w:r>
          </w:p>
          <w:p>
            <w:pPr>
              <w:pStyle w:val="Normal"/>
              <w:rPr>
                <w:rFonts w:cs="Arial"/>
                <w:sz w:val="22"/>
                <w:szCs w:val="22"/>
                <w:shd w:fill="FFFFFF" w:val="clear"/>
              </w:rPr>
            </w:pPr>
            <w:r>
              <w:rPr>
                <w:rFonts w:cs="Arial"/>
                <w:sz w:val="22"/>
                <w:szCs w:val="22"/>
                <w:shd w:fill="FFFFFF" w:val="clear"/>
              </w:rPr>
            </w:r>
          </w:p>
          <w:p>
            <w:pPr>
              <w:pStyle w:val="Normal"/>
              <w:rPr>
                <w:rFonts w:cs="Arial"/>
                <w:bCs/>
                <w:sz w:val="22"/>
                <w:szCs w:val="22"/>
              </w:rPr>
            </w:pPr>
            <w:r>
              <w:rPr>
                <w:rFonts w:cs="Arial"/>
                <w:bCs/>
                <w:sz w:val="22"/>
                <w:szCs w:val="22"/>
              </w:rPr>
              <w:t>Bring together early family support and intervention delivered through Family Hubs by a variety of people including, children, young people and their families, Early help, schools and early years settings, health, housing, police, district teams and local voluntary, community, faith and community enterprise (VCFSE) service providers.</w:t>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rHeight w:val="3689" w:hRule="atLeast"/>
        </w:trPr>
        <w:tc>
          <w:tcPr>
            <w:tcW w:w="10348" w:type="dxa"/>
            <w:tcBorders>
              <w:top w:val="single" w:sz="4" w:space="0" w:color="000000"/>
              <w:left w:val="single" w:sz="4" w:space="0" w:color="000000"/>
              <w:bottom w:val="single" w:sz="4" w:space="0" w:color="000000"/>
              <w:right w:val="single" w:sz="4" w:space="0" w:color="000000"/>
            </w:tcBorders>
          </w:tcPr>
          <w:p>
            <w:pPr>
              <w:pStyle w:val="paragraph"/>
              <w:numPr>
                <w:ilvl w:val="0"/>
                <w:numId w:val="3"/>
              </w:numPr>
              <w:spacing w:before="0" w:after="0"/>
              <w:textAlignment w:val="baseline"/>
              <w:rPr/>
            </w:pPr>
            <w:r>
              <w:rPr>
                <w:rFonts w:cs="Arial" w:ascii="Arial" w:hAnsi="Arial"/>
                <w:sz w:val="22"/>
                <w:szCs w:val="22"/>
              </w:rPr>
              <w:t>Support Early Years and Family Hubs Leaders to deliver the Best Start for Life Strategy, including alignment with other borough strategic plans including Family First Partnership and the Ten Year Health Plan.</w:t>
            </w:r>
          </w:p>
          <w:p>
            <w:pPr>
              <w:pStyle w:val="paragraph"/>
              <w:spacing w:before="0" w:after="0"/>
              <w:ind w:left="360" w:right="0"/>
              <w:textAlignment w:val="baseline"/>
              <w:rPr>
                <w:rFonts w:ascii="Arial" w:hAnsi="Arial" w:cs="Arial"/>
                <w:sz w:val="22"/>
                <w:szCs w:val="22"/>
              </w:rPr>
            </w:pPr>
            <w:r>
              <w:rPr>
                <w:rFonts w:cs="Arial" w:ascii="Arial" w:hAnsi="Arial"/>
                <w:sz w:val="22"/>
                <w:szCs w:val="22"/>
              </w:rPr>
            </w:r>
          </w:p>
          <w:p>
            <w:pPr>
              <w:pStyle w:val="paragraph"/>
              <w:numPr>
                <w:ilvl w:val="0"/>
                <w:numId w:val="3"/>
              </w:numPr>
              <w:spacing w:before="0" w:after="0"/>
              <w:textAlignment w:val="baseline"/>
              <w:rPr/>
            </w:pPr>
            <w:r>
              <w:rPr>
                <w:rFonts w:cs="Arial" w:ascii="Arial" w:hAnsi="Arial"/>
                <w:sz w:val="22"/>
                <w:szCs w:val="22"/>
              </w:rPr>
              <w:t xml:space="preserve">Lead integrated working across teams aligned to districts to ensure the needs of children and families are met. </w:t>
            </w:r>
          </w:p>
          <w:p>
            <w:pPr>
              <w:pStyle w:val="Normal"/>
              <w:rPr>
                <w:rFonts w:cs="Arial"/>
                <w:color w:val="FF0000"/>
              </w:rPr>
            </w:pPr>
            <w:r>
              <w:rPr>
                <w:rFonts w:cs="Arial"/>
                <w:color w:val="FF0000"/>
              </w:rPr>
            </w:r>
          </w:p>
          <w:p>
            <w:pPr>
              <w:pStyle w:val="paragraph"/>
              <w:numPr>
                <w:ilvl w:val="0"/>
                <w:numId w:val="3"/>
              </w:numPr>
              <w:spacing w:before="0" w:after="0"/>
              <w:textAlignment w:val="baseline"/>
              <w:rPr/>
            </w:pPr>
            <w:r>
              <w:rPr>
                <w:rFonts w:cs="Arial" w:ascii="Arial" w:hAnsi="Arial"/>
                <w:sz w:val="22"/>
                <w:szCs w:val="22"/>
              </w:rPr>
              <w:t xml:space="preserve">Provide specialist knowledge, advice, guidance and support to lead practice development including, oversight of data, standards of practice and operating procedures and self-assessments to support service improvement, internal and external inspections.  </w:t>
            </w:r>
          </w:p>
          <w:p>
            <w:pPr>
              <w:pStyle w:val="Normal"/>
              <w:ind w:left="360" w:right="0"/>
              <w:rPr>
                <w:rFonts w:cs="Arial"/>
              </w:rPr>
            </w:pPr>
            <w:r>
              <w:rPr>
                <w:rFonts w:cs="Arial"/>
              </w:rPr>
            </w:r>
          </w:p>
          <w:p>
            <w:pPr>
              <w:pStyle w:val="paragraph"/>
              <w:numPr>
                <w:ilvl w:val="0"/>
                <w:numId w:val="3"/>
              </w:numPr>
              <w:spacing w:before="0" w:after="0"/>
              <w:textAlignment w:val="baseline"/>
              <w:rPr>
                <w:rFonts w:ascii="Arial" w:hAnsi="Arial" w:cs="Arial"/>
                <w:sz w:val="22"/>
                <w:szCs w:val="22"/>
              </w:rPr>
            </w:pPr>
            <w:r>
              <w:rPr>
                <w:rFonts w:cs="Arial" w:ascii="Arial" w:hAnsi="Arial"/>
                <w:sz w:val="22"/>
                <w:szCs w:val="22"/>
              </w:rPr>
              <w:t>Lead a proactive approach to early identification of children to ensure that the right support is provided at the earliest opportunity to enable them to achieve their potential and support effective transitions.</w:t>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r>
          </w:p>
        </w:tc>
        <w:tc>
          <w:tcPr>
            <w:tcW w:w="9917" w:type="dxa"/>
            <w:tcBorders>
              <w:top w:val="single" w:sz="4" w:space="0" w:color="000000"/>
              <w:right w:val="single" w:sz="4" w:space="0" w:color="000000"/>
            </w:tcBorders>
          </w:tcPr>
          <w:p>
            <w:pPr>
              <w:pStyle w:val="Normal"/>
              <w:snapToGrid w:val="false"/>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Leadership</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Lead on the development, implementation and evaluation of specific projects, programmes and initiatives related to Best Start for Life, Families First Partnership, emerging national SEND reforms and other local and national priorities for children, young people and their families. Drive service improvement and system change through the use of performance intelligence, needs analysis and outcome data.</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Develop strong governance frameworks with responsibility for proposing and implementing standards, policies, protocols, operating procedures and a programme of staff development and training.</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Provide strategic leadership, supervision, performance management and professional development for a multi-disciplinary workforce of 14 staff, ensuring high-quality practice, workforce capability and service capacity to deliver borough-wide priorities relating to Early Years, SEND, inclusion and family support.</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Act as the borough-wide specialist lead for Early Years SEND and inclusion, providing strategic leadership, expert consultation and senior decision-making across Family Hubs, Early Years providers and partner agencies. As the principal escalation point for complex SEND cases, provide expert guidance on assessment pathways, inclusion arrangements, intervention planning, specialist support and statutory processes, whilst influencing borough-wide strategy and working with Local Authority and health leaders to shape future SEND policy, practice and service transformation.</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Lead, develop and co-ordinate community-based programmes including the school and PVI sector with programmes of support which respond to the learning and development needs of early years children, staff within early years settings and attending childminder settings.</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Work as part of the Early Years and Family Hubs management team to improve outcomes for children across districts alongside health and social care partners.</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rFonts w:cs="Arial"/>
                <w:sz w:val="22"/>
                <w:szCs w:val="22"/>
              </w:rPr>
            </w:pPr>
            <w:r>
              <w:rPr>
                <w:rFonts w:cs="Arial"/>
                <w:sz w:val="22"/>
                <w:szCs w:val="22"/>
              </w:rPr>
              <w:t>Lead and support staff to manage increasingly complex SEND and inclusion caseloads, providing expert advice, coaching and direction in situations involving parental challenge, conflict resolution, multi-agency disagreement and barriers to securing appropriate support for children and families.</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Lead co-production of systems to increase opportunities for participation and engagement, enabling practitioners to influence and shape support, advice and guidance. Build positive relationships with Early Years practitioners and SENDCos to support delivery of an inclusive curriculum in line with statutory requirements.</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Lead cross-system working to identify early developmental concerns across Oldham, ensuring cohesive and timely interventions are implemented to improve outcomes for children.</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Be responsible for implementation of assessments, interventions, allocations and caseload monitoring to deliver effective support to children and families, identifying learning and development needs within the workforce as part of the performance improvement cycle.</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Strategic Development</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Ensure high-quality, evidence-based practice and interventions are in place, ensuring the service provides both support and challenge through robust quality assurance processes.</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rFonts w:cs="Arial"/>
                <w:sz w:val="22"/>
                <w:szCs w:val="22"/>
              </w:rPr>
            </w:pPr>
            <w:r>
              <w:rPr>
                <w:rFonts w:cs="Arial"/>
                <w:sz w:val="22"/>
                <w:szCs w:val="22"/>
              </w:rPr>
              <w:t>Lead the strategic development and implementation of integrated pathways and service models that support Oldham's transition to the Families First Partnership approach, ensuring children and families receive the right support at the earliest opportunity and reducing escalation to specialist services through a preventative model of delivery.</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Manage the quality and inclusive practice activities delivered by schools, PVIs, childminders and Family Hubs to increase impact on targeted groups and improve outcomes.</w:t>
            </w:r>
            <w:r>
              <w:rPr>
                <w:rFonts w:cs="Arial"/>
                <w:b/>
                <w:bCs/>
                <w:sz w:val="22"/>
                <w:szCs w:val="22"/>
              </w:rPr>
              <w:t xml:space="preserve"> </w:t>
            </w:r>
          </w:p>
          <w:p>
            <w:pPr>
              <w:pStyle w:val="Normal"/>
              <w:jc w:val="both"/>
              <w:rPr>
                <w:rFonts w:cs="Arial"/>
                <w:sz w:val="22"/>
                <w:szCs w:val="22"/>
              </w:rPr>
            </w:pPr>
            <w:r>
              <w:rPr>
                <w:rFonts w:cs="Arial"/>
                <w:sz w:val="22"/>
                <w:szCs w:val="22"/>
              </w:rPr>
            </w:r>
          </w:p>
          <w:p>
            <w:pPr>
              <w:pStyle w:val="Normal"/>
              <w:jc w:val="both"/>
              <w:rPr/>
            </w:pPr>
            <w:r>
              <w:rPr>
                <w:rFonts w:cs="Arial"/>
                <w:sz w:val="22"/>
                <w:szCs w:val="22"/>
              </w:rPr>
              <w:t>Provide caseload supervision and oversight for Child and Family Inclusion Practitioners, ensuring complex cases are reviewed effectively, risks are identified and appropriate escalation pathways are followed.</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Lead and develop processes for the Early Years SEN Inclusion Fund (SENIF), using intelligence from local, regional and national best practice.</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rFonts w:cs="Arial"/>
                <w:sz w:val="22"/>
                <w:szCs w:val="22"/>
              </w:rPr>
            </w:pPr>
            <w:r>
              <w:rPr>
                <w:rFonts w:cs="Arial"/>
                <w:sz w:val="22"/>
                <w:szCs w:val="22"/>
              </w:rPr>
              <w:t>Lead the development and implementation of SEND and inclusion pathways, ensuring interventions, resources and funding decisions are effectively targeted to meet statutory responsibilities, support implementation of national SEND reforms and improve outcomes for children with emerging, moderate and complex SEND needs.</w:t>
            </w:r>
          </w:p>
          <w:p>
            <w:pPr>
              <w:pStyle w:val="Normal"/>
              <w:jc w:val="both"/>
              <w:rPr>
                <w:rFonts w:cs="Arial"/>
                <w:b/>
                <w:bCs/>
                <w:sz w:val="22"/>
                <w:szCs w:val="22"/>
              </w:rPr>
            </w:pPr>
            <w:r>
              <w:rPr>
                <w:rFonts w:cs="Arial"/>
                <w:b/>
                <w:bCs/>
                <w:sz w:val="22"/>
                <w:szCs w:val="22"/>
              </w:rPr>
            </w:r>
          </w:p>
          <w:p>
            <w:pPr>
              <w:pStyle w:val="Normal"/>
              <w:jc w:val="both"/>
              <w:rPr>
                <w:rFonts w:cs="Arial"/>
                <w:sz w:val="22"/>
                <w:szCs w:val="22"/>
              </w:rPr>
            </w:pPr>
            <w:r>
              <w:rPr>
                <w:rFonts w:cs="Arial"/>
                <w:sz w:val="22"/>
                <w:szCs w:val="22"/>
              </w:rPr>
              <w:t>Lead a strategic cross-system Early Years focus to improve school readiness and Good Level of Development outcomes for all children, ensuring services are responsive to varying levels of need and that children with low, moderate and complex SEND are supported to achieve their developmental potential through inclusive, evidence-based practice.</w:t>
            </w:r>
          </w:p>
          <w:p>
            <w:pPr>
              <w:pStyle w:val="Normal"/>
              <w:jc w:val="both"/>
              <w:rPr>
                <w:rFonts w:cs="Arial"/>
                <w:b/>
                <w:bCs/>
                <w:sz w:val="22"/>
                <w:szCs w:val="22"/>
              </w:rPr>
            </w:pPr>
            <w:r>
              <w:rPr>
                <w:rFonts w:cs="Arial"/>
                <w:b/>
                <w:bCs/>
                <w:sz w:val="22"/>
                <w:szCs w:val="22"/>
              </w:rPr>
            </w:r>
          </w:p>
          <w:p>
            <w:pPr>
              <w:pStyle w:val="Normal"/>
              <w:jc w:val="both"/>
              <w:rPr>
                <w:rFonts w:cs="Arial"/>
                <w:sz w:val="22"/>
                <w:szCs w:val="22"/>
              </w:rPr>
            </w:pPr>
            <w:r>
              <w:rPr>
                <w:rFonts w:cs="Arial"/>
                <w:sz w:val="22"/>
                <w:szCs w:val="22"/>
              </w:rPr>
              <w:t>Provide senior leadership, oversight and decision-making for complex and escalated cases relating to SEND, inclusion and family support. Act as the escalation point for practitioners and managers where there are significant concerns, disputes or challenges regarding children's developmental needs, access to services, referral pathways, specialist assessments, funding decisions, inclusion arrangements or progression through the Graduated Response.</w:t>
            </w:r>
          </w:p>
          <w:p>
            <w:pPr>
              <w:pStyle w:val="Normal"/>
              <w:jc w:val="both"/>
              <w:rPr>
                <w:rFonts w:cs="Arial"/>
                <w:b/>
                <w:bCs/>
                <w:sz w:val="22"/>
                <w:szCs w:val="22"/>
              </w:rPr>
            </w:pPr>
            <w:r>
              <w:rPr>
                <w:rFonts w:cs="Arial"/>
                <w:b/>
                <w:bCs/>
                <w:sz w:val="22"/>
                <w:szCs w:val="22"/>
              </w:rPr>
            </w:r>
          </w:p>
          <w:p>
            <w:pPr>
              <w:pStyle w:val="Normal"/>
              <w:jc w:val="both"/>
              <w:rPr>
                <w:rFonts w:cs="Arial"/>
                <w:sz w:val="22"/>
                <w:szCs w:val="22"/>
              </w:rPr>
            </w:pPr>
            <w:r>
              <w:rPr>
                <w:rFonts w:cs="Arial"/>
                <w:sz w:val="22"/>
                <w:szCs w:val="22"/>
              </w:rPr>
              <w:t>Manage highly sensitive discussions and negotiations with parents, carers and partner agencies where there may be disagreement regarding professional recommendations, diagnosis pathways, levels of need, thresholds for support, statutory processes or proposed interventions. Exercise professional judgement in resolving disputes and reaching decisions which are evidence-based, child-centred and compliant with statutory guidance and local policy.</w:t>
            </w:r>
          </w:p>
          <w:p>
            <w:pPr>
              <w:pStyle w:val="Normal"/>
              <w:jc w:val="both"/>
              <w:rPr>
                <w:rFonts w:cs="Arial"/>
                <w:b/>
                <w:bCs/>
                <w:sz w:val="22"/>
                <w:szCs w:val="22"/>
              </w:rPr>
            </w:pPr>
            <w:r>
              <w:rPr>
                <w:rFonts w:cs="Arial"/>
                <w:b/>
                <w:bCs/>
                <w:sz w:val="22"/>
                <w:szCs w:val="22"/>
              </w:rPr>
            </w:r>
          </w:p>
          <w:p>
            <w:pPr>
              <w:pStyle w:val="Normal"/>
              <w:jc w:val="both"/>
              <w:rPr>
                <w:rFonts w:cs="Arial"/>
                <w:sz w:val="22"/>
                <w:szCs w:val="22"/>
              </w:rPr>
            </w:pPr>
            <w:r>
              <w:rPr>
                <w:rFonts w:cs="Arial"/>
                <w:sz w:val="22"/>
                <w:szCs w:val="22"/>
              </w:rPr>
              <w:t>Be responsible for safeguarding children and families accessing the service, working collaboratively with partner agencies to ensure policy and procedures are followed and appropriate action is taken where children may be at risk of harm.</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Partnership &amp; Stakeholder Engagement</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Contribute to the co-ordination of in-house and externally commissioned services across Oldham to meet local needs and achieve agreed outcomes.</w:t>
            </w:r>
            <w:r>
              <w:rPr>
                <w:rFonts w:cs="Arial"/>
                <w:b/>
                <w:bCs/>
                <w:sz w:val="22"/>
                <w:szCs w:val="22"/>
              </w:rPr>
              <w:t xml:space="preserve"> </w:t>
            </w:r>
          </w:p>
          <w:p>
            <w:pPr>
              <w:pStyle w:val="Normal"/>
              <w:jc w:val="both"/>
              <w:rPr>
                <w:rFonts w:cs="Arial"/>
                <w:b/>
                <w:bCs/>
                <w:sz w:val="22"/>
                <w:szCs w:val="22"/>
              </w:rPr>
            </w:pPr>
            <w:r>
              <w:rPr>
                <w:rFonts w:cs="Arial"/>
                <w:b/>
                <w:bCs/>
                <w:sz w:val="22"/>
                <w:szCs w:val="22"/>
              </w:rPr>
            </w:r>
          </w:p>
          <w:p>
            <w:pPr>
              <w:pStyle w:val="Normal"/>
              <w:jc w:val="both"/>
              <w:rPr/>
            </w:pPr>
            <w:r>
              <w:rPr>
                <w:rFonts w:cs="Arial"/>
                <w:sz w:val="22"/>
                <w:szCs w:val="22"/>
              </w:rPr>
              <w:t>Lead on the development and delivery of networks and communities of practice to encourage knowledge sharing, participation and collaboration across districts and partner organisations.</w:t>
            </w:r>
            <w:r>
              <w:rPr>
                <w:rFonts w:cs="Arial"/>
                <w:b/>
                <w:bCs/>
                <w:sz w:val="22"/>
                <w:szCs w:val="22"/>
              </w:rPr>
              <w:t xml:space="preserve"> </w:t>
            </w:r>
          </w:p>
          <w:p>
            <w:pPr>
              <w:pStyle w:val="Normal"/>
              <w:jc w:val="both"/>
              <w:rPr>
                <w:rFonts w:cs="Arial"/>
                <w:sz w:val="22"/>
                <w:szCs w:val="22"/>
              </w:rPr>
            </w:pPr>
            <w:r>
              <w:rPr>
                <w:rFonts w:cs="Arial"/>
                <w:sz w:val="22"/>
                <w:szCs w:val="22"/>
              </w:rPr>
              <w:t>Provide specialist advice and challenge to senior leaders across the Local Authority, Family Hubs, Education, Public Health and Health services, informing strategic decision-making, service planning and the development of integrated approaches to Early Years SEND and inclusion.</w:t>
            </w:r>
          </w:p>
          <w:p>
            <w:pPr>
              <w:pStyle w:val="Normal"/>
              <w:jc w:val="both"/>
              <w:rPr>
                <w:rFonts w:cs="Arial"/>
                <w:b/>
                <w:bCs/>
                <w:sz w:val="22"/>
                <w:szCs w:val="22"/>
              </w:rPr>
            </w:pPr>
            <w:r>
              <w:rPr>
                <w:rFonts w:cs="Arial"/>
                <w:b/>
                <w:bCs/>
                <w:sz w:val="22"/>
                <w:szCs w:val="22"/>
              </w:rPr>
            </w:r>
          </w:p>
          <w:p>
            <w:pPr>
              <w:pStyle w:val="Normal"/>
              <w:jc w:val="both"/>
              <w:rPr>
                <w:rFonts w:cs="Arial"/>
                <w:sz w:val="22"/>
                <w:szCs w:val="22"/>
              </w:rPr>
            </w:pPr>
            <w:r>
              <w:rPr>
                <w:rFonts w:cs="Arial"/>
                <w:sz w:val="22"/>
                <w:szCs w:val="22"/>
              </w:rPr>
              <w:t>Represent the Council at senior local, regional and multi-agency forums relating to Early Years, SEND, Family Hubs and inclusion, influencing strategic direction, contributing to policy development and supporting implementation of local and national reform programmes.</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Quality Assurance &amp; Reporting</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 xml:space="preserve">Be responsible for, prepare and develop plans, reports and self-evaluation for leadership team, governance boards and government submissions. </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Work closely with a range of universal and specialist colleagues, including Parenting Coordinator, providing leadership to develop and deliver Parenting Programmes and group work where appropriate within school and PVI early years settings. This will include identification of appropriate pathway development in response to themes and trends identified through monthly/ quarterly and annual data analysis.</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r>
          </w:p>
          <w:p>
            <w:pPr>
              <w:pStyle w:val="Normal"/>
              <w:jc w:val="both"/>
              <w:rPr>
                <w:rFonts w:cs="Arial"/>
                <w:b/>
                <w:bCs/>
                <w:sz w:val="22"/>
                <w:szCs w:val="22"/>
              </w:rPr>
            </w:pPr>
            <w:r>
              <w:rPr>
                <w:rFonts w:cs="Arial"/>
                <w:b/>
                <w:bCs/>
                <w:sz w:val="22"/>
                <w:szCs w:val="22"/>
              </w:rPr>
              <w:t>Budget</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Prepare, monitor and manage a delegated service budget ensuring compliance with grant conditions, local finance monitoring requirements and financial regulations and commissioning as appropriate.</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Lead and evaluate the distribution of funding to the early years sector, to ensure that outcomes for children are maximised through the Special Educational Needs Inclusion Fund.</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Manage budget, grants, commissions and commissioning of services effectively, maximising income generation and in line with the principles of value for money.</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r>
          </w:p>
          <w:p>
            <w:pPr>
              <w:pStyle w:val="Normal"/>
              <w:jc w:val="both"/>
              <w:rPr>
                <w:rFonts w:cs="Arial"/>
                <w:b/>
                <w:bCs/>
                <w:sz w:val="22"/>
                <w:szCs w:val="22"/>
              </w:rPr>
            </w:pPr>
            <w:r>
              <w:rPr>
                <w:rFonts w:cs="Arial"/>
                <w:b/>
                <w:bCs/>
                <w:sz w:val="22"/>
                <w:szCs w:val="22"/>
              </w:rPr>
              <w:t>GENERAL DUTIES</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snapToGrid w:val="false"/>
              <w:jc w:val="both"/>
              <w:rPr>
                <w:rFonts w:cs="Arial"/>
                <w:sz w:val="22"/>
                <w:szCs w:val="22"/>
              </w:rPr>
            </w:pPr>
            <w:r>
              <w:rPr>
                <w:rFonts w:cs="Arial"/>
                <w:sz w:val="22"/>
                <w:szCs w:val="22"/>
              </w:rPr>
            </w:r>
          </w:p>
        </w:tc>
        <w:tc>
          <w:tcPr>
            <w:tcW w:w="9917" w:type="dxa"/>
            <w:tcBorders>
              <w:right w:val="single" w:sz="4" w:space="0" w:color="000000"/>
            </w:tcBorders>
          </w:tcPr>
          <w:p>
            <w:pPr>
              <w:pStyle w:val="Normal"/>
              <w:jc w:val="both"/>
              <w:rPr>
                <w:rFonts w:cs="Arial"/>
                <w:sz w:val="22"/>
                <w:szCs w:val="22"/>
              </w:rPr>
            </w:pPr>
            <w:r>
              <w:rPr>
                <w:rFonts w:cs="Arial"/>
                <w:sz w:val="22"/>
                <w:szCs w:val="22"/>
              </w:rPr>
              <w:t>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snapToGrid w:val="false"/>
              <w:jc w:val="both"/>
              <w:rPr>
                <w:rFonts w:cs="Arial"/>
                <w:sz w:val="22"/>
                <w:szCs w:val="22"/>
              </w:rPr>
            </w:pPr>
            <w:r>
              <w:rPr>
                <w:rFonts w:cs="Arial"/>
                <w:sz w:val="22"/>
                <w:szCs w:val="22"/>
              </w:rPr>
            </w:r>
          </w:p>
        </w:tc>
        <w:tc>
          <w:tcPr>
            <w:tcW w:w="9917" w:type="dxa"/>
            <w:tcBorders>
              <w:right w:val="single" w:sz="4" w:space="0" w:color="000000"/>
            </w:tcBorders>
          </w:tcPr>
          <w:p>
            <w:pPr>
              <w:pStyle w:val="Normal"/>
              <w:jc w:val="both"/>
              <w:rPr>
                <w:rFonts w:cs="Arial"/>
                <w:sz w:val="22"/>
                <w:szCs w:val="22"/>
              </w:rPr>
            </w:pPr>
            <w:r>
              <w:rPr>
                <w:rFonts w:cs="Arial"/>
                <w:sz w:val="22"/>
                <w:szCs w:val="22"/>
              </w:rPr>
              <w:t>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snapToGrid w:val="false"/>
              <w:jc w:val="both"/>
              <w:rPr>
                <w:rFonts w:cs="Arial"/>
                <w:sz w:val="22"/>
                <w:szCs w:val="22"/>
              </w:rPr>
            </w:pPr>
            <w:r>
              <w:rPr>
                <w:rFonts w:cs="Arial"/>
                <w:sz w:val="22"/>
                <w:szCs w:val="22"/>
              </w:rPr>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snapToGrid w:val="false"/>
              <w:jc w:val="both"/>
              <w:rPr>
                <w:rFonts w:cs="Arial"/>
                <w:b/>
                <w:sz w:val="22"/>
                <w:szCs w:val="22"/>
              </w:rPr>
            </w:pPr>
            <w:r>
              <w:rPr>
                <w:rFonts w:cs="Arial"/>
                <w:b/>
                <w:sz w:val="22"/>
                <w:szCs w:val="22"/>
              </w:rPr>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Any additional duties commensurate with the level of the post.</w:t>
            </w:r>
            <w:bookmarkStart w:id="0" w:name="_Hlk168670942"/>
            <w:bookmarkEnd w:id="0"/>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Assistant Director of Education and Early Years, Assistant Director Early Help, Early Years team, Family Hubs team, schools, early years providers, Early Help Service.</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jc w:val="both"/>
              <w:rPr>
                <w:rFonts w:cs="Arial"/>
                <w:sz w:val="22"/>
                <w:szCs w:val="22"/>
              </w:rPr>
            </w:pPr>
            <w:r>
              <w:rPr>
                <w:rFonts w:cs="Arial"/>
                <w:sz w:val="22"/>
                <w:szCs w:val="22"/>
              </w:rPr>
            </w:r>
          </w:p>
        </w:tc>
      </w:tr>
      <w:tr>
        <w:trPr/>
        <w:tc>
          <w:tcPr>
            <w:tcW w:w="10440" w:type="dxa"/>
            <w:tcBorders>
              <w:top w:val="single" w:sz="4" w:space="0" w:color="000000"/>
              <w:left w:val="single" w:sz="4" w:space="0" w:color="000000"/>
              <w:bottom w:val="single" w:sz="4" w:space="0" w:color="000000"/>
              <w:right w:val="single" w:sz="4" w:space="0" w:color="000000"/>
            </w:tcBorders>
          </w:tcPr>
          <w:p>
            <w:pPr>
              <w:pStyle w:val="BodyText"/>
              <w:rPr/>
            </w:pPr>
            <w:r>
              <w:rPr>
                <w:rFonts w:cs="Arial"/>
                <w:szCs w:val="22"/>
              </w:rPr>
              <w:t xml:space="preserve">Responsible to: </w:t>
            </w:r>
            <w:r>
              <w:rPr>
                <w:rFonts w:cs="Arial"/>
                <w:b w:val="false"/>
                <w:bCs/>
                <w:szCs w:val="22"/>
              </w:rPr>
              <w:t>Challenge and Intervention Officer – Early Years and Primary</w:t>
            </w:r>
          </w:p>
          <w:p>
            <w:pPr>
              <w:pStyle w:val="BodyText"/>
              <w:rPr>
                <w:rFonts w:cs="Arial"/>
                <w:szCs w:val="22"/>
              </w:rPr>
            </w:pPr>
            <w:r>
              <w:rPr>
                <w:rFonts w:cs="Arial"/>
                <w:szCs w:val="22"/>
              </w:rPr>
            </w:r>
          </w:p>
          <w:p>
            <w:pPr>
              <w:pStyle w:val="BodyText"/>
              <w:rPr/>
            </w:pPr>
            <w:r>
              <w:rPr>
                <w:rFonts w:cs="Arial"/>
                <w:szCs w:val="22"/>
              </w:rPr>
              <w:t xml:space="preserve">Responsible for: </w:t>
            </w:r>
            <w:r>
              <w:rPr>
                <w:rFonts w:cs="Arial"/>
                <w:b w:val="false"/>
                <w:bCs/>
                <w:szCs w:val="22"/>
              </w:rPr>
              <w:t>6 x Child &amp; Family Inclusion Practitioners, 5 x Expert at Hand – Early Years Advisory Practitioners, 5 x Best Start in Life – Early Years Quality Practitioners</w:t>
            </w:r>
          </w:p>
        </w:tc>
      </w:tr>
    </w:tbl>
    <w:p>
      <w:pPr>
        <w:pStyle w:val="Normal"/>
        <w:rPr>
          <w:rFonts w:cs="Arial"/>
          <w:sz w:val="22"/>
          <w:szCs w:val="22"/>
        </w:rPr>
      </w:pPr>
      <w:r>
        <w:rPr>
          <w:rFonts w:cs="Arial"/>
          <w:sz w:val="22"/>
          <w:szCs w:val="22"/>
        </w:rPr>
      </w:r>
      <w:bookmarkStart w:id="1" w:name="_Hlk95121094"/>
      <w:bookmarkStart w:id="2" w:name="_Hlk95121094"/>
      <w:bookmarkEnd w:id="2"/>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ind w:left="-20" w:right="0"/>
              <w:rPr>
                <w:sz w:val="22"/>
                <w:szCs w:val="22"/>
              </w:rPr>
            </w:pPr>
            <w:r>
              <w:rPr>
                <w:sz w:val="22"/>
                <w:szCs w:val="22"/>
              </w:rPr>
              <w:t>Enhanced DBS</w:t>
            </w:r>
          </w:p>
          <w:p>
            <w:pPr>
              <w:pStyle w:val="Normal"/>
              <w:ind w:left="-20" w:right="0"/>
              <w:rPr>
                <w:sz w:val="22"/>
                <w:szCs w:val="22"/>
              </w:rPr>
            </w:pPr>
            <w:r>
              <w:rPr>
                <w:sz w:val="22"/>
                <w:szCs w:val="22"/>
              </w:rPr>
            </w:r>
          </w:p>
          <w:p>
            <w:pPr>
              <w:pStyle w:val="Normal"/>
              <w:ind w:left="-20" w:right="0"/>
              <w:rPr>
                <w:sz w:val="22"/>
                <w:szCs w:val="22"/>
              </w:rPr>
            </w:pPr>
            <w:r>
              <w:rPr>
                <w:sz w:val="22"/>
                <w:szCs w:val="22"/>
              </w:rPr>
              <w:t>Working flexibly which will include occasional evenings and weekends</w:t>
            </w:r>
          </w:p>
          <w:p>
            <w:pPr>
              <w:pStyle w:val="Normal"/>
              <w:ind w:left="-20" w:right="0"/>
              <w:rPr>
                <w:sz w:val="22"/>
                <w:szCs w:val="22"/>
              </w:rPr>
            </w:pPr>
            <w:r>
              <w:rPr>
                <w:sz w:val="22"/>
                <w:szCs w:val="22"/>
              </w:rPr>
            </w:r>
          </w:p>
          <w:p>
            <w:pPr>
              <w:pStyle w:val="Normal"/>
              <w:ind w:left="-20" w:right="0"/>
              <w:rPr>
                <w:sz w:val="22"/>
                <w:szCs w:val="22"/>
              </w:rPr>
            </w:pPr>
            <w:r>
              <w:rPr>
                <w:sz w:val="22"/>
                <w:szCs w:val="22"/>
              </w:rPr>
              <w:t xml:space="preserve">Casual car user </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sz w:val="22"/>
                <w:szCs w:val="22"/>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numPr>
                <w:ilvl w:val="0"/>
                <w:numId w:val="2"/>
              </w:numPr>
              <w:spacing w:before="280" w:after="28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4"/>
              </w:numPr>
              <w:rPr/>
            </w:pPr>
            <w:r>
              <w:rPr>
                <w:rFonts w:eastAsia="Arial" w:cs="Arial" w:ascii="Arial" w:hAnsi="Arial"/>
              </w:rPr>
              <w:t>Work with a Resident Focus</w:t>
            </w:r>
          </w:p>
          <w:p>
            <w:pPr>
              <w:pStyle w:val="ListParagraph"/>
              <w:numPr>
                <w:ilvl w:val="0"/>
                <w:numId w:val="4"/>
              </w:numPr>
              <w:rPr/>
            </w:pPr>
            <w:r>
              <w:rPr>
                <w:rFonts w:eastAsia="Arial" w:cs="Arial" w:ascii="Arial" w:hAnsi="Arial"/>
              </w:rPr>
              <w:t>Support Local Leaders</w:t>
            </w:r>
          </w:p>
          <w:p>
            <w:pPr>
              <w:pStyle w:val="ListParagraph"/>
              <w:numPr>
                <w:ilvl w:val="0"/>
                <w:numId w:val="4"/>
              </w:numPr>
              <w:rPr/>
            </w:pPr>
            <w:r>
              <w:rPr>
                <w:rFonts w:eastAsia="Arial" w:cs="Arial" w:ascii="Arial" w:hAnsi="Arial"/>
              </w:rPr>
              <w:t>Committed to the Borough</w:t>
            </w:r>
          </w:p>
          <w:p>
            <w:pPr>
              <w:pStyle w:val="ListParagraph"/>
              <w:numPr>
                <w:ilvl w:val="0"/>
                <w:numId w:val="4"/>
              </w:numPr>
              <w:rPr/>
            </w:pPr>
            <w:r>
              <w:rPr>
                <w:rFonts w:eastAsia="Arial" w:cs="Arial" w:ascii="Arial" w:hAnsi="Arial"/>
              </w:rPr>
              <w:t>Take Ownership and Drive Change</w:t>
            </w:r>
          </w:p>
          <w:p>
            <w:pPr>
              <w:pStyle w:val="ListParagraph"/>
              <w:numPr>
                <w:ilvl w:val="0"/>
                <w:numId w:val="4"/>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rFonts w:eastAsia="Arial" w:cs="Arial"/>
                <w:sz w:val="22"/>
                <w:szCs w:val="22"/>
              </w:rPr>
            </w:pPr>
            <w:r>
              <w:rPr>
                <w:rFonts w:eastAsia="Arial" w:cs="Arial"/>
                <w:sz w:val="22"/>
                <w:szCs w:val="22"/>
              </w:rPr>
              <w:t>More information around our Values and Behaviours can be found on our Greater. Jobs pages together with information about the staff benefits we offer.</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21/07/2026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Ailsa Burton</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Challenge and Intervention Officer – Early Years &amp; Primary</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Integrated Team Manager</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 xml:space="preserve">Degree and/or equivalent recognised professional qualification in social work, health, education or equivalent, and evidence of a commitment to continuing learning and professional development </w:t>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Masters Degree level qualification/ or equivalent</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t>Management/leadership training/qualification</w:t>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w:t>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tc>
      </w:tr>
      <w:tr>
        <w:trPr>
          <w:trHeight w:val="5698" w:hRule="atLeast"/>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ascii="Arial" w:hAnsi="Arial"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 xml:space="preserve">Substantial experience and knowledge of the Early Years sector including schools, PVI, childminder settings. </w:t>
            </w:r>
          </w:p>
          <w:p>
            <w:pPr>
              <w:pStyle w:val="Normal"/>
              <w:rPr>
                <w:sz w:val="22"/>
                <w:szCs w:val="22"/>
              </w:rPr>
            </w:pPr>
            <w:r>
              <w:rPr>
                <w:sz w:val="22"/>
                <w:szCs w:val="22"/>
              </w:rPr>
            </w:r>
          </w:p>
          <w:p>
            <w:pPr>
              <w:pStyle w:val="Normal"/>
              <w:rPr>
                <w:sz w:val="22"/>
                <w:szCs w:val="22"/>
              </w:rPr>
            </w:pPr>
            <w:r>
              <w:rPr>
                <w:sz w:val="22"/>
                <w:szCs w:val="22"/>
              </w:rPr>
              <w:t xml:space="preserve">Substantial experience of managing a team who provide advice, support and guidance to school and PVI sector staff. Providing mentoring and coaching to navigate challenging and difficult situations to improve outcomes for young children. </w:t>
            </w:r>
          </w:p>
          <w:p>
            <w:pPr>
              <w:pStyle w:val="Normal"/>
              <w:rPr>
                <w:sz w:val="22"/>
                <w:szCs w:val="22"/>
              </w:rPr>
            </w:pPr>
            <w:r>
              <w:rPr>
                <w:sz w:val="22"/>
                <w:szCs w:val="22"/>
              </w:rPr>
            </w:r>
          </w:p>
          <w:p>
            <w:pPr>
              <w:pStyle w:val="Normal"/>
              <w:rPr>
                <w:sz w:val="22"/>
                <w:szCs w:val="22"/>
              </w:rPr>
            </w:pPr>
            <w:r>
              <w:rPr>
                <w:sz w:val="22"/>
                <w:szCs w:val="22"/>
              </w:rPr>
              <w:t>Substantial experience of direct work with children, families or parents/communities, in homes and/or community settings, including vulnerable families or groups.</w:t>
            </w:r>
          </w:p>
          <w:p>
            <w:pPr>
              <w:pStyle w:val="Normal"/>
              <w:rPr>
                <w:sz w:val="22"/>
                <w:szCs w:val="22"/>
              </w:rPr>
            </w:pPr>
            <w:r>
              <w:rPr>
                <w:sz w:val="22"/>
                <w:szCs w:val="22"/>
              </w:rPr>
            </w:r>
          </w:p>
          <w:p>
            <w:pPr>
              <w:pStyle w:val="Normal"/>
              <w:rPr>
                <w:sz w:val="22"/>
                <w:szCs w:val="22"/>
              </w:rPr>
            </w:pPr>
            <w:r>
              <w:rPr>
                <w:sz w:val="22"/>
                <w:szCs w:val="22"/>
              </w:rPr>
              <w:t>Demonstrable experience of  managing and supervising the performance of employees providing effective leadership, motivational and management support</w:t>
            </w:r>
          </w:p>
          <w:p>
            <w:pPr>
              <w:pStyle w:val="Normal"/>
              <w:rPr>
                <w:sz w:val="22"/>
                <w:szCs w:val="22"/>
              </w:rPr>
            </w:pPr>
            <w:r>
              <w:rPr>
                <w:sz w:val="22"/>
                <w:szCs w:val="22"/>
              </w:rPr>
            </w:r>
          </w:p>
          <w:p>
            <w:pPr>
              <w:pStyle w:val="Normal"/>
              <w:rPr>
                <w:sz w:val="22"/>
                <w:szCs w:val="22"/>
              </w:rPr>
            </w:pPr>
            <w:r>
              <w:rPr>
                <w:sz w:val="22"/>
                <w:szCs w:val="22"/>
              </w:rPr>
              <w:t>Experience of working with senior managers, partners and service users in order to achieve service improvement</w:t>
            </w:r>
          </w:p>
          <w:p>
            <w:pPr>
              <w:pStyle w:val="Normal"/>
              <w:rPr>
                <w:sz w:val="22"/>
                <w:szCs w:val="22"/>
              </w:rPr>
            </w:pPr>
            <w:r>
              <w:rPr>
                <w:sz w:val="22"/>
                <w:szCs w:val="22"/>
              </w:rPr>
            </w:r>
          </w:p>
          <w:p>
            <w:pPr>
              <w:pStyle w:val="Normal"/>
              <w:rPr>
                <w:sz w:val="22"/>
                <w:szCs w:val="22"/>
              </w:rPr>
            </w:pPr>
            <w:r>
              <w:rPr>
                <w:sz w:val="22"/>
                <w:szCs w:val="22"/>
              </w:rPr>
            </w:r>
          </w:p>
          <w:p>
            <w:pPr>
              <w:pStyle w:val="Normal"/>
              <w:rPr>
                <w:rFonts w:cs="Arial"/>
                <w:sz w:val="22"/>
                <w:szCs w:val="22"/>
                <w:lang w:eastAsia="en-GB"/>
              </w:rPr>
            </w:pPr>
            <w:r>
              <w:rPr>
                <w:rFonts w:cs="Arial"/>
                <w:sz w:val="22"/>
                <w:szCs w:val="22"/>
                <w:lang w:eastAsia="en-GB"/>
              </w:rPr>
              <w:t>Experience of service planning and improvement, including evaluating and revising plans and strategies to ensure resources are targeted to maximise benefits for users of the service.</w:t>
            </w:r>
          </w:p>
          <w:p>
            <w:pPr>
              <w:pStyle w:val="Normal"/>
              <w:rPr>
                <w:sz w:val="22"/>
                <w:szCs w:val="22"/>
              </w:rPr>
            </w:pPr>
            <w:r>
              <w:rPr>
                <w:sz w:val="22"/>
                <w:szCs w:val="22"/>
              </w:rPr>
            </w:r>
          </w:p>
          <w:p>
            <w:pPr>
              <w:pStyle w:val="Normal"/>
              <w:rPr>
                <w:sz w:val="22"/>
                <w:szCs w:val="22"/>
              </w:rPr>
            </w:pPr>
            <w:r>
              <w:rPr>
                <w:sz w:val="22"/>
                <w:szCs w:val="22"/>
              </w:rPr>
              <w:t>Experience of developing a service to meet the diverse needs of the community</w:t>
            </w:r>
          </w:p>
          <w:p>
            <w:pPr>
              <w:pStyle w:val="Normal"/>
              <w:rPr>
                <w:sz w:val="22"/>
                <w:szCs w:val="22"/>
              </w:rPr>
            </w:pPr>
            <w:r>
              <w:rPr>
                <w:sz w:val="22"/>
                <w:szCs w:val="22"/>
              </w:rPr>
            </w:r>
          </w:p>
          <w:p>
            <w:pPr>
              <w:pStyle w:val="Normal"/>
              <w:rPr>
                <w:rFonts w:cs="Arial"/>
                <w:sz w:val="22"/>
                <w:szCs w:val="22"/>
              </w:rPr>
            </w:pPr>
            <w:r>
              <w:rPr>
                <w:rFonts w:cs="Arial"/>
                <w:sz w:val="22"/>
                <w:szCs w:val="22"/>
              </w:rPr>
              <w:t>A proven track record of success in communicating and engaging with a wide range of internal and external organisations and statutory agencies.</w:t>
            </w:r>
          </w:p>
          <w:p>
            <w:pPr>
              <w:pStyle w:val="Normal"/>
              <w:rPr>
                <w:rFonts w:cs="Arial"/>
                <w:sz w:val="22"/>
                <w:szCs w:val="22"/>
              </w:rPr>
            </w:pPr>
            <w:r>
              <w:rPr>
                <w:rFonts w:cs="Arial"/>
                <w:sz w:val="22"/>
                <w:szCs w:val="22"/>
              </w:rPr>
            </w:r>
          </w:p>
          <w:p>
            <w:pPr>
              <w:pStyle w:val="Normal"/>
              <w:overflowPunct w:val="true"/>
              <w:textAlignment w:val="baseline"/>
              <w:rPr>
                <w:rFonts w:cs="Arial"/>
                <w:kern w:val="2"/>
                <w:sz w:val="22"/>
                <w:szCs w:val="22"/>
              </w:rPr>
            </w:pPr>
            <w:r>
              <w:rPr>
                <w:rFonts w:cs="Arial"/>
                <w:kern w:val="2"/>
                <w:sz w:val="22"/>
                <w:szCs w:val="22"/>
              </w:rPr>
              <w:t>A proven record of success in creating and sustaining partnership working.</w:t>
            </w:r>
          </w:p>
          <w:p>
            <w:pPr>
              <w:pStyle w:val="Normal"/>
              <w:rPr>
                <w:rFonts w:cs="Arial"/>
                <w:sz w:val="22"/>
                <w:szCs w:val="22"/>
              </w:rPr>
            </w:pPr>
            <w:r>
              <w:rPr>
                <w:rFonts w:cs="Arial"/>
                <w:sz w:val="22"/>
                <w:szCs w:val="22"/>
              </w:rPr>
            </w:r>
          </w:p>
          <w:p>
            <w:pPr>
              <w:pStyle w:val="Normal"/>
              <w:overflowPunct w:val="true"/>
              <w:textAlignment w:val="baseline"/>
              <w:rPr>
                <w:rFonts w:cs="Arial"/>
                <w:kern w:val="2"/>
                <w:sz w:val="22"/>
                <w:szCs w:val="22"/>
                <w:lang w:eastAsia="en-GB"/>
              </w:rPr>
            </w:pPr>
            <w:r>
              <w:rPr>
                <w:rFonts w:cs="Arial"/>
                <w:kern w:val="2"/>
                <w:sz w:val="22"/>
                <w:szCs w:val="22"/>
                <w:lang w:eastAsia="en-GB"/>
              </w:rPr>
              <w:t>Significant experience in leading and delivering multiple projects to competing and demanding deadlines</w:t>
            </w:r>
          </w:p>
          <w:p>
            <w:pPr>
              <w:pStyle w:val="Normal"/>
              <w:overflowPunct w:val="true"/>
              <w:textAlignment w:val="baseline"/>
              <w:rPr>
                <w:rFonts w:cs="Arial"/>
                <w:kern w:val="2"/>
                <w:sz w:val="22"/>
                <w:szCs w:val="22"/>
                <w:lang w:eastAsia="en-GB"/>
              </w:rPr>
            </w:pPr>
            <w:r>
              <w:rPr>
                <w:rFonts w:cs="Arial"/>
                <w:kern w:val="2"/>
                <w:sz w:val="22"/>
                <w:szCs w:val="22"/>
                <w:lang w:eastAsia="en-GB"/>
              </w:rPr>
            </w:r>
          </w:p>
          <w:p>
            <w:pPr>
              <w:pStyle w:val="Normal"/>
              <w:overflowPunct w:val="true"/>
              <w:textAlignment w:val="baseline"/>
              <w:rPr>
                <w:sz w:val="22"/>
                <w:szCs w:val="22"/>
              </w:rPr>
            </w:pPr>
            <w:r>
              <w:rPr>
                <w:sz w:val="22"/>
                <w:szCs w:val="22"/>
              </w:rPr>
              <w:t>A record of successfully managing change and partnership working</w:t>
            </w:r>
          </w:p>
          <w:p>
            <w:pPr>
              <w:pStyle w:val="Normal"/>
              <w:overflowPunct w:val="true"/>
              <w:textAlignment w:val="baseline"/>
              <w:rPr>
                <w:sz w:val="22"/>
                <w:szCs w:val="22"/>
              </w:rPr>
            </w:pPr>
            <w:r>
              <w:rPr>
                <w:sz w:val="22"/>
                <w:szCs w:val="22"/>
              </w:rPr>
            </w:r>
          </w:p>
          <w:p>
            <w:pPr>
              <w:pStyle w:val="Normal"/>
              <w:overflowPunct w:val="true"/>
              <w:textAlignment w:val="baseline"/>
              <w:rPr>
                <w:sz w:val="22"/>
                <w:szCs w:val="22"/>
              </w:rPr>
            </w:pPr>
            <w:r>
              <w:rPr>
                <w:sz w:val="22"/>
                <w:szCs w:val="22"/>
              </w:rPr>
              <w:t>Experience of being accountable for management systems</w:t>
            </w:r>
          </w:p>
        </w:tc>
        <w:tc>
          <w:tcPr>
            <w:tcW w:w="3060" w:type="dxa"/>
            <w:tcBorders>
              <w:top w:val="single" w:sz="4" w:space="0" w:color="000000"/>
              <w:left w:val="single" w:sz="4" w:space="0" w:color="000000"/>
              <w:bottom w:val="single" w:sz="4" w:space="0" w:color="000000"/>
              <w:right w:val="single" w:sz="4" w:space="0" w:color="000000"/>
            </w:tcBorders>
          </w:tcPr>
          <w:p>
            <w:pPr>
              <w:pStyle w:val="Normal"/>
              <w:rPr/>
            </w:pPr>
            <w:r>
              <w:rPr/>
              <w:t xml:space="preserve">Experience of working with the school and/ or PVI sector </w:t>
            </w:r>
          </w:p>
          <w:p>
            <w:pPr>
              <w:pStyle w:val="Normal"/>
              <w:rPr/>
            </w:pPr>
            <w:r>
              <w:rPr/>
            </w:r>
          </w:p>
          <w:p>
            <w:pPr>
              <w:pStyle w:val="Normal"/>
              <w:rPr/>
            </w:pPr>
            <w:r>
              <w:rPr/>
            </w:r>
          </w:p>
          <w:p>
            <w:pPr>
              <w:pStyle w:val="Normal"/>
              <w:rPr/>
            </w:pPr>
            <w:r>
              <w:rPr/>
              <w:t xml:space="preserve">Experience of supervising staff and/or students. </w:t>
            </w:r>
          </w:p>
          <w:p>
            <w:pPr>
              <w:pStyle w:val="Normal"/>
              <w:rPr/>
            </w:pPr>
            <w:r>
              <w:rPr/>
            </w:r>
          </w:p>
          <w:p>
            <w:pPr>
              <w:pStyle w:val="Normal"/>
              <w:rPr/>
            </w:pPr>
            <w:r>
              <w:rPr/>
              <w:t xml:space="preserve">Experience of project evaluations. </w:t>
            </w:r>
          </w:p>
          <w:p>
            <w:pPr>
              <w:pStyle w:val="Normal"/>
              <w:rPr/>
            </w:pPr>
            <w:r>
              <w:rPr/>
            </w:r>
          </w:p>
          <w:p>
            <w:pPr>
              <w:pStyle w:val="Normal"/>
              <w:rPr/>
            </w:pPr>
            <w:r>
              <w:rPr/>
            </w:r>
          </w:p>
          <w:p>
            <w:pPr>
              <w:pStyle w:val="Normal"/>
              <w:rPr/>
            </w:pPr>
            <w:r>
              <w:rPr/>
              <w:t xml:space="preserve">Experience of undertaking  consultation </w:t>
            </w:r>
          </w:p>
          <w:p>
            <w:pPr>
              <w:pStyle w:val="Normal"/>
              <w:rPr/>
            </w:pPr>
            <w:r>
              <w:rPr/>
            </w:r>
          </w:p>
          <w:p>
            <w:pPr>
              <w:pStyle w:val="Normal"/>
              <w:rPr/>
            </w:pPr>
            <w:r>
              <w:rPr/>
            </w:r>
          </w:p>
          <w:p>
            <w:pPr>
              <w:pStyle w:val="Normal"/>
              <w:rPr/>
            </w:pPr>
            <w:r>
              <w:rPr/>
            </w:r>
          </w:p>
          <w:p>
            <w:pPr>
              <w:pStyle w:val="Normal"/>
              <w:rPr/>
            </w:pPr>
            <w:r>
              <w:rPr/>
              <w:t xml:space="preserve">Experience of working with children and families under five. </w:t>
            </w:r>
          </w:p>
          <w:p>
            <w:pPr>
              <w:pStyle w:val="Normal"/>
              <w:rPr/>
            </w:pPr>
            <w:r>
              <w:rPr/>
            </w:r>
          </w:p>
          <w:p>
            <w:pPr>
              <w:pStyle w:val="Normal"/>
              <w:rPr/>
            </w:pPr>
            <w:r>
              <w:rPr/>
            </w:r>
          </w:p>
          <w:p>
            <w:pPr>
              <w:pStyle w:val="Normal"/>
              <w:rPr/>
            </w:pPr>
            <w:r>
              <w:rPr/>
            </w:r>
          </w:p>
          <w:p>
            <w:pPr>
              <w:pStyle w:val="Normal"/>
              <w:rPr/>
            </w:pPr>
            <w:r>
              <w:rPr/>
              <w:t xml:space="preserve">Experience of delivering parenting programmes, measurable intervention programmes and family interventions </w:t>
            </w:r>
          </w:p>
          <w:p>
            <w:pPr>
              <w:pStyle w:val="Normal"/>
              <w:rPr/>
            </w:pPr>
            <w:r>
              <w:rPr/>
            </w:r>
          </w:p>
          <w:p>
            <w:pPr>
              <w:pStyle w:val="Normal"/>
              <w:rPr/>
            </w:pPr>
            <w:r>
              <w:rPr/>
              <w:t>Experience of safeguarding practice.</w:t>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jc w:val="both"/>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 / 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AF/I</w:t>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AF/I</w:t>
            </w:r>
          </w:p>
          <w:p>
            <w:pPr>
              <w:pStyle w:val="Normal"/>
              <w:ind w:left="48" w:right="0"/>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pPr>
            <w:r>
              <w:rPr>
                <w:rFonts w:cs="Arial"/>
                <w:sz w:val="22"/>
                <w:szCs w:val="22"/>
                <w:lang w:eastAsia="en-GB"/>
              </w:rPr>
              <w:t xml:space="preserve">Ability to understand and translate into practice legislation and statutory guidance relating to Early Education and Childcare, SEND Code of Practice and Equality Act. </w:t>
            </w:r>
            <w:r>
              <w:rPr>
                <w:rFonts w:cs="Arial"/>
                <w:kern w:val="2"/>
                <w:sz w:val="22"/>
                <w:szCs w:val="22"/>
              </w:rPr>
              <w:t xml:space="preserve"> </w:t>
            </w:r>
          </w:p>
          <w:p>
            <w:pPr>
              <w:pStyle w:val="Normal"/>
              <w:rPr>
                <w:rFonts w:cs="Arial"/>
                <w:kern w:val="2"/>
                <w:sz w:val="22"/>
                <w:szCs w:val="22"/>
              </w:rPr>
            </w:pPr>
            <w:r>
              <w:rPr>
                <w:rFonts w:cs="Arial"/>
                <w:kern w:val="2"/>
                <w:sz w:val="22"/>
                <w:szCs w:val="22"/>
              </w:rPr>
            </w:r>
          </w:p>
          <w:p>
            <w:pPr>
              <w:pStyle w:val="Normal"/>
              <w:rPr>
                <w:rFonts w:cs="Arial"/>
                <w:kern w:val="2"/>
                <w:sz w:val="22"/>
                <w:szCs w:val="22"/>
              </w:rPr>
            </w:pPr>
            <w:r>
              <w:rPr>
                <w:rFonts w:cs="Arial"/>
                <w:kern w:val="2"/>
                <w:sz w:val="22"/>
                <w:szCs w:val="22"/>
              </w:rPr>
              <w:t>Able to be innovative, creative and think through issues and problems, apply criteria to make sound judgements.</w:t>
            </w:r>
          </w:p>
          <w:p>
            <w:pPr>
              <w:pStyle w:val="Normal"/>
              <w:rPr>
                <w:sz w:val="22"/>
                <w:szCs w:val="22"/>
              </w:rPr>
            </w:pPr>
            <w:r>
              <w:rPr>
                <w:sz w:val="22"/>
                <w:szCs w:val="22"/>
              </w:rPr>
            </w:r>
          </w:p>
          <w:p>
            <w:pPr>
              <w:pStyle w:val="Normal"/>
              <w:rPr>
                <w:sz w:val="22"/>
                <w:szCs w:val="22"/>
              </w:rPr>
            </w:pPr>
            <w:r>
              <w:rPr>
                <w:sz w:val="22"/>
                <w:szCs w:val="22"/>
              </w:rPr>
              <w:t xml:space="preserve">Excellent interpersonal, communication and engagement skills to communicate effectively with a range of partners and service users </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 xml:space="preserve">Ability to work with a high degree of autonomy and minimal supervision </w:t>
            </w:r>
          </w:p>
          <w:p>
            <w:pPr>
              <w:pStyle w:val="Normal"/>
              <w:rPr>
                <w:sz w:val="22"/>
                <w:szCs w:val="22"/>
              </w:rPr>
            </w:pPr>
            <w:r>
              <w:rPr>
                <w:sz w:val="22"/>
                <w:szCs w:val="22"/>
              </w:rPr>
            </w:r>
          </w:p>
          <w:p>
            <w:pPr>
              <w:pStyle w:val="Normal"/>
              <w:rPr>
                <w:sz w:val="22"/>
                <w:szCs w:val="22"/>
              </w:rPr>
            </w:pPr>
            <w:r>
              <w:rPr>
                <w:sz w:val="22"/>
                <w:szCs w:val="22"/>
              </w:rPr>
              <w:t>Ability to influence, motivate, develop staff and set the direction / vision and engage key partners in a delivery model</w:t>
            </w:r>
          </w:p>
          <w:p>
            <w:pPr>
              <w:pStyle w:val="Normal"/>
              <w:rPr>
                <w:sz w:val="22"/>
                <w:szCs w:val="22"/>
              </w:rPr>
            </w:pPr>
            <w:r>
              <w:rPr>
                <w:sz w:val="22"/>
                <w:szCs w:val="22"/>
              </w:rPr>
            </w:r>
          </w:p>
          <w:p>
            <w:pPr>
              <w:pStyle w:val="Normal"/>
              <w:rPr>
                <w:sz w:val="22"/>
                <w:szCs w:val="22"/>
              </w:rPr>
            </w:pPr>
            <w:r>
              <w:rPr>
                <w:sz w:val="22"/>
                <w:szCs w:val="22"/>
              </w:rPr>
              <w:t>Ability to write complex reports for a variety of purposes and audiences.</w:t>
            </w:r>
          </w:p>
          <w:p>
            <w:pPr>
              <w:pStyle w:val="Normal"/>
              <w:rPr>
                <w:sz w:val="22"/>
                <w:szCs w:val="22"/>
              </w:rPr>
            </w:pPr>
            <w:r>
              <w:rPr>
                <w:sz w:val="22"/>
                <w:szCs w:val="22"/>
              </w:rPr>
            </w:r>
          </w:p>
          <w:p>
            <w:pPr>
              <w:pStyle w:val="Normal"/>
              <w:rPr>
                <w:sz w:val="22"/>
                <w:szCs w:val="22"/>
              </w:rPr>
            </w:pPr>
            <w:r>
              <w:rPr>
                <w:sz w:val="22"/>
                <w:szCs w:val="22"/>
              </w:rPr>
              <w:t xml:space="preserve">Effective assessment, planning and record keeping skills. Ability to collate and analyse data and feedback to inform service improvement &amp; forward planning </w:t>
            </w:r>
          </w:p>
          <w:p>
            <w:pPr>
              <w:pStyle w:val="Normal"/>
              <w:rPr>
                <w:sz w:val="22"/>
                <w:szCs w:val="22"/>
              </w:rPr>
            </w:pPr>
            <w:r>
              <w:rPr>
                <w:sz w:val="22"/>
                <w:szCs w:val="22"/>
              </w:rPr>
            </w:r>
          </w:p>
          <w:p>
            <w:pPr>
              <w:pStyle w:val="Normal"/>
              <w:rPr>
                <w:sz w:val="22"/>
                <w:szCs w:val="22"/>
              </w:rPr>
            </w:pPr>
            <w:r>
              <w:rPr>
                <w:sz w:val="22"/>
                <w:szCs w:val="22"/>
              </w:rPr>
              <w:t xml:space="preserve">A confident and professional approach to working with service users and colleagues and excellent verbal, listening and presentation skills, including basic IT skills e.g.  powerpoint, excel and case management/ data systems </w:t>
            </w:r>
          </w:p>
          <w:p>
            <w:pPr>
              <w:pStyle w:val="Normal"/>
              <w:rPr>
                <w:sz w:val="22"/>
                <w:szCs w:val="22"/>
              </w:rPr>
            </w:pPr>
            <w:r>
              <w:rPr>
                <w:sz w:val="22"/>
                <w:szCs w:val="22"/>
              </w:rPr>
            </w:r>
          </w:p>
          <w:p>
            <w:pPr>
              <w:pStyle w:val="Normal"/>
              <w:rPr>
                <w:sz w:val="22"/>
                <w:szCs w:val="22"/>
              </w:rPr>
            </w:pPr>
            <w:r>
              <w:rPr>
                <w:sz w:val="22"/>
                <w:szCs w:val="22"/>
              </w:rPr>
              <w:t xml:space="preserve">Ability to prioritise and organise workload effectively and ability to work under pressure and meet deadlines </w:t>
            </w:r>
          </w:p>
        </w:tc>
        <w:tc>
          <w:tcPr>
            <w:tcW w:w="30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Experience of and skills in identifying and bidding for additional funding sources.</w:t>
            </w:r>
          </w:p>
          <w:p>
            <w:pPr>
              <w:pStyle w:val="Normal"/>
              <w:ind w:hanging="360" w:left="360" w:right="0"/>
              <w:rPr>
                <w:sz w:val="22"/>
                <w:szCs w:val="22"/>
              </w:rPr>
            </w:pPr>
            <w:r>
              <w:rPr>
                <w:sz w:val="22"/>
                <w:szCs w:val="22"/>
              </w:rPr>
            </w:r>
          </w:p>
          <w:p>
            <w:pPr>
              <w:pStyle w:val="Normal"/>
              <w:ind w:hanging="360" w:left="360" w:right="0"/>
              <w:rPr>
                <w:sz w:val="22"/>
                <w:szCs w:val="22"/>
              </w:rPr>
            </w:pPr>
            <w:r>
              <w:rPr>
                <w:sz w:val="22"/>
                <w:szCs w:val="22"/>
              </w:rPr>
            </w:r>
          </w:p>
          <w:p>
            <w:pPr>
              <w:pStyle w:val="Normal"/>
              <w:ind w:hanging="360" w:left="360" w:right="0"/>
              <w:rPr>
                <w:sz w:val="22"/>
                <w:szCs w:val="22"/>
              </w:rPr>
            </w:pPr>
            <w:r>
              <w:rPr>
                <w:sz w:val="22"/>
                <w:szCs w:val="22"/>
              </w:rPr>
            </w:r>
          </w:p>
          <w:p>
            <w:pPr>
              <w:pStyle w:val="Normal"/>
              <w:rPr>
                <w:sz w:val="22"/>
                <w:szCs w:val="22"/>
              </w:rPr>
            </w:pPr>
            <w:r>
              <w:rPr>
                <w:sz w:val="22"/>
                <w:szCs w:val="22"/>
              </w:rPr>
              <w:t xml:space="preserve">Experience of and skills in project/service development. </w:t>
            </w:r>
          </w:p>
          <w:p>
            <w:pPr>
              <w:pStyle w:val="Normal"/>
              <w:ind w:hanging="360" w:left="360" w:right="0"/>
              <w:rPr>
                <w:sz w:val="22"/>
                <w:szCs w:val="22"/>
              </w:rPr>
            </w:pPr>
            <w:r>
              <w:rPr>
                <w:sz w:val="22"/>
                <w:szCs w:val="22"/>
              </w:rPr>
            </w:r>
          </w:p>
          <w:p>
            <w:pPr>
              <w:pStyle w:val="Normal"/>
              <w:ind w:hanging="360" w:left="360" w:right="0"/>
              <w:rPr>
                <w:sz w:val="22"/>
                <w:szCs w:val="22"/>
              </w:rPr>
            </w:pPr>
            <w:r>
              <w:rPr>
                <w:sz w:val="22"/>
                <w:szCs w:val="22"/>
              </w:rPr>
            </w:r>
          </w:p>
          <w:p>
            <w:pPr>
              <w:pStyle w:val="Normal"/>
              <w:ind w:hanging="360" w:left="360" w:right="0"/>
              <w:rPr>
                <w:sz w:val="22"/>
                <w:szCs w:val="22"/>
              </w:rPr>
            </w:pPr>
            <w:r>
              <w:rPr>
                <w:sz w:val="22"/>
                <w:szCs w:val="22"/>
              </w:rPr>
            </w:r>
          </w:p>
          <w:p>
            <w:pPr>
              <w:pStyle w:val="Normal"/>
              <w:ind w:hanging="15" w:right="0"/>
              <w:rPr>
                <w:sz w:val="22"/>
                <w:szCs w:val="22"/>
              </w:rPr>
            </w:pPr>
            <w:r>
              <w:rPr>
                <w:sz w:val="22"/>
                <w:szCs w:val="22"/>
              </w:rPr>
              <w:t>Ability to use computer based systems and software packages.</w:t>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sz w:val="22"/>
                <w:szCs w:val="22"/>
              </w:rPr>
            </w:r>
          </w:p>
          <w:p>
            <w:pPr>
              <w:pStyle w:val="Normal"/>
              <w:rPr>
                <w:rFonts w:cs="Arial"/>
                <w:sz w:val="22"/>
                <w:szCs w:val="22"/>
              </w:rPr>
            </w:pPr>
            <w:r>
              <w:rPr>
                <w:rFonts w:cs="Arial"/>
                <w:sz w:val="22"/>
                <w:szCs w:val="22"/>
              </w:rPr>
            </w:r>
          </w:p>
          <w:p>
            <w:pPr>
              <w:pStyle w:val="Normal"/>
              <w:ind w:left="48" w:right="0"/>
              <w:jc w:val="center"/>
              <w:rPr>
                <w:rFonts w:cs="Arial"/>
                <w:sz w:val="22"/>
                <w:szCs w:val="22"/>
              </w:rPr>
            </w:pPr>
            <w:r>
              <w:rPr>
                <w:rFonts w:cs="Arial"/>
                <w:sz w:val="22"/>
                <w:szCs w:val="22"/>
              </w:rPr>
              <w:t>AF/I</w:t>
            </w:r>
          </w:p>
          <w:p>
            <w:pPr>
              <w:pStyle w:val="Normal"/>
              <w:jc w:val="center"/>
              <w:rPr/>
            </w:pPr>
            <w:r>
              <w:rPr/>
            </w:r>
          </w:p>
          <w:p>
            <w:pPr>
              <w:pStyle w:val="Normal"/>
              <w:jc w:val="center"/>
              <w:rPr/>
            </w:pPr>
            <w:r>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Extensive knowledge of relevant national and local legislation, policy and guidance – Best Start for Life/ Best Start Family Hubs and government initiatives pertaining to 0-19 services</w:t>
            </w:r>
          </w:p>
          <w:p>
            <w:pPr>
              <w:pStyle w:val="Normal"/>
              <w:rPr>
                <w:sz w:val="22"/>
                <w:szCs w:val="22"/>
              </w:rPr>
            </w:pPr>
            <w:r>
              <w:rPr>
                <w:sz w:val="22"/>
                <w:szCs w:val="22"/>
              </w:rPr>
            </w:r>
          </w:p>
          <w:p>
            <w:pPr>
              <w:pStyle w:val="Normal"/>
              <w:rPr>
                <w:sz w:val="22"/>
                <w:szCs w:val="22"/>
              </w:rPr>
            </w:pPr>
            <w:r>
              <w:rPr>
                <w:sz w:val="22"/>
                <w:szCs w:val="22"/>
              </w:rPr>
              <w:t xml:space="preserve">Knowledge of national and local safeguarding policies and procedures and experience of responding promptly and appropriately to safeguarding concerns </w:t>
            </w:r>
          </w:p>
          <w:p>
            <w:pPr>
              <w:pStyle w:val="Normal"/>
              <w:rPr>
                <w:sz w:val="22"/>
                <w:szCs w:val="22"/>
              </w:rPr>
            </w:pPr>
            <w:r>
              <w:rPr>
                <w:sz w:val="22"/>
                <w:szCs w:val="22"/>
              </w:rPr>
            </w:r>
          </w:p>
          <w:p>
            <w:pPr>
              <w:pStyle w:val="Normal"/>
              <w:rPr>
                <w:sz w:val="22"/>
                <w:szCs w:val="22"/>
              </w:rPr>
            </w:pPr>
            <w:r>
              <w:rPr>
                <w:sz w:val="22"/>
                <w:szCs w:val="22"/>
              </w:rPr>
              <w:t xml:space="preserve">A sound knowledge of other local services available to support families with children 0-19 (25 with SEND) </w:t>
            </w:r>
          </w:p>
          <w:p>
            <w:pPr>
              <w:pStyle w:val="Normal"/>
              <w:rPr>
                <w:sz w:val="22"/>
                <w:szCs w:val="22"/>
              </w:rPr>
            </w:pPr>
            <w:r>
              <w:rPr>
                <w:sz w:val="22"/>
                <w:szCs w:val="22"/>
              </w:rPr>
            </w:r>
          </w:p>
          <w:p>
            <w:pPr>
              <w:pStyle w:val="Normal"/>
              <w:rPr/>
            </w:pPr>
            <w:r>
              <w:rPr>
                <w:sz w:val="22"/>
                <w:szCs w:val="22"/>
              </w:rPr>
              <w:t>Demonstrable knowledge of child development, parental involvement and the impact of disadvantage on outcomes for children</w:t>
            </w:r>
            <w:r>
              <w:rPr/>
              <w:t>.</w:t>
            </w:r>
            <w:r>
              <w:rPr>
                <w:sz w:val="22"/>
                <w:szCs w:val="22"/>
              </w:rPr>
              <w:t xml:space="preserve"> </w:t>
            </w:r>
          </w:p>
          <w:p>
            <w:pPr>
              <w:pStyle w:val="Normal"/>
              <w:rPr>
                <w:sz w:val="22"/>
                <w:szCs w:val="22"/>
              </w:rPr>
            </w:pPr>
            <w:r>
              <w:rPr>
                <w:sz w:val="22"/>
                <w:szCs w:val="22"/>
              </w:rPr>
            </w:r>
          </w:p>
          <w:p>
            <w:pPr>
              <w:pStyle w:val="Normal"/>
              <w:rPr>
                <w:sz w:val="22"/>
                <w:szCs w:val="22"/>
              </w:rPr>
            </w:pPr>
            <w:r>
              <w:rPr>
                <w:sz w:val="22"/>
                <w:szCs w:val="22"/>
              </w:rPr>
              <w:t xml:space="preserve">Understanding the needs of families/individuals, and of the impact of disadvantage and social exclusion on outcomes for children and a commitment to and willingness to promote inclusion and equality of opportunity for all </w:t>
            </w:r>
          </w:p>
          <w:p>
            <w:pPr>
              <w:pStyle w:val="Normal"/>
              <w:rPr>
                <w:sz w:val="22"/>
                <w:szCs w:val="22"/>
              </w:rPr>
            </w:pPr>
            <w:r>
              <w:rPr>
                <w:sz w:val="22"/>
                <w:szCs w:val="22"/>
              </w:rPr>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Extensive knowledge of child development and impact of disadvantage on outcomes for children.</w:t>
            </w:r>
          </w:p>
          <w:p>
            <w:pPr>
              <w:pStyle w:val="Normal"/>
              <w:rPr>
                <w:sz w:val="22"/>
                <w:szCs w:val="22"/>
              </w:rPr>
            </w:pPr>
            <w:r>
              <w:rPr>
                <w:sz w:val="22"/>
                <w:szCs w:val="22"/>
              </w:rPr>
            </w:r>
          </w:p>
          <w:p>
            <w:pPr>
              <w:pStyle w:val="Normal"/>
              <w:rPr>
                <w:sz w:val="22"/>
                <w:szCs w:val="22"/>
              </w:rPr>
            </w:pPr>
            <w:r>
              <w:rPr>
                <w:sz w:val="22"/>
                <w:szCs w:val="22"/>
              </w:rPr>
              <w:t xml:space="preserve">Knowledge of the impact of Adverse Childhood Experiences on early childhood development. </w:t>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ind w:left="-20" w:right="0"/>
              <w:rPr>
                <w:rFonts w:cs="Arial"/>
                <w:b/>
                <w:bCs/>
                <w:sz w:val="22"/>
                <w:szCs w:val="22"/>
              </w:rPr>
            </w:pPr>
            <w:r>
              <w:rPr>
                <w:rFonts w:cs="Arial"/>
                <w:b/>
                <w:bCs/>
                <w:sz w:val="22"/>
                <w:szCs w:val="22"/>
              </w:rPr>
            </w:r>
          </w:p>
          <w:p>
            <w:pPr>
              <w:pStyle w:val="Normal"/>
              <w:ind w:left="-20" w:right="0"/>
              <w:rPr>
                <w:sz w:val="22"/>
                <w:szCs w:val="22"/>
              </w:rPr>
            </w:pPr>
            <w:r>
              <w:rPr>
                <w:sz w:val="22"/>
                <w:szCs w:val="22"/>
              </w:rPr>
              <w:t xml:space="preserve">Willingness to work flexibly to meet the needs of the service including occasional evenings or weekends </w:t>
            </w:r>
          </w:p>
          <w:p>
            <w:pPr>
              <w:pStyle w:val="Normal"/>
              <w:ind w:left="-20" w:right="0"/>
              <w:rPr>
                <w:sz w:val="22"/>
                <w:szCs w:val="22"/>
              </w:rPr>
            </w:pPr>
            <w:r>
              <w:rPr>
                <w:sz w:val="22"/>
                <w:szCs w:val="22"/>
              </w:rPr>
            </w:r>
          </w:p>
          <w:p>
            <w:pPr>
              <w:pStyle w:val="Normal"/>
              <w:ind w:left="-20" w:right="0"/>
              <w:rPr>
                <w:sz w:val="22"/>
                <w:szCs w:val="22"/>
              </w:rPr>
            </w:pPr>
            <w:r>
              <w:rPr>
                <w:sz w:val="22"/>
                <w:szCs w:val="22"/>
              </w:rPr>
              <w:t>Full Driving licence and ability to travel from site to site as a casual car user</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94" w:right="648"/>
              <w:rPr>
                <w:rFonts w:eastAsia="Arial" w:cs="Arial"/>
                <w:sz w:val="22"/>
                <w:szCs w:val="22"/>
              </w:rPr>
            </w:pPr>
            <w:r>
              <w:rPr>
                <w:rFonts w:eastAsia="Arial" w:cs="Arial"/>
                <w:sz w:val="22"/>
                <w:szCs w:val="22"/>
              </w:rPr>
              <w:t xml:space="preserve"> </w:t>
            </w:r>
          </w:p>
          <w:p>
            <w:pPr>
              <w:pStyle w:val="Normal"/>
              <w:ind w:left="-94" w:right="648"/>
              <w:jc w:val="center"/>
              <w:rPr/>
            </w:pPr>
            <w:r>
              <w:rPr>
                <w:rFonts w:eastAsia="Arial" w:cs="Arial"/>
                <w:sz w:val="22"/>
                <w:szCs w:val="22"/>
              </w:rPr>
              <w:t xml:space="preserve">       </w:t>
            </w:r>
            <w:r>
              <w:rPr>
                <w:rFonts w:cs="Arial"/>
                <w:sz w:val="22"/>
                <w:szCs w:val="22"/>
              </w:rPr>
              <w:t>I</w:t>
            </w:r>
          </w:p>
          <w:p>
            <w:pPr>
              <w:pStyle w:val="Normal"/>
              <w:ind w:left="-94" w:right="648"/>
              <w:jc w:val="center"/>
              <w:rPr>
                <w:rFonts w:cs="Arial"/>
                <w:sz w:val="22"/>
                <w:szCs w:val="22"/>
              </w:rPr>
            </w:pPr>
            <w:r>
              <w:rPr>
                <w:rFonts w:cs="Arial"/>
                <w:sz w:val="22"/>
                <w:szCs w:val="22"/>
              </w:rPr>
            </w:r>
          </w:p>
          <w:p>
            <w:pPr>
              <w:pStyle w:val="Normal"/>
              <w:ind w:left="-94" w:right="648"/>
              <w:jc w:val="center"/>
              <w:rPr>
                <w:rFonts w:cs="Arial"/>
                <w:sz w:val="22"/>
                <w:szCs w:val="22"/>
              </w:rPr>
            </w:pPr>
            <w:r>
              <w:rPr>
                <w:rFonts w:cs="Arial"/>
                <w:sz w:val="22"/>
                <w:szCs w:val="22"/>
              </w:rPr>
            </w:r>
          </w:p>
          <w:p>
            <w:pPr>
              <w:pStyle w:val="Normal"/>
              <w:ind w:left="-94" w:right="648"/>
              <w:jc w:val="center"/>
              <w:rPr/>
            </w:pPr>
            <w:r>
              <w:rPr>
                <w:rFonts w:eastAsia="Arial" w:cs="Arial"/>
                <w:sz w:val="22"/>
                <w:szCs w:val="22"/>
              </w:rPr>
              <w:t xml:space="preserve">      </w:t>
            </w:r>
            <w:r>
              <w:rPr>
                <w:rFonts w:cs="Arial"/>
                <w:sz w:val="22"/>
                <w:szCs w:val="22"/>
              </w:rPr>
              <w:t>I</w:t>
            </w:r>
          </w:p>
          <w:p>
            <w:pPr>
              <w:pStyle w:val="Normal"/>
              <w:ind w:left="-94" w:right="648"/>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rPr/>
      </w:pPr>
      <w:r>
        <w:rPr>
          <w:rFonts w:cs="Arial"/>
          <w:b/>
          <w:bCs/>
          <w:sz w:val="22"/>
          <w:szCs w:val="22"/>
        </w:rPr>
        <w:t xml:space="preserve">NB. - Any candidate that meets the criteria of our </w:t>
      </w:r>
      <w:r>
        <w:rPr>
          <w:rStyle w:val="Hyperlink"/>
          <w:rFonts w:cs="Arial"/>
          <w:b/>
          <w:bCs/>
          <w:sz w:val="22"/>
          <w:szCs w:val="22"/>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decimal"/>
      <w:lvlText w:val="%1."/>
      <w:lvlJc w:val="left"/>
      <w:pPr>
        <w:tabs>
          <w:tab w:val="num" w:pos="0"/>
        </w:tabs>
        <w:ind w:left="720" w:hanging="360"/>
      </w:pPr>
      <w:rPr>
        <w:sz w:val="22"/>
        <w:szCs w:val="22"/>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Arial" w:hAnsi="Arial" w:cs="Arial"/>
      <w:sz w:val="22"/>
      <w:szCs w:val="2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Hyperlink">
    <w:name w:val="Hyperlink"/>
    <w:basedOn w:val="DefaultParagraphFont"/>
    <w:rPr>
      <w:color w:val="0563C1"/>
      <w:u w:val="single"/>
    </w:rPr>
  </w:style>
  <w:style w:type="character" w:styleId="annotationreference">
    <w:name w:val="annotation reference"/>
    <w:basedOn w:val="DefaultParagraphFont"/>
    <w:qFormat/>
    <w:rPr>
      <w:sz w:val="16"/>
      <w:szCs w:val="16"/>
    </w:rPr>
  </w:style>
  <w:style w:type="character" w:styleId="CommentSubjectChar">
    <w:name w:val="Comment Subject Char"/>
    <w:basedOn w:val="CommentTextChar"/>
    <w:qFormat/>
    <w:rPr>
      <w:rFonts w:ascii="Arial" w:hAnsi="Arial" w:cs="Arial"/>
      <w:b/>
      <w:bCs/>
      <w:lang w:eastAsia="en-US"/>
    </w:rPr>
  </w:style>
  <w:style w:type="character" w:styleId="UnresolvedMention">
    <w:name w:val="Unresolved Mention"/>
    <w:basedOn w:val="DefaultParagraphFont"/>
    <w:qFormat/>
    <w:rPr>
      <w:color w:val="605E5C"/>
      <w:shd w:fill="E1DFDD" w:val="clear"/>
    </w:rPr>
  </w:style>
  <w:style w:type="character" w:styleId="Emphasis">
    <w:name w:val="Emphasis"/>
    <w:basedOn w:val="DefaultParagraphFont"/>
    <w:qFormat/>
    <w:rPr>
      <w:i/>
      <w:iCs/>
    </w:rPr>
  </w:style>
  <w:style w:type="character" w:styleId="FooterChar">
    <w:name w:val="Footer Char"/>
    <w:basedOn w:val="DefaultParagraphFont"/>
    <w:qFormat/>
    <w:rPr>
      <w:rFonts w:ascii="Arial" w:hAnsi="Arial" w:cs="Arial"/>
      <w:sz w:val="24"/>
      <w:szCs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annotationsubject">
    <w:name w:val="annotation subject"/>
    <w:basedOn w:val="annotationtext"/>
    <w:next w:val="annotationtext"/>
    <w:qFormat/>
    <w:pPr/>
    <w:rPr>
      <w:rFonts w:ascii="Arial" w:hAnsi="Arial" w:cs="Arial"/>
      <w:b/>
      <w:bCs/>
    </w:rPr>
  </w:style>
  <w:style w:type="paragraph" w:styleId="Footer">
    <w:name w:val="Footer"/>
    <w:basedOn w:val="Normal"/>
    <w:pPr>
      <w:tabs>
        <w:tab w:val="clear" w:pos="720"/>
        <w:tab w:val="center" w:pos="4513" w:leader="none"/>
        <w:tab w:val="right" w:pos="9026" w:leader="none"/>
      </w:tabs>
    </w:pPr>
    <w:rPr/>
  </w:style>
  <w:style w:type="paragraph" w:styleId="Revision">
    <w:name w:val="Revision"/>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