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sz w:val="22"/>
          <w:szCs w:val="22"/>
        </w:rPr>
      </w:pPr>
      <w:r>
        <w:rPr>
          <w:rFonts w:cs="Arial"/>
          <w:sz w:val="22"/>
          <w:szCs w:val="22"/>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5200" cy="1097915"/>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v:textbox>
              </v:rect>
            </w:pict>
          </mc:Fallback>
        </mc:AlternateContent>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Job Title: </w:t>
            </w:r>
          </w:p>
          <w:p>
            <w:pPr>
              <w:pStyle w:val="Normal"/>
              <w:rPr>
                <w:rFonts w:cs="Arial"/>
                <w:color w:val="FFFFFF"/>
                <w:sz w:val="22"/>
                <w:szCs w:val="22"/>
              </w:rPr>
            </w:pPr>
            <w:r>
              <w:rPr>
                <w:rFonts w:cs="Arial"/>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Head of Learning &amp; Culture</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Directorate:</w:t>
            </w:r>
            <w:r>
              <w:rPr>
                <w:rFonts w:cs="Arial"/>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Resources</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Division/Section:</w:t>
            </w:r>
            <w:r>
              <w:rPr>
                <w:rFonts w:cs="Arial"/>
                <w:color w:val="FFFFFF"/>
                <w:sz w:val="22"/>
                <w:szCs w:val="22"/>
              </w:rPr>
              <w:t xml:space="preserve"> </w:t>
            </w:r>
          </w:p>
          <w:p>
            <w:pPr>
              <w:pStyle w:val="Normal"/>
              <w:rPr>
                <w:rFonts w:cs="Arial"/>
                <w:color w:val="FFFFFF"/>
                <w:sz w:val="22"/>
                <w:szCs w:val="22"/>
              </w:rPr>
            </w:pPr>
            <w:r>
              <w:rPr>
                <w:rFonts w:cs="Arial"/>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color w:val="333333"/>
                <w:sz w:val="22"/>
                <w:szCs w:val="22"/>
              </w:rPr>
            </w:pPr>
            <w:r>
              <w:rPr>
                <w:rFonts w:cs="Arial"/>
                <w:color w:val="333333"/>
                <w:sz w:val="22"/>
                <w:szCs w:val="22"/>
              </w:rPr>
              <w:t>HR, Organisational Development and Transformation</w:t>
            </w:r>
          </w:p>
          <w:p>
            <w:pPr>
              <w:pStyle w:val="Normal"/>
              <w:rPr>
                <w:rFonts w:cs="Arial"/>
                <w:sz w:val="22"/>
                <w:szCs w:val="22"/>
              </w:rPr>
            </w:pPr>
            <w:r>
              <w:rPr>
                <w:rFonts w:cs="Arial"/>
                <w:sz w:val="22"/>
                <w:szCs w:val="22"/>
              </w:rPr>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Grade:  </w:t>
            </w:r>
          </w:p>
          <w:p>
            <w:pPr>
              <w:pStyle w:val="Normal"/>
              <w:rPr>
                <w:rFonts w:cs="Arial"/>
                <w:color w:val="FFFFFF"/>
                <w:sz w:val="22"/>
                <w:szCs w:val="22"/>
              </w:rPr>
            </w:pPr>
            <w:r>
              <w:rPr>
                <w:rFonts w:cs="Arial"/>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SM2</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color w:val="FFFFFF"/>
                <w:szCs w:val="22"/>
              </w:rPr>
            </w:pPr>
            <w:r>
              <w:rPr>
                <w:rFonts w:cs="Arial"/>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3666</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39"/>
        <w:gridCol w:w="9910"/>
      </w:tblGrid>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 xml:space="preserve">Job Purpose:   </w:t>
            </w:r>
          </w:p>
        </w:tc>
      </w:tr>
      <w:tr>
        <w:trPr>
          <w:trHeight w:val="390" w:hRule="atLeast"/>
        </w:trPr>
        <w:tc>
          <w:tcPr>
            <w:tcW w:w="539" w:type="dxa"/>
            <w:tcBorders>
              <w:left w:val="single" w:sz="4" w:space="0" w:color="000000"/>
            </w:tcBorders>
            <w:shd w:fill="auto" w:val="clear"/>
          </w:tcPr>
          <w:p>
            <w:pPr>
              <w:pStyle w:val="Endnote"/>
              <w:snapToGrid w:val="false"/>
              <w:ind w:left="720" w:right="0" w:hanging="0"/>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 xml:space="preserve">The role will manage and provide direction to the Organisation Development services of Workforce. This includes Learning and Development; Organisational Development and Design; Workforce Wellbeing; Apprenticeships; Reward and Recognition; Workforce Engagement; Leadership Development and Talent Management and Development.  </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The role will support the Assistant Director of Workforce &amp; Organisational Culture and the HR Divisional  Management Team to deliver aspects of the organisational Workforce &amp; Culture Strategy linked to culture, inclusion,  learning and pathways into employment.</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 xml:space="preserve">Key Tasks: </w:t>
            </w:r>
          </w:p>
        </w:tc>
      </w:tr>
      <w:tr>
        <w:trPr>
          <w:trHeight w:val="390" w:hRule="atLeast"/>
        </w:trPr>
        <w:tc>
          <w:tcPr>
            <w:tcW w:w="539" w:type="dxa"/>
            <w:tcBorders>
              <w:top w:val="single" w:sz="4" w:space="0" w:color="000000"/>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tc>
        <w:tc>
          <w:tcPr>
            <w:tcW w:w="9910" w:type="dxa"/>
            <w:tcBorders>
              <w:top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sz w:val="22"/>
                <w:szCs w:val="22"/>
              </w:rPr>
            </w:r>
          </w:p>
          <w:p>
            <w:pPr>
              <w:pStyle w:val="Normal"/>
              <w:numPr>
                <w:ilvl w:val="0"/>
                <w:numId w:val="3"/>
              </w:numPr>
              <w:jc w:val="both"/>
              <w:rPr>
                <w:rFonts w:cs="Arial"/>
                <w:sz w:val="22"/>
                <w:szCs w:val="22"/>
              </w:rPr>
            </w:pPr>
            <w:r>
              <w:rPr>
                <w:rFonts w:cs="Arial"/>
                <w:sz w:val="22"/>
                <w:szCs w:val="22"/>
              </w:rPr>
              <w:t>Be responsible for the Learning, Development and Organisational Development function and service. This includes KPIs, mandatory training compliance and service standards, wellbeing .</w:t>
            </w:r>
          </w:p>
          <w:p>
            <w:pPr>
              <w:pStyle w:val="Normal"/>
              <w:numPr>
                <w:ilvl w:val="0"/>
                <w:numId w:val="3"/>
              </w:numPr>
              <w:jc w:val="both"/>
              <w:rPr>
                <w:rFonts w:cs="Arial"/>
                <w:sz w:val="22"/>
                <w:szCs w:val="22"/>
              </w:rPr>
            </w:pPr>
            <w:r>
              <w:rPr>
                <w:rFonts w:cs="Arial"/>
                <w:sz w:val="22"/>
                <w:szCs w:val="22"/>
              </w:rPr>
              <w:t>Lead development and rollout of a Leadership and Management framework and development offer.</w:t>
            </w:r>
          </w:p>
          <w:p>
            <w:pPr>
              <w:pStyle w:val="Normal"/>
              <w:numPr>
                <w:ilvl w:val="0"/>
                <w:numId w:val="3"/>
              </w:numPr>
              <w:jc w:val="both"/>
              <w:rPr>
                <w:rFonts w:cs="Arial"/>
                <w:sz w:val="22"/>
                <w:szCs w:val="22"/>
              </w:rPr>
            </w:pPr>
            <w:r>
              <w:rPr>
                <w:rFonts w:cs="Arial"/>
                <w:sz w:val="22"/>
                <w:szCs w:val="22"/>
              </w:rPr>
              <w:t xml:space="preserve">Support the Assistant Director of Workforce &amp; Organisational Culture to develop and embed a Workforce &amp; Culture Strategy that supports the Council to deliver on the Oldham Plan and to be a Council fit for the future. </w:t>
            </w:r>
          </w:p>
          <w:p>
            <w:pPr>
              <w:pStyle w:val="Normal"/>
              <w:numPr>
                <w:ilvl w:val="0"/>
                <w:numId w:val="2"/>
              </w:numPr>
              <w:rPr>
                <w:bCs/>
                <w:sz w:val="22"/>
                <w:szCs w:val="22"/>
              </w:rPr>
            </w:pPr>
            <w:r>
              <w:rPr>
                <w:bCs/>
                <w:sz w:val="22"/>
                <w:szCs w:val="22"/>
              </w:rPr>
              <w:t>Design and deliver projects as set by the Executive Team or the Assistant Director of Workforce &amp; Organisational Culture to support the development of a staff experience that will embed the Council as a great place to work. This includes roll out, monitoring and action planning against the Staff Survey, in partnership with the Strategic Workforce Partners.</w:t>
            </w:r>
          </w:p>
          <w:p>
            <w:pPr>
              <w:pStyle w:val="Normal"/>
              <w:numPr>
                <w:ilvl w:val="0"/>
                <w:numId w:val="2"/>
              </w:numPr>
              <w:rPr/>
            </w:pPr>
            <w:r>
              <w:rPr>
                <w:rFonts w:eastAsia="Arial" w:cs="Arial"/>
                <w:bCs/>
                <w:sz w:val="22"/>
                <w:szCs w:val="22"/>
              </w:rPr>
              <w:t xml:space="preserve"> </w:t>
            </w:r>
            <w:r>
              <w:rPr>
                <w:bCs/>
                <w:sz w:val="22"/>
                <w:szCs w:val="22"/>
              </w:rPr>
              <w:t xml:space="preserve">Work with the Communication Teams and the Strategic Workforce Partners to </w:t>
            </w:r>
            <w:r>
              <w:rPr>
                <w:rFonts w:cs="Arial"/>
                <w:sz w:val="22"/>
                <w:szCs w:val="22"/>
              </w:rPr>
              <w:t>develop and embed the Council’s values &amp; behaviours.</w:t>
            </w:r>
          </w:p>
          <w:p>
            <w:pPr>
              <w:pStyle w:val="Normal"/>
              <w:numPr>
                <w:ilvl w:val="0"/>
                <w:numId w:val="2"/>
              </w:numPr>
              <w:rPr>
                <w:bCs/>
                <w:sz w:val="22"/>
                <w:szCs w:val="22"/>
              </w:rPr>
            </w:pPr>
            <w:r>
              <w:rPr>
                <w:bCs/>
                <w:sz w:val="22"/>
                <w:szCs w:val="22"/>
              </w:rPr>
              <w:t>To further drive progress against the GM Inclusion Standards, working with our Peer Networks and senior team to identify priorities and opportunities to create an inclusive culture at the Council.</w:t>
            </w:r>
          </w:p>
          <w:p>
            <w:pPr>
              <w:pStyle w:val="Normal"/>
              <w:numPr>
                <w:ilvl w:val="0"/>
                <w:numId w:val="3"/>
              </w:numPr>
              <w:jc w:val="both"/>
              <w:rPr>
                <w:rFonts w:cs="Arial"/>
                <w:sz w:val="22"/>
                <w:szCs w:val="22"/>
              </w:rPr>
            </w:pPr>
            <w:r>
              <w:rPr>
                <w:rFonts w:cs="Arial"/>
                <w:sz w:val="22"/>
                <w:szCs w:val="22"/>
              </w:rPr>
              <w:t>Develop a Talent Management framework that supports the attraction, development and progression of career pathways at all levels for the workforce, focusing on our Grow our Own approach for key skills gaps and developing a new generation of public sector workers.</w:t>
            </w:r>
          </w:p>
          <w:p>
            <w:pPr>
              <w:pStyle w:val="Normal"/>
              <w:numPr>
                <w:ilvl w:val="0"/>
                <w:numId w:val="3"/>
              </w:numPr>
              <w:jc w:val="both"/>
              <w:rPr>
                <w:rFonts w:cs="Arial"/>
                <w:sz w:val="22"/>
                <w:szCs w:val="22"/>
              </w:rPr>
            </w:pPr>
            <w:r>
              <w:rPr>
                <w:rFonts w:cs="Arial"/>
                <w:sz w:val="22"/>
                <w:szCs w:val="22"/>
              </w:rPr>
              <w:t>Work with the HR Advisory team &amp; Strategic Workforce Partners to support skill development in restorative practice, supporting a shift from formal grievance action to facilitative and mediative responses where appropriate.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511" w:type="dxa"/>
        <w:jc w:val="left"/>
        <w:tblInd w:w="-617" w:type="dxa"/>
        <w:tblCellMar>
          <w:top w:w="0" w:type="dxa"/>
          <w:left w:w="108" w:type="dxa"/>
          <w:bottom w:w="0" w:type="dxa"/>
          <w:right w:w="108" w:type="dxa"/>
        </w:tblCellMar>
      </w:tblPr>
      <w:tblGrid>
        <w:gridCol w:w="10511"/>
      </w:tblGrid>
      <w:tr>
        <w:trPr/>
        <w:tc>
          <w:tcPr>
            <w:tcW w:w="10511"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color w:val="FFFFFF"/>
                <w:sz w:val="22"/>
                <w:szCs w:val="22"/>
              </w:rPr>
            </w:pPr>
            <w:r>
              <w:rPr>
                <w:rFonts w:cs="Arial"/>
                <w:b/>
                <w:color w:val="FFFFFF"/>
                <w:sz w:val="22"/>
                <w:szCs w:val="22"/>
              </w:rPr>
              <w:t xml:space="preserve">General Tasks: </w:t>
            </w:r>
          </w:p>
          <w:p>
            <w:pPr>
              <w:pStyle w:val="Normal"/>
              <w:jc w:val="both"/>
              <w:rPr>
                <w:rFonts w:cs="Arial"/>
                <w:color w:val="FFFFFF"/>
                <w:sz w:val="22"/>
                <w:szCs w:val="22"/>
              </w:rPr>
            </w:pPr>
            <w:r>
              <w:rPr>
                <w:rFonts w:cs="Arial"/>
                <w:color w:val="FFFFFF"/>
                <w:sz w:val="22"/>
                <w:szCs w:val="22"/>
              </w:rPr>
            </w:r>
          </w:p>
        </w:tc>
      </w:tr>
      <w:tr>
        <w:trPr>
          <w:trHeight w:val="255" w:hRule="atLeast"/>
        </w:trPr>
        <w:tc>
          <w:tcPr>
            <w:tcW w:w="10511" w:type="dxa"/>
            <w:tcBorders>
              <w:top w:val="single" w:sz="4" w:space="0" w:color="000000"/>
              <w:left w:val="single" w:sz="4" w:space="0" w:color="000000"/>
              <w:right w:val="single" w:sz="4" w:space="0" w:color="000000"/>
            </w:tcBorders>
            <w:shd w:fill="auto" w:val="clear"/>
          </w:tcPr>
          <w:p>
            <w:pPr>
              <w:pStyle w:val="Normal"/>
              <w:jc w:val="both"/>
              <w:rPr>
                <w:rFonts w:eastAsia="Arial" w:cs="Arial"/>
                <w:sz w:val="22"/>
                <w:szCs w:val="22"/>
              </w:rPr>
            </w:pPr>
            <w:r>
              <w:rPr>
                <w:rFonts w:eastAsia="Arial" w:cs="Arial"/>
                <w:sz w:val="22"/>
                <w:szCs w:val="22"/>
              </w:rPr>
              <w:t xml:space="preserve">               </w:t>
            </w:r>
          </w:p>
        </w:tc>
      </w:tr>
      <w:tr>
        <w:trPr>
          <w:trHeight w:val="255" w:hRule="atLeast"/>
        </w:trPr>
        <w:tc>
          <w:tcPr>
            <w:tcW w:w="10511" w:type="dxa"/>
            <w:tcBorders>
              <w:left w:val="single" w:sz="4" w:space="0" w:color="000000"/>
              <w:right w:val="single" w:sz="4" w:space="0" w:color="000000"/>
            </w:tcBorders>
            <w:shd w:fill="auto" w:val="clear"/>
          </w:tcPr>
          <w:p>
            <w:pPr>
              <w:pStyle w:val="Normal"/>
              <w:numPr>
                <w:ilvl w:val="0"/>
                <w:numId w:val="2"/>
              </w:numPr>
              <w:rPr>
                <w:rFonts w:cs="Arial"/>
                <w:sz w:val="22"/>
                <w:szCs w:val="22"/>
              </w:rPr>
            </w:pPr>
            <w:r>
              <w:rPr>
                <w:rFonts w:cs="Arial"/>
                <w:sz w:val="22"/>
                <w:szCs w:val="22"/>
              </w:rPr>
              <w:t>Responsible for the delivery of a comprehensive range of Organisational Development &amp; Learning services across the whole organisation.</w:t>
            </w:r>
          </w:p>
          <w:p>
            <w:pPr>
              <w:pStyle w:val="Normal"/>
              <w:numPr>
                <w:ilvl w:val="0"/>
                <w:numId w:val="2"/>
              </w:numPr>
              <w:rPr>
                <w:rFonts w:cs="Arial"/>
                <w:sz w:val="22"/>
                <w:szCs w:val="22"/>
              </w:rPr>
            </w:pPr>
            <w:r>
              <w:rPr>
                <w:rFonts w:cs="Arial"/>
                <w:sz w:val="22"/>
                <w:szCs w:val="22"/>
              </w:rPr>
              <w:t>Use data and insights to advise on potential risks and opportunities within the current workforce offer and culture.</w:t>
            </w:r>
          </w:p>
          <w:p>
            <w:pPr>
              <w:pStyle w:val="Normal"/>
              <w:numPr>
                <w:ilvl w:val="0"/>
                <w:numId w:val="2"/>
              </w:numPr>
              <w:rPr>
                <w:rFonts w:cs="Arial"/>
                <w:sz w:val="22"/>
                <w:szCs w:val="22"/>
              </w:rPr>
            </w:pPr>
            <w:r>
              <w:rPr>
                <w:rFonts w:cs="Arial"/>
                <w:sz w:val="22"/>
                <w:szCs w:val="22"/>
              </w:rPr>
              <w:t>Lead the development of agreed medium and long-term strategies that support leadership and workforce development, workforce wellbeing and workforce engagement and recognition as agreed as part of the Workforce &amp; Culture Strategy.</w:t>
            </w:r>
          </w:p>
          <w:p>
            <w:pPr>
              <w:pStyle w:val="Normal"/>
              <w:numPr>
                <w:ilvl w:val="0"/>
                <w:numId w:val="2"/>
              </w:numPr>
              <w:rPr>
                <w:rFonts w:cs="Arial"/>
                <w:sz w:val="22"/>
                <w:szCs w:val="22"/>
              </w:rPr>
            </w:pPr>
            <w:r>
              <w:rPr>
                <w:rFonts w:cs="Arial"/>
                <w:sz w:val="22"/>
                <w:szCs w:val="22"/>
              </w:rPr>
              <w:t>Take a lead role in designing and developing cultural change initiatives, working with the Assistant Director of Workforce &amp; Organisational Culture and the Strategic Workforce Partners to understand current cultural norms and programmes to change to better meet Council ambitions.</w:t>
            </w:r>
          </w:p>
          <w:p>
            <w:pPr>
              <w:pStyle w:val="Normal"/>
              <w:numPr>
                <w:ilvl w:val="0"/>
                <w:numId w:val="2"/>
              </w:numPr>
              <w:rPr>
                <w:rFonts w:cs="Arial"/>
                <w:sz w:val="22"/>
                <w:szCs w:val="22"/>
              </w:rPr>
            </w:pPr>
            <w:r>
              <w:rPr>
                <w:rFonts w:cs="Arial"/>
                <w:sz w:val="22"/>
                <w:szCs w:val="22"/>
              </w:rPr>
              <w:t xml:space="preserve">Provide Organisational Development advice and lead key OD interventions at Corporate level to support the organisational change and transformation agenda, including sourcing and adapting intelligence from local, national and international best practice workforce development initiatives </w:t>
            </w:r>
          </w:p>
          <w:p>
            <w:pPr>
              <w:pStyle w:val="Normal"/>
              <w:numPr>
                <w:ilvl w:val="0"/>
                <w:numId w:val="2"/>
              </w:numPr>
              <w:rPr>
                <w:rFonts w:cs="Arial"/>
                <w:sz w:val="22"/>
                <w:szCs w:val="22"/>
              </w:rPr>
            </w:pPr>
            <w:r>
              <w:rPr>
                <w:rFonts w:cs="Arial"/>
                <w:sz w:val="22"/>
                <w:szCs w:val="22"/>
              </w:rPr>
              <w:t xml:space="preserve">Support management teams across the Council in developing and embedding the Council’s vision, values, culture and behaviours  </w:t>
            </w:r>
          </w:p>
          <w:p>
            <w:pPr>
              <w:pStyle w:val="Normal"/>
              <w:numPr>
                <w:ilvl w:val="0"/>
                <w:numId w:val="2"/>
              </w:numPr>
              <w:rPr>
                <w:rFonts w:cs="Arial"/>
                <w:sz w:val="22"/>
                <w:szCs w:val="22"/>
              </w:rPr>
            </w:pPr>
            <w:r>
              <w:rPr>
                <w:rFonts w:cs="Arial"/>
                <w:sz w:val="22"/>
                <w:szCs w:val="22"/>
              </w:rPr>
              <w:t xml:space="preserve">Interpret and assess local and national workforce development strategies and policies and recommend courses of action to senior management </w:t>
            </w:r>
          </w:p>
          <w:p>
            <w:pPr>
              <w:pStyle w:val="Normal"/>
              <w:numPr>
                <w:ilvl w:val="0"/>
                <w:numId w:val="2"/>
              </w:numPr>
              <w:rPr>
                <w:sz w:val="22"/>
                <w:szCs w:val="22"/>
              </w:rPr>
            </w:pPr>
            <w:r>
              <w:rPr>
                <w:sz w:val="22"/>
                <w:szCs w:val="22"/>
              </w:rPr>
              <w:t>Actively engage with senior leaders to assess the impact of the overall organisation design on factors such as behaviour, attitudes, culture, systems and communication</w:t>
            </w:r>
          </w:p>
          <w:p>
            <w:pPr>
              <w:pStyle w:val="Normal"/>
              <w:numPr>
                <w:ilvl w:val="0"/>
                <w:numId w:val="2"/>
              </w:numPr>
              <w:rPr>
                <w:rFonts w:cs="Arial"/>
                <w:sz w:val="22"/>
                <w:szCs w:val="22"/>
              </w:rPr>
            </w:pPr>
            <w:r>
              <w:rPr>
                <w:rFonts w:cs="Arial"/>
                <w:sz w:val="22"/>
                <w:szCs w:val="22"/>
              </w:rPr>
              <w:t xml:space="preserve">To be accountable for the delivery of Learning and Development and Apprenticeship programmes that support effective spend of the training budget, Apprenticeship Levy and ensure value for money from the e-learning contract </w:t>
            </w:r>
          </w:p>
          <w:p>
            <w:pPr>
              <w:pStyle w:val="Normal"/>
              <w:numPr>
                <w:ilvl w:val="0"/>
                <w:numId w:val="2"/>
              </w:numPr>
              <w:rPr>
                <w:rFonts w:cs="Arial"/>
                <w:sz w:val="22"/>
                <w:szCs w:val="22"/>
              </w:rPr>
            </w:pPr>
            <w:r>
              <w:rPr>
                <w:rFonts w:cs="Arial"/>
                <w:sz w:val="22"/>
                <w:szCs w:val="22"/>
              </w:rPr>
              <w:t>To be responsible for the organisational wellbeing offer and supporting budget, including ensuring that the Occupational Health (OH) and Employee Assistance Programme (EAP) contracts provide value for money and support the wider wellbeing focus.</w:t>
            </w:r>
          </w:p>
          <w:p>
            <w:pPr>
              <w:pStyle w:val="Normal"/>
              <w:numPr>
                <w:ilvl w:val="0"/>
                <w:numId w:val="2"/>
              </w:numPr>
              <w:rPr>
                <w:rFonts w:cs="Arial"/>
                <w:sz w:val="22"/>
                <w:szCs w:val="22"/>
              </w:rPr>
            </w:pPr>
            <w:r>
              <w:rPr>
                <w:rFonts w:cs="Arial"/>
                <w:sz w:val="22"/>
                <w:szCs w:val="22"/>
              </w:rPr>
              <w:t>Support the Assistant Director of Workforce &amp; Organisational Culture to advance workforce EDI priorities as identified in the Corporate EDI Plan.</w:t>
            </w:r>
          </w:p>
          <w:p>
            <w:pPr>
              <w:pStyle w:val="Normal"/>
              <w:numPr>
                <w:ilvl w:val="0"/>
                <w:numId w:val="2"/>
              </w:numPr>
              <w:rPr>
                <w:rFonts w:cs="Arial"/>
                <w:sz w:val="22"/>
                <w:szCs w:val="22"/>
              </w:rPr>
            </w:pPr>
            <w:r>
              <w:rPr>
                <w:rFonts w:cs="Arial"/>
                <w:sz w:val="22"/>
                <w:szCs w:val="22"/>
              </w:rPr>
              <w:t>Provide line management support to the OD and Learning &amp; Development Teams, including recruitment, performance and team development.</w:t>
            </w:r>
          </w:p>
        </w:tc>
      </w:tr>
      <w:tr>
        <w:trPr>
          <w:trHeight w:val="255" w:hRule="atLeast"/>
        </w:trPr>
        <w:tc>
          <w:tcPr>
            <w:tcW w:w="10511" w:type="dxa"/>
            <w:tcBorders>
              <w:left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tc>
      </w:tr>
      <w:tr>
        <w:trPr>
          <w:trHeight w:val="255" w:hRule="atLeast"/>
        </w:trPr>
        <w:tc>
          <w:tcPr>
            <w:tcW w:w="10511" w:type="dxa"/>
            <w:tcBorders>
              <w:left w:val="single" w:sz="4" w:space="0" w:color="000000"/>
              <w:right w:val="single" w:sz="4" w:space="0" w:color="000000"/>
            </w:tcBorders>
            <w:shd w:fill="auto" w:val="clear"/>
          </w:tcPr>
          <w:p>
            <w:pPr>
              <w:pStyle w:val="Normal"/>
              <w:snapToGrid w:val="false"/>
              <w:jc w:val="both"/>
              <w:rPr>
                <w:rFonts w:cs="Arial"/>
                <w:b/>
                <w:b/>
                <w:sz w:val="22"/>
                <w:szCs w:val="22"/>
              </w:rPr>
            </w:pPr>
            <w:r>
              <w:rPr>
                <w:rFonts w:cs="Arial"/>
                <w:b/>
                <w:sz w:val="22"/>
                <w:szCs w:val="22"/>
              </w:rPr>
            </w:r>
          </w:p>
        </w:tc>
      </w:tr>
      <w:tr>
        <w:trPr>
          <w:trHeight w:val="87" w:hRule="atLeast"/>
        </w:trPr>
        <w:tc>
          <w:tcPr>
            <w:tcW w:w="10511" w:type="dxa"/>
            <w:tcBorders>
              <w:left w:val="single" w:sz="4" w:space="0" w:color="000000"/>
              <w:bottom w:val="single" w:sz="4" w:space="0" w:color="000000"/>
              <w:right w:val="single" w:sz="4" w:space="0" w:color="000000"/>
            </w:tcBorders>
            <w:shd w:fill="auto" w:val="clear"/>
          </w:tcPr>
          <w:p>
            <w:pPr>
              <w:pStyle w:val="Normal"/>
              <w:jc w:val="both"/>
              <w:rPr>
                <w:rFonts w:eastAsia="Arial" w:cs="Arial"/>
                <w:b/>
                <w:b/>
                <w:sz w:val="22"/>
                <w:szCs w:val="22"/>
              </w:rPr>
            </w:pPr>
            <w:r>
              <w:rPr>
                <w:rFonts w:eastAsia="Arial" w:cs="Arial"/>
                <w:b/>
                <w:sz w:val="22"/>
                <w:szCs w:val="22"/>
              </w:rPr>
              <w:t xml:space="preserve">                                                        </w:t>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color w:val="FFFFFF"/>
                <w:sz w:val="22"/>
                <w:szCs w:val="22"/>
              </w:rPr>
            </w:pPr>
            <w:r>
              <w:rPr>
                <w:rFonts w:cs="Arial"/>
                <w:b/>
                <w:color w:val="FFFFFF"/>
                <w:sz w:val="22"/>
                <w:szCs w:val="22"/>
              </w:rPr>
              <w:t>Standard Duties:</w:t>
            </w:r>
          </w:p>
          <w:p>
            <w:pPr>
              <w:pStyle w:val="Normal"/>
              <w:jc w:val="both"/>
              <w:rPr>
                <w:rFonts w:cs="Arial"/>
                <w:color w:val="FFFFFF"/>
                <w:sz w:val="22"/>
                <w:szCs w:val="22"/>
              </w:rPr>
            </w:pPr>
            <w:r>
              <w:rPr>
                <w:rFonts w:cs="Arial"/>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color w:val="FFFFFF"/>
                <w:sz w:val="22"/>
                <w:szCs w:val="22"/>
              </w:rPr>
            </w:pPr>
            <w:r>
              <w:rPr>
                <w:rFonts w:cs="Arial"/>
                <w:color w:val="FFFFFF"/>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sz w:val="22"/>
                <w:szCs w:val="22"/>
              </w:rPr>
            </w:pPr>
            <w:r>
              <w:rPr>
                <w:rFonts w:cs="Arial"/>
                <w:b/>
                <w:sz w:val="22"/>
                <w:szCs w:val="22"/>
              </w:rPr>
              <w:t>Contacts:</w:t>
            </w:r>
          </w:p>
          <w:p>
            <w:pPr>
              <w:pStyle w:val="Normal"/>
              <w:jc w:val="both"/>
              <w:rPr>
                <w:rFonts w:cs="Arial"/>
                <w:b/>
                <w:b/>
                <w:sz w:val="22"/>
                <w:szCs w:val="22"/>
              </w:rPr>
            </w:pPr>
            <w:r>
              <w:rPr>
                <w:rFonts w:cs="Arial"/>
                <w:b/>
                <w:sz w:val="22"/>
                <w:szCs w:val="22"/>
              </w:rPr>
            </w:r>
          </w:p>
          <w:p>
            <w:pPr>
              <w:pStyle w:val="Normal"/>
              <w:rPr>
                <w:rFonts w:cs="Arial"/>
                <w:sz w:val="22"/>
                <w:szCs w:val="22"/>
              </w:rPr>
            </w:pPr>
            <w:r>
              <w:rPr>
                <w:rFonts w:cs="Arial"/>
                <w:sz w:val="22"/>
                <w:szCs w:val="22"/>
              </w:rPr>
              <w:t>OD team, staff across the council, partners, trade union representatives, elected members, inspectors and external organisations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color w:val="FFFFFF"/>
                <w:szCs w:val="22"/>
              </w:rPr>
            </w:pPr>
            <w:r>
              <w:rPr>
                <w:rFonts w:cs="Arial"/>
                <w:color w:val="FFFFFF"/>
                <w:szCs w:val="22"/>
              </w:rPr>
              <w:t>Relationship To Other Posts In The Department:</w:t>
            </w:r>
          </w:p>
          <w:p>
            <w:pPr>
              <w:pStyle w:val="Normal"/>
              <w:rPr>
                <w:rFonts w:cs="Arial"/>
                <w:color w:val="FFFFFF"/>
                <w:sz w:val="22"/>
                <w:szCs w:val="22"/>
              </w:rPr>
            </w:pPr>
            <w:r>
              <w:rPr>
                <w:rFonts w:cs="Arial"/>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szCs w:val="22"/>
              </w:rPr>
            </w:pPr>
            <w:r>
              <w:rPr>
                <w:rFonts w:cs="Arial"/>
                <w:b w:val="false"/>
                <w:szCs w:val="22"/>
              </w:rPr>
              <w:t xml:space="preserve">AD of Human Resources &amp; Organisational Development </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Organisational Development Team</w:t>
            </w:r>
          </w:p>
          <w:p>
            <w:pPr>
              <w:pStyle w:val="Normal"/>
              <w:rPr>
                <w:rFonts w:cs="Arial"/>
                <w:sz w:val="22"/>
                <w:szCs w:val="22"/>
              </w:rPr>
            </w:pPr>
            <w:r>
              <w:rPr>
                <w:rFonts w:cs="Arial"/>
                <w:sz w:val="22"/>
                <w:szCs w:val="22"/>
              </w:rPr>
              <w:t>OD Lead Grade 7 x 2</w:t>
            </w:r>
          </w:p>
          <w:p>
            <w:pPr>
              <w:pStyle w:val="Normal"/>
              <w:rPr>
                <w:rFonts w:cs="Arial"/>
                <w:sz w:val="22"/>
                <w:szCs w:val="22"/>
              </w:rPr>
            </w:pPr>
            <w:r>
              <w:rPr>
                <w:rFonts w:cs="Arial"/>
                <w:sz w:val="22"/>
                <w:szCs w:val="22"/>
              </w:rPr>
              <w:t>OS Support Officer Grade 4 x 1</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Learning &amp; Development Team</w:t>
            </w:r>
          </w:p>
          <w:p>
            <w:pPr>
              <w:pStyle w:val="Normal"/>
              <w:rPr>
                <w:rFonts w:cs="Arial"/>
                <w:sz w:val="22"/>
                <w:szCs w:val="22"/>
              </w:rPr>
            </w:pPr>
            <w:r>
              <w:rPr>
                <w:rFonts w:cs="Arial"/>
                <w:sz w:val="22"/>
                <w:szCs w:val="22"/>
              </w:rPr>
              <w:t>E-Learning Coordinator Grade 7 x 1</w:t>
            </w:r>
          </w:p>
          <w:p>
            <w:pPr>
              <w:pStyle w:val="Normal"/>
              <w:rPr>
                <w:rFonts w:cs="Arial"/>
                <w:sz w:val="22"/>
                <w:szCs w:val="22"/>
              </w:rPr>
            </w:pPr>
            <w:r>
              <w:rPr>
                <w:rFonts w:cs="Arial"/>
                <w:sz w:val="22"/>
                <w:szCs w:val="22"/>
              </w:rPr>
              <w:t>Apprenticeship Coordinator Grade 7 x 1</w:t>
            </w:r>
          </w:p>
          <w:p>
            <w:pPr>
              <w:pStyle w:val="Normal"/>
              <w:rPr>
                <w:rFonts w:cs="Arial"/>
                <w:sz w:val="22"/>
                <w:szCs w:val="22"/>
              </w:rPr>
            </w:pPr>
            <w:r>
              <w:rPr>
                <w:rFonts w:cs="Arial"/>
                <w:sz w:val="22"/>
                <w:szCs w:val="22"/>
              </w:rPr>
              <w:t>Mosaic System Training and Implementation Officer Grade 6 x 1</w:t>
            </w:r>
          </w:p>
          <w:p>
            <w:pPr>
              <w:pStyle w:val="Normal"/>
              <w:rPr>
                <w:rFonts w:cs="Arial"/>
                <w:sz w:val="22"/>
                <w:szCs w:val="22"/>
              </w:rPr>
            </w:pPr>
            <w:r>
              <w:rPr>
                <w:rFonts w:cs="Arial"/>
                <w:sz w:val="22"/>
                <w:szCs w:val="22"/>
              </w:rPr>
              <w:t>Learning &amp;Development Administrator Grade 4  x  1</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
                <w:sz w:val="22"/>
                <w:szCs w:val="22"/>
              </w:rPr>
              <w:t xml:space="preserve">Special Conditions:  </w:t>
            </w:r>
            <w:r>
              <w:rPr>
                <w:rFonts w:cs="Arial"/>
                <w:sz w:val="22"/>
                <w:szCs w:val="22"/>
              </w:rPr>
              <w:t>None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color w:val="FFFFFF"/>
                <w:sz w:val="22"/>
                <w:szCs w:val="22"/>
              </w:rPr>
            </w:pPr>
            <w:r>
              <w:rPr>
                <w:rFonts w:cs="Arial"/>
                <w:b/>
                <w:color w:val="FFFFFF"/>
                <w:sz w:val="22"/>
                <w:szCs w:val="22"/>
              </w:rPr>
              <w:t>Values and Behaviours:</w:t>
            </w:r>
          </w:p>
          <w:p>
            <w:pPr>
              <w:pStyle w:val="Normal"/>
              <w:rPr>
                <w:rFonts w:cs="Arial"/>
                <w:b/>
                <w:b/>
                <w:color w:val="FFFFFF"/>
                <w:sz w:val="22"/>
                <w:szCs w:val="22"/>
              </w:rPr>
            </w:pPr>
            <w:r>
              <w:rPr>
                <w:rFonts w:cs="Arial"/>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4"/>
              </w:numPr>
              <w:rPr>
                <w:rFonts w:ascii="Arial" w:hAnsi="Arial" w:eastAsia="Arial" w:cs="Arial"/>
              </w:rPr>
            </w:pPr>
            <w:r>
              <w:rPr>
                <w:rFonts w:eastAsia="Arial" w:cs="Arial" w:ascii="Arial" w:hAnsi="Arial"/>
              </w:rPr>
              <w:t>Work with a Resident Focus</w:t>
            </w:r>
          </w:p>
          <w:p>
            <w:pPr>
              <w:pStyle w:val="ListParagraph"/>
              <w:numPr>
                <w:ilvl w:val="0"/>
                <w:numId w:val="4"/>
              </w:numPr>
              <w:rPr>
                <w:rFonts w:ascii="Arial" w:hAnsi="Arial" w:eastAsia="Arial" w:cs="Arial"/>
              </w:rPr>
            </w:pPr>
            <w:r>
              <w:rPr>
                <w:rFonts w:eastAsia="Arial" w:cs="Arial" w:ascii="Arial" w:hAnsi="Arial"/>
              </w:rPr>
              <w:t>Support Local Leaders</w:t>
            </w:r>
          </w:p>
          <w:p>
            <w:pPr>
              <w:pStyle w:val="ListParagraph"/>
              <w:numPr>
                <w:ilvl w:val="0"/>
                <w:numId w:val="4"/>
              </w:numPr>
              <w:rPr>
                <w:rFonts w:ascii="Arial" w:hAnsi="Arial" w:eastAsia="Arial" w:cs="Arial"/>
              </w:rPr>
            </w:pPr>
            <w:r>
              <w:rPr>
                <w:rFonts w:eastAsia="Arial" w:cs="Arial" w:ascii="Arial" w:hAnsi="Arial"/>
              </w:rPr>
              <w:t>Committed to the Borough</w:t>
            </w:r>
          </w:p>
          <w:p>
            <w:pPr>
              <w:pStyle w:val="ListParagraph"/>
              <w:numPr>
                <w:ilvl w:val="0"/>
                <w:numId w:val="4"/>
              </w:numPr>
              <w:rPr>
                <w:rFonts w:ascii="Arial" w:hAnsi="Arial" w:eastAsia="Arial" w:cs="Arial"/>
              </w:rPr>
            </w:pPr>
            <w:r>
              <w:rPr>
                <w:rFonts w:eastAsia="Arial" w:cs="Arial" w:ascii="Arial" w:hAnsi="Arial"/>
              </w:rPr>
              <w:t>Take Ownership and Drive Change</w:t>
            </w:r>
          </w:p>
          <w:p>
            <w:pPr>
              <w:pStyle w:val="ListParagraph"/>
              <w:numPr>
                <w:ilvl w:val="0"/>
                <w:numId w:val="4"/>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08.09.25</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Eleanor Devlin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Assistant Director of Workforce &amp; Organisational Culture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5200" cy="1097915"/>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v:textbox>
              </v:rect>
            </w:pict>
          </mc:Fallback>
        </mc:AlternateContent>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ind w:left="0" w:right="-514" w:hanging="0"/>
        <w:rPr/>
      </w:pPr>
      <w:r>
        <w:rPr>
          <w:rFonts w:cs="Arial"/>
          <w:b/>
          <w:bCs/>
          <w:sz w:val="22"/>
          <w:szCs w:val="22"/>
        </w:rPr>
        <w:t>Job Title:</w:t>
      </w:r>
      <w:r>
        <w:rPr>
          <w:rFonts w:cs="Arial"/>
          <w:bCs/>
          <w:sz w:val="22"/>
          <w:szCs w:val="22"/>
        </w:rPr>
        <w:t xml:space="preserve">  </w:t>
      </w:r>
      <w:r>
        <w:rPr>
          <w:rFonts w:cs="Arial"/>
          <w:sz w:val="22"/>
          <w:szCs w:val="22"/>
        </w:rPr>
        <w:t>Head of Learning &amp; Culture</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Evidence of continued professional, managerial and personal development related to the field of OD or HR. </w:t>
            </w:r>
          </w:p>
          <w:p>
            <w:pPr>
              <w:pStyle w:val="Normal"/>
              <w:rPr>
                <w:rFonts w:cs="Arial"/>
                <w:color w:val="808080"/>
                <w:sz w:val="22"/>
                <w:szCs w:val="22"/>
              </w:rPr>
            </w:pPr>
            <w:r>
              <w:rPr>
                <w:rFonts w:cs="Arial"/>
                <w:color w:val="808080"/>
                <w:sz w:val="22"/>
                <w:szCs w:val="22"/>
              </w:rPr>
            </w:r>
          </w:p>
          <w:p>
            <w:pPr>
              <w:pStyle w:val="Header"/>
              <w:tabs>
                <w:tab w:val="clear" w:pos="4153"/>
                <w:tab w:val="clear" w:pos="8306"/>
              </w:tabs>
              <w:rPr>
                <w:rFonts w:cs="Arial"/>
                <w:szCs w:val="22"/>
              </w:rPr>
            </w:pPr>
            <w:r>
              <w:rPr>
                <w:rFonts w:cs="Arial"/>
                <w:szCs w:val="22"/>
              </w:rPr>
              <w:t>Degree or equivalent Professional Qualification</w:t>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t xml:space="preserve">CIPD or equivalent </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Leadership or Management Qualification</w:t>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t>Coaching qualification</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jc w:val="center"/>
              <w:rPr>
                <w:rFonts w:cs="Arial"/>
                <w:szCs w:val="22"/>
              </w:rPr>
            </w:pPr>
            <w:r>
              <w:rPr>
                <w:rFonts w:cs="Arial"/>
                <w:szCs w:val="22"/>
              </w:rPr>
              <w:t>AF</w:t>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w:t>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w:t>
            </w:r>
          </w:p>
          <w:p>
            <w:pPr>
              <w:pStyle w:val="Header"/>
              <w:tabs>
                <w:tab w:val="clear" w:pos="4153"/>
                <w:tab w:val="clear" w:pos="8306"/>
              </w:tabs>
              <w:jc w:val="center"/>
              <w:rPr>
                <w:rFonts w:cs="Arial"/>
                <w:szCs w:val="22"/>
              </w:rPr>
            </w:pPr>
            <w:r>
              <w:rPr>
                <w:rFonts w:cs="Arial"/>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managing organisational and cultural change, creating and delivering organisational development programmes within a complex organisation</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facilitating agreed workforce interventions or workforce change programmes involving staff at all levels, trade unions and other stakeholders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proven track record of leading, motivating and managing teams.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successful resource and financial management.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design and delivery of effective team or group interventions leading to improved outcomes </w:t>
            </w:r>
          </w:p>
          <w:p>
            <w:pPr>
              <w:pStyle w:val="Normal"/>
              <w:rPr>
                <w:rFonts w:cs="Arial"/>
                <w:color w:val="808080"/>
                <w:sz w:val="22"/>
                <w:szCs w:val="22"/>
              </w:rPr>
            </w:pPr>
            <w:r>
              <w:rPr>
                <w:rFonts w:cs="Arial"/>
                <w:color w:val="808080"/>
                <w:sz w:val="22"/>
                <w:szCs w:val="22"/>
              </w:rPr>
            </w:r>
          </w:p>
          <w:p>
            <w:pPr>
              <w:pStyle w:val="Normal"/>
              <w:rPr>
                <w:rFonts w:cs="Arial"/>
                <w:sz w:val="22"/>
                <w:szCs w:val="22"/>
              </w:rPr>
            </w:pPr>
            <w:r>
              <w:rPr>
                <w:rFonts w:cs="Arial"/>
                <w:sz w:val="22"/>
                <w:szCs w:val="22"/>
              </w:rPr>
              <w:t>Experience of managing and successfully delivering a number of projects simultaneously</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Experience of OD &amp; L&amp;D in Local Government</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szCs w:val="22"/>
              </w:rPr>
            </w:pPr>
            <w:r>
              <w:rPr>
                <w:rFonts w:cs="Arial"/>
                <w:sz w:val="22"/>
                <w:szCs w:val="22"/>
              </w:rPr>
              <w:t xml:space="preserve">Ability to deal with complex, sensitive situations assessing and recommending courses of action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Effective presentation, communication and interpersonal skills with the ability to persuade and influence and apply these effectively to a variety of audiences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Able to deal positively and effectively with organisational politics, driving forward projects, influencing change, managing complex situations and sustaining engagement, including those resistant to the messages </w:t>
              <w:br/>
            </w:r>
          </w:p>
          <w:p>
            <w:pPr>
              <w:pStyle w:val="Normal"/>
              <w:rPr>
                <w:rFonts w:cs="Arial"/>
                <w:sz w:val="22"/>
                <w:szCs w:val="22"/>
              </w:rPr>
            </w:pPr>
            <w:r>
              <w:rPr>
                <w:rFonts w:cs="Arial"/>
                <w:sz w:val="22"/>
                <w:szCs w:val="22"/>
              </w:rPr>
              <w:t>Ability to take a corporate overview and balance strategic and operational priorities</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br/>
              <w:br/>
              <w:t>Knowledge of OD, workforce engagement and behaviour change theories and key national workforce drivers and the future agenda of local government</w:t>
              <w:br/>
            </w:r>
          </w:p>
          <w:p>
            <w:pPr>
              <w:pStyle w:val="Normal"/>
              <w:rPr>
                <w:rFonts w:cs="Arial"/>
                <w:sz w:val="22"/>
                <w:szCs w:val="22"/>
              </w:rPr>
            </w:pPr>
            <w:r>
              <w:rPr>
                <w:rFonts w:cs="Arial"/>
                <w:sz w:val="22"/>
                <w:szCs w:val="22"/>
              </w:rPr>
              <w:t xml:space="preserve">Understanding of wellbeing and the links to OH &amp; EAP approaches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Knowledge of EDI law, policy and measures that will advance the workforce agenda </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Knowledge of specific opportunities and challenges within Local Government</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rFonts w:cs="Arial"/>
                <w:b/>
                <w:b/>
                <w:bCs/>
                <w:color w:val="FFFFFF"/>
                <w:sz w:val="22"/>
                <w:szCs w:val="22"/>
              </w:rPr>
            </w:pPr>
            <w:r>
              <w:rPr>
                <w:rFonts w:cs="Arial"/>
                <w:b/>
                <w:bCs/>
                <w:color w:val="FFFFFF"/>
                <w:sz w:val="22"/>
                <w:szCs w:val="22"/>
              </w:rPr>
            </w:r>
          </w:p>
          <w:p>
            <w:pPr>
              <w:pStyle w:val="Normal"/>
              <w:tabs>
                <w:tab w:val="clear" w:pos="720"/>
                <w:tab w:val="left" w:pos="389" w:leader="none"/>
              </w:tabs>
              <w:overflowPunct w:val="true"/>
              <w:textAlignment w:val="baseline"/>
              <w:rPr>
                <w:rFonts w:cs="Arial"/>
                <w:sz w:val="22"/>
                <w:szCs w:val="22"/>
              </w:rPr>
            </w:pPr>
            <w:r>
              <w:rPr>
                <w:rFonts w:cs="Arial"/>
                <w:sz w:val="22"/>
                <w:szCs w:val="22"/>
              </w:rPr>
              <w:t>Able to work flexibly to meet the demands of the service (including evening and weekend as necessary)</w:t>
            </w:r>
          </w:p>
          <w:p>
            <w:pPr>
              <w:pStyle w:val="Normal"/>
              <w:tabs>
                <w:tab w:val="clear" w:pos="720"/>
                <w:tab w:val="left" w:pos="389" w:leader="none"/>
              </w:tabs>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I</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spacing w:before="0" w:after="60"/>
        <w:jc w:val="both"/>
        <w:rPr>
          <w:rFonts w:cs="Arial"/>
          <w:sz w:val="22"/>
          <w:szCs w:val="22"/>
          <w:u w:val="single"/>
        </w:rPr>
      </w:pPr>
      <w:r>
        <w:rPr>
          <w:rFonts w:cs="Arial"/>
          <w:sz w:val="22"/>
          <w:szCs w:val="22"/>
          <w:u w:val="single"/>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bookmarkStart w:id="0" w:name="_Hlk190765446"/>
      <w:bookmarkEnd w:id="0"/>
    </w:p>
    <w:p>
      <w:pPr>
        <w:pStyle w:val="Normal"/>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Palatino">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6Char">
    <w:name w:val="Heading 6 Char"/>
    <w:qFormat/>
    <w:rPr>
      <w:rFonts w:ascii="Calibri" w:hAnsi="Calibri" w:eastAsia="Times New Roman" w:cs="Times New Roman"/>
      <w:b/>
      <w:bCs/>
      <w:sz w:val="22"/>
      <w:szCs w:val="22"/>
      <w:lang w:eastAsia="en-US"/>
    </w:rPr>
  </w:style>
  <w:style w:type="character" w:styleId="FooterChar">
    <w:name w:val="Footer Char"/>
    <w:qFormat/>
    <w:rPr>
      <w:rFonts w:ascii="Arial" w:hAnsi="Arial" w:cs="Arial"/>
      <w:sz w:val="24"/>
      <w:szCs w:val="24"/>
      <w:lang w:eastAsia="en-US"/>
    </w:rPr>
  </w:style>
  <w:style w:type="character" w:styleId="InternetLink">
    <w:name w:val="Internet Link"/>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Footer">
    <w:name w:val="Foot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