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4.jpeg" ContentType="image/jpeg"/>
  <Override PartName="/word/media/image3.jpeg" ContentType="image/jpe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  <w:drawing>
          <wp:anchor behindDoc="1" distT="0" distB="0" distL="114300" distR="114300" simplePos="0" locked="0" layoutInCell="1" allowOverlap="1" relativeHeight="22">
            <wp:simplePos x="0" y="0"/>
            <wp:positionH relativeFrom="margin">
              <wp:posOffset>31750</wp:posOffset>
            </wp:positionH>
            <wp:positionV relativeFrom="margin">
              <wp:posOffset>666115</wp:posOffset>
            </wp:positionV>
            <wp:extent cx="5814060" cy="2327275"/>
            <wp:effectExtent l="0" t="0" r="0" b="0"/>
            <wp:wrapSquare wrapText="bothSides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" t="-17" r="-7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  <mc:AlternateContent>
          <mc:Choice Requires="wps">
            <w:drawing>
              <wp:anchor behindDoc="0" distT="0" distB="0" distL="114935" distR="114935" simplePos="0" locked="0" layoutInCell="1" allowOverlap="1" relativeHeight="21">
                <wp:simplePos x="0" y="0"/>
                <wp:positionH relativeFrom="column">
                  <wp:posOffset>-563880</wp:posOffset>
                </wp:positionH>
                <wp:positionV relativeFrom="paragraph">
                  <wp:posOffset>546735</wp:posOffset>
                </wp:positionV>
                <wp:extent cx="6851015" cy="1575435"/>
                <wp:effectExtent l="0" t="0" r="0" b="0"/>
                <wp:wrapSquare wrapText="bothSides"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0440" cy="157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5F_x0000_t202" coordsize="21600,21600" o:spt="202" path="m,l,21600l21600,21600l21600,xe">
                <v:stroke joinstyle="miter"/>
                <v:path gradientshapeok="t" o:connecttype="rect"/>
              </v:shapetype>
              <v:shape id="shape_0" stroked="f" style="position:absolute;margin-left:-44.4pt;margin-top:43.05pt;width:539.35pt;height:123.95pt" type="shapetype_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sz w:val="24"/>
                          <w:kern w:val="2"/>
                          <w:szCs w:val="24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w10:wrap type="none"/>
                <v:fill o:detectmouseclick="t" on="false"/>
                <v:stroke color="#3465a4" joinstyle="round" endcap="flat"/>
              </v:shape>
            </w:pict>
          </mc:Fallback>
        </mc:AlternateContent>
      </w:r>
      <w:r>
        <mc:AlternateContent>
          <mc:Choice Requires="wps">
            <w:drawing>
              <wp:anchor behindDoc="0" distT="72390" distB="72390" distL="114300" distR="114300" simplePos="0" locked="0" layoutInCell="1" allowOverlap="1" relativeHeight="23">
                <wp:simplePos x="0" y="0"/>
                <wp:positionH relativeFrom="column">
                  <wp:posOffset>-563880</wp:posOffset>
                </wp:positionH>
                <wp:positionV relativeFrom="paragraph">
                  <wp:posOffset>546735</wp:posOffset>
                </wp:positionV>
                <wp:extent cx="6850380" cy="1574800"/>
                <wp:effectExtent l="0" t="0" r="0" b="0"/>
                <wp:wrapNone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0380" cy="15748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jc w:val="right"/>
                              <w:rPr>
                                <w:rFonts w:ascii="Open Sans" w:hAnsi="Open Sans" w:cs="Open Sans"/>
                                <w:b/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b/>
                                <w:color w:val="000000"/>
                                <w:sz w:val="48"/>
                                <w:szCs w:val="48"/>
                              </w:rPr>
                              <w:t>Job Description &amp; Person Specification</w:t>
                            </w:r>
                          </w:p>
                          <w:p>
                            <w:pPr>
                              <w:pStyle w:val="FrameContents"/>
                              <w:jc w:val="right"/>
                              <w:rPr>
                                <w:rFonts w:ascii="Open Sans" w:hAnsi="Open Sans" w:cs="Open Sans"/>
                                <w:b/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b/>
                                <w:color w:val="000000"/>
                                <w:sz w:val="48"/>
                                <w:szCs w:val="48"/>
                              </w:rPr>
                              <w:t>Head of School – New Bridge Pathways</w:t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0;width:539.4pt;height:124pt;mso-wrap-distance-left:9pt;mso-wrap-distance-right:9pt;mso-wrap-distance-top:5.7pt;mso-wrap-distance-bottom:5.7pt;margin-top:43.05pt;mso-position-vertical-relative:text;margin-left:-44.4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FrameContents"/>
                        <w:jc w:val="right"/>
                        <w:rPr>
                          <w:rFonts w:ascii="Open Sans" w:hAnsi="Open Sans" w:cs="Open Sans"/>
                          <w:b/>
                          <w:b/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rFonts w:cs="Open Sans" w:ascii="Open Sans" w:hAnsi="Open Sans"/>
                          <w:b/>
                          <w:color w:val="000000"/>
                          <w:sz w:val="48"/>
                          <w:szCs w:val="48"/>
                        </w:rPr>
                        <w:t>Job Description &amp; Person Specification</w:t>
                      </w:r>
                    </w:p>
                    <w:p>
                      <w:pPr>
                        <w:pStyle w:val="FrameContents"/>
                        <w:jc w:val="right"/>
                        <w:rPr>
                          <w:rFonts w:ascii="Open Sans" w:hAnsi="Open Sans" w:cs="Open Sans"/>
                          <w:b/>
                          <w:b/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rFonts w:cs="Open Sans" w:ascii="Open Sans" w:hAnsi="Open Sans"/>
                          <w:b/>
                          <w:color w:val="000000"/>
                          <w:sz w:val="48"/>
                          <w:szCs w:val="48"/>
                        </w:rPr>
                        <w:t>Head of School – New Bridge Pathways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tbl>
      <w:tblPr>
        <w:tblW w:w="9235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0"/>
        <w:gridCol w:w="5885"/>
      </w:tblGrid>
      <w:tr>
        <w:trPr>
          <w:trHeight w:val="781" w:hRule="atLeast"/>
        </w:trPr>
        <w:tc>
          <w:tcPr>
            <w:tcW w:w="92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21489F" w:val="clear"/>
            <w:vAlign w:val="center"/>
          </w:tcPr>
          <w:p>
            <w:pPr>
              <w:pStyle w:val="Heading1"/>
              <w:rPr>
                <w:rFonts w:cs="Arial"/>
                <w:i w:val="false"/>
                <w:i w:val="false"/>
                <w:color w:val="FFFFFF"/>
              </w:rPr>
            </w:pPr>
            <w:r>
              <w:rPr>
                <w:rFonts w:cs="Arial"/>
                <w:i w:val="false"/>
                <w:color w:val="FFFFFF"/>
              </w:rPr>
              <w:t>Job Description</w:t>
            </w:r>
          </w:p>
        </w:tc>
      </w:tr>
      <w:tr>
        <w:trPr>
          <w:trHeight w:val="659" w:hRule="atLeast"/>
        </w:trPr>
        <w:tc>
          <w:tcPr>
            <w:tcW w:w="3350" w:type="dxa"/>
            <w:tcBorders>
              <w:top w:val="single" w:sz="12" w:space="0" w:color="000000"/>
              <w:left w:val="single" w:sz="12" w:space="0" w:color="00000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  <w:t>Job Title:</w:t>
            </w:r>
          </w:p>
        </w:tc>
        <w:tc>
          <w:tcPr>
            <w:tcW w:w="5885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overflowPunct w:val="tru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Head of School – New Bridge Pathways </w:t>
            </w:r>
          </w:p>
        </w:tc>
      </w:tr>
      <w:tr>
        <w:trPr>
          <w:trHeight w:val="702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  <w:t>Pay Grade / Scale / Range: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  <w:vAlign w:val="center"/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L15 – L19</w:t>
            </w:r>
          </w:p>
        </w:tc>
      </w:tr>
      <w:tr>
        <w:trPr>
          <w:trHeight w:val="702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  <w:t>Benefits &amp; Perks: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  <w:vAlign w:val="center"/>
          </w:tcPr>
          <w:p>
            <w:pPr>
              <w:pStyle w:val="Heading1"/>
              <w:snapToGrid w:val="false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</w:r>
          </w:p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  <w:t xml:space="preserve">TOIL scheme, Occupational Pension Scheme, Occupational Sickness Scheme, Workplace Health Scheme 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702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  <w:t>Working hours: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  <w:vAlign w:val="center"/>
          </w:tcPr>
          <w:p>
            <w:pPr>
              <w:pStyle w:val="Heading1"/>
              <w:snapToGrid w:val="false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</w:r>
          </w:p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  <w:t>Hours in accordance with School teachers’ pay and conditions document as they apply to Senior Leadership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702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  <w:t>Location: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  <w:vAlign w:val="center"/>
          </w:tcPr>
          <w:p>
            <w:pPr>
              <w:pStyle w:val="Heading1"/>
              <w:snapToGrid w:val="false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</w:r>
          </w:p>
          <w:p>
            <w:pPr>
              <w:pStyle w:val="Heading1"/>
              <w:jc w:val="left"/>
              <w:rPr>
                <w:rFonts w:cs="Arial"/>
                <w:b w:val="false"/>
                <w:b w:val="false"/>
                <w:i w:val="false"/>
                <w:i w:val="false"/>
                <w:color w:val="000000"/>
              </w:rPr>
            </w:pPr>
            <w:r>
              <w:rPr>
                <w:rFonts w:cs="Arial"/>
                <w:b w:val="false"/>
                <w:i w:val="false"/>
                <w:color w:val="000000"/>
              </w:rPr>
              <w:t>Initially based at the New Bridge Pathways Oldham Town Centre site but all staff are required to work at any site of the New Bridge MAT if operationally needed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706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Normal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Staff responsible to: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  <w:vAlign w:val="center"/>
          </w:tcPr>
          <w:p>
            <w:pPr>
              <w:pStyle w:val="Normal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Executive Headteacher</w:t>
            </w:r>
          </w:p>
        </w:tc>
      </w:tr>
      <w:tr>
        <w:trPr>
          <w:trHeight w:val="706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  <w:vAlign w:val="center"/>
          </w:tcPr>
          <w:p>
            <w:pPr>
              <w:pStyle w:val="Normal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Staff responsible for: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  <w:vAlign w:val="center"/>
          </w:tcPr>
          <w:p>
            <w:pPr>
              <w:pStyle w:val="Normal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Staff within New Bridge Pathways</w:t>
            </w:r>
          </w:p>
        </w:tc>
      </w:tr>
      <w:tr>
        <w:trPr>
          <w:trHeight w:val="706" w:hRule="atLeast"/>
        </w:trPr>
        <w:tc>
          <w:tcPr>
            <w:tcW w:w="3350" w:type="dxa"/>
            <w:tcBorders>
              <w:top w:val="single" w:sz="4" w:space="0" w:color="808080"/>
              <w:left w:val="single" w:sz="12" w:space="0" w:color="000000"/>
              <w:bottom w:val="single" w:sz="12" w:space="0" w:color="000000"/>
            </w:tcBorders>
            <w:shd w:fill="EAEAEA" w:val="clear"/>
            <w:vAlign w:val="center"/>
          </w:tcPr>
          <w:p>
            <w:pPr>
              <w:pStyle w:val="Normal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Probationary period:</w:t>
            </w:r>
          </w:p>
        </w:tc>
        <w:tc>
          <w:tcPr>
            <w:tcW w:w="5885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Not applicable</w:t>
            </w:r>
          </w:p>
        </w:tc>
      </w:tr>
    </w:tbl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p>
      <w:pPr>
        <w:pStyle w:val="Default"/>
        <w:jc w:val="center"/>
        <w:rPr>
          <w:rFonts w:cs="Arial"/>
          <w:b/>
          <w:b/>
          <w:bCs/>
          <w:color w:val="auto"/>
          <w:sz w:val="40"/>
          <w:szCs w:val="40"/>
        </w:rPr>
      </w:pPr>
      <w:r>
        <w:rPr>
          <w:rFonts w:cs="Arial"/>
          <w:b/>
          <w:bCs/>
          <w:color w:val="auto"/>
          <w:sz w:val="40"/>
          <w:szCs w:val="40"/>
        </w:rPr>
      </w:r>
    </w:p>
    <w:p>
      <w:pPr>
        <w:pStyle w:val="Normal"/>
        <w:rPr>
          <w:rFonts w:eastAsia="Times New Roman" w:cs="Arial"/>
          <w:b/>
          <w:b/>
          <w:bCs/>
          <w:color w:val="auto"/>
          <w:sz w:val="40"/>
          <w:szCs w:val="40"/>
          <w:lang w:eastAsia="en-GB"/>
        </w:rPr>
      </w:pPr>
      <w:r>
        <w:rPr>
          <w:rFonts w:eastAsia="Times New Roman" w:cs="Arial"/>
          <w:b/>
          <w:bCs/>
          <w:color w:val="auto"/>
          <w:sz w:val="40"/>
          <w:szCs w:val="40"/>
          <w:lang w:eastAsia="en-GB"/>
        </w:rPr>
      </w:r>
      <w:r>
        <w:br w:type="page"/>
      </w:r>
    </w:p>
    <w:p>
      <w:pPr>
        <w:pStyle w:val="Default"/>
        <w:jc w:val="center"/>
        <w:rPr>
          <w:b/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>New Bridge MAT</w:t>
      </w:r>
    </w:p>
    <w:p>
      <w:pPr>
        <w:pStyle w:val="Default"/>
        <w:jc w:val="center"/>
        <w:rPr>
          <w:b/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>Head of School (New Bridge Pathways)</w:t>
      </w:r>
    </w:p>
    <w:p>
      <w:pPr>
        <w:pStyle w:val="Default"/>
        <w:jc w:val="center"/>
        <w:rPr>
          <w:b/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</w:r>
    </w:p>
    <w:tbl>
      <w:tblPr>
        <w:tblW w:w="961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6"/>
      </w:tblGrid>
      <w:tr>
        <w:trPr/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Purpose of the post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Default"/>
              <w:spacing w:before="0" w:after="1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To provide inspirational and professional leadership to staff which secures an outstanding education for pupils at New Bridge Pathways.</w:t>
            </w:r>
          </w:p>
          <w:p>
            <w:pPr>
              <w:pStyle w:val="Default"/>
              <w:spacing w:before="0" w:after="1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To work in partnership as a lead member or attendee at local governing body / Trustee meetings and with other stakeholders to fulfil the aims of the school.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To be responsible for pupils’ safeguarding acting as the Designated Safeguarding Lead.</w:t>
            </w:r>
          </w:p>
          <w:p>
            <w:pPr>
              <w:pStyle w:val="Normal"/>
              <w:rPr>
                <w:rFonts w:cs="Arial"/>
                <w:b/>
                <w:b/>
                <w:bCs/>
                <w:sz w:val="28"/>
              </w:rPr>
            </w:pPr>
            <w:r>
              <w:rPr>
                <w:rFonts w:cs="Arial"/>
                <w:b/>
                <w:bCs/>
                <w:sz w:val="28"/>
              </w:rPr>
            </w:r>
          </w:p>
        </w:tc>
      </w:tr>
      <w:tr>
        <w:trPr>
          <w:trHeight w:val="268" w:hRule="atLeast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  <w:b/>
                <w:b/>
                <w:bCs/>
                <w:sz w:val="28"/>
              </w:rPr>
            </w:pPr>
            <w:r>
              <w:rPr>
                <w:rFonts w:cs="Arial"/>
                <w:b/>
                <w:bCs/>
                <w:sz w:val="28"/>
              </w:rPr>
            </w:r>
          </w:p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Key Tasks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Default"/>
              <w:numPr>
                <w:ilvl w:val="0"/>
                <w:numId w:val="3"/>
              </w:numPr>
              <w:ind w:left="567" w:right="0" w:hanging="360"/>
              <w:rPr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Teaching and learning</w:t>
            </w:r>
          </w:p>
          <w:p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  <w:p>
            <w:pPr>
              <w:pStyle w:val="Default"/>
              <w:numPr>
                <w:ilvl w:val="0"/>
                <w:numId w:val="4"/>
              </w:numPr>
              <w:spacing w:before="240" w:after="120"/>
              <w:ind w:left="426" w:right="0" w:hanging="360"/>
              <w:rPr/>
            </w:pPr>
            <w:r>
              <w:rPr>
                <w:color w:val="auto"/>
                <w:sz w:val="22"/>
                <w:szCs w:val="22"/>
              </w:rPr>
              <w:t xml:space="preserve">Have a proven track record of outstanding teaching which clearly reflects current thinking with regard to the </w:t>
            </w:r>
            <w:r>
              <w:rPr>
                <w:sz w:val="22"/>
                <w:szCs w:val="22"/>
              </w:rPr>
              <w:t>range of special educational needs and disabilities served by New Bridge School.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Ensure a consistent and continuous focus on pupil achievement, using data and benchmarks to monitor progress.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Ensure that personalised learning is at the centre of strategic planning and resource management.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Ensure a culture and ethos of challenge and support, where all our pupils can achieve success and become engaged in their own learning.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Demonstrate and articulate high expectations and set challenging targets.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Implement strategies which secure high standards of behaviour and attendance.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Shape, organise and implement a diverse curriculum and liaise with senior colleagues on the assessment framework.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Monitor, evaluate and review classroom practice and promote improvement strategies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3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Challenge under-performance at all levels and ensure effective follow-up.</w:t>
            </w:r>
          </w:p>
          <w:p>
            <w:pPr>
              <w:pStyle w:val="Default"/>
              <w:spacing w:before="0" w:after="1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Default"/>
              <w:numPr>
                <w:ilvl w:val="0"/>
                <w:numId w:val="3"/>
              </w:numPr>
              <w:ind w:left="426" w:right="0" w:hanging="360"/>
              <w:rPr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 xml:space="preserve">Shaping the future </w:t>
            </w:r>
          </w:p>
          <w:p>
            <w:pPr>
              <w:pStyle w:val="Default"/>
              <w:ind w:left="426" w:right="0" w:hanging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Work with the Executive Headteacher (and named key colleagues) to ensure the highest priority is given to safeguarding and promoting the welfare of our pupils and staff in the school.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Ensure that the resources of the school are fully exploited to best raise the standards for our pupils. 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1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Work with the community to translate the New Bridge School vision into agreed operational plans which will promote and sustain improvement.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1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Line manage all New Bridge Pathways staff on a day-to-day basis.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With agreed support, be responsible for the performance management and development of teachers in the New Bridge Pathways.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Ensure the New Bridge School’s vision is clearly articulated, shared, understood and implemented at the New Bridge Pathway site.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1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Demonstrate the vision and the values in everyday work practice.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Motivate and work with others to create a shared culture and positive atmosphere.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Ensure creativity, innovation and the use of appropriate new technologies to achieve excellence.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Ensure that strategic planning is led by the aspirations and values of New Bridge Pathways and is based upon rigorous self-evaluation. </w:t>
            </w:r>
          </w:p>
          <w:p>
            <w:pPr>
              <w:pStyle w:val="Default"/>
              <w:numPr>
                <w:ilvl w:val="0"/>
                <w:numId w:val="4"/>
              </w:numPr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Research and keep abreast of current initiatives and analyse appropriate implementation when it is for the benefit for the pupils within the school. </w:t>
            </w:r>
          </w:p>
          <w:p>
            <w:pPr>
              <w:pStyle w:val="Default"/>
              <w:ind w:left="426" w:right="0" w:hanging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  <w:p>
            <w:pPr>
              <w:pStyle w:val="Default"/>
              <w:numPr>
                <w:ilvl w:val="0"/>
                <w:numId w:val="3"/>
              </w:numPr>
              <w:ind w:left="426" w:right="0" w:hanging="360"/>
              <w:rPr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Communication and relationships</w:t>
            </w:r>
          </w:p>
          <w:p>
            <w:pPr>
              <w:pStyle w:val="Default"/>
              <w:ind w:left="426" w:right="0" w:hanging="0"/>
              <w:rPr>
                <w:rFonts w:eastAsia="Arial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1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Build a collaborative learning culture within New Bridge Pathways and actively engage with other schools, particularly within a partnership, to build an effective learning community.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1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Implement the agreed policies for staff induction, professional development and performance review.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1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Treat people fairly, equitably and with dignity and respect to create and maintain a positive culture.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1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Develop and maintain a culture of high expectations for self and others, and take appropriate action when performance is unsatisfactory. </w:t>
            </w:r>
          </w:p>
          <w:p>
            <w:pPr>
              <w:pStyle w:val="Default"/>
              <w:numPr>
                <w:ilvl w:val="0"/>
                <w:numId w:val="4"/>
              </w:numPr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Review own practice regularly, setting personal targets and taking responsibility for own personal development. </w:t>
            </w:r>
          </w:p>
          <w:p>
            <w:pPr>
              <w:pStyle w:val="Default"/>
              <w:ind w:left="426" w:right="0" w:hanging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  <w:p>
            <w:pPr>
              <w:pStyle w:val="Default"/>
              <w:numPr>
                <w:ilvl w:val="0"/>
                <w:numId w:val="3"/>
              </w:numPr>
              <w:ind w:left="426" w:right="0" w:hanging="360"/>
              <w:rPr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 xml:space="preserve">Managing the school </w:t>
            </w:r>
          </w:p>
          <w:p>
            <w:pPr>
              <w:pStyle w:val="Default"/>
              <w:ind w:left="426" w:right="0" w:hanging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1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In partnership with the Executive Headteacher, produce clear, evidence-based improvement plans for the development of New Bridge Pathways and its facilities.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1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In partnership with the Executive Headteacher and Governors, recruit, retain and deploy staff in line with safeguarding procedures.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1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Appropriately manage the workload of staff to achieve the vision of New Bridge Pathways.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1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Manage and organise the New Bridge Pathways environment efficiently and effectively to ensure that it meets the needs of the curriculum and health and safety regulations. </w:t>
            </w:r>
          </w:p>
          <w:p>
            <w:pPr>
              <w:pStyle w:val="Default"/>
              <w:numPr>
                <w:ilvl w:val="0"/>
                <w:numId w:val="4"/>
              </w:numPr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Ensure that the range, quality and use of available resources is monitored, evaluated and reviewed to improve the quality of education for all pupils and provide value for money. </w:t>
            </w:r>
          </w:p>
          <w:p>
            <w:pPr>
              <w:pStyle w:val="Default"/>
              <w:ind w:left="426" w:right="0" w:hanging="0"/>
              <w:rPr>
                <w:b/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</w:r>
          </w:p>
          <w:p>
            <w:pPr>
              <w:pStyle w:val="Default"/>
              <w:numPr>
                <w:ilvl w:val="0"/>
                <w:numId w:val="3"/>
              </w:numPr>
              <w:ind w:left="426" w:right="0" w:hanging="360"/>
              <w:rPr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 xml:space="preserve">Strengthening the community </w:t>
            </w:r>
          </w:p>
          <w:p>
            <w:pPr>
              <w:pStyle w:val="Default"/>
              <w:ind w:left="426" w:right="0" w:hanging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Acting as the designated safeguarding lead; responsible for safeguarding and child protection (including online safety).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Build a culture and curriculum which takes into account the richness and diversity of the local community.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Ensure learning experiences for our pupils are linked into and integrated with the wider community.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Collaborate with other agencies in providing for the academic, spiritual, moral, social, emotional and cultural well-being of our pupils and their families in partnership with key colleagues.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Create and maintain an effective partnership with parents and carers to support and improve pupils' achievement and personal development particularly attendance.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Seek opportunities to invite parents and carers, community figures, businesses or other organisations into the school to enhance and enrich New Bridge Pathways and its value to the wider community.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Contribute to the development of the education system by, for example, sharing effective practice, working in partnerships with other schools and promoting innovative initiatives. </w:t>
            </w:r>
          </w:p>
          <w:p>
            <w:pPr>
              <w:pStyle w:val="Default"/>
              <w:numPr>
                <w:ilvl w:val="0"/>
                <w:numId w:val="4"/>
              </w:numPr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Co-operate and work with relevant agencies to protect and safeguard the welfare of our pupils. </w:t>
            </w:r>
          </w:p>
          <w:p>
            <w:pPr>
              <w:pStyle w:val="Default"/>
              <w:ind w:left="66" w:right="0" w:hanging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</w:r>
          </w:p>
          <w:p>
            <w:pPr>
              <w:pStyle w:val="Default"/>
              <w:numPr>
                <w:ilvl w:val="0"/>
                <w:numId w:val="3"/>
              </w:numPr>
              <w:ind w:left="426" w:right="0" w:hanging="360"/>
              <w:rPr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 xml:space="preserve">Securing accountability </w:t>
            </w:r>
          </w:p>
          <w:p>
            <w:pPr>
              <w:pStyle w:val="Default"/>
              <w:ind w:left="426" w:right="0" w:hanging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Develop an ethos which enables everyone to work collaboratively, share knowledge and understanding, celebrate success and accept responsibility for outcomes.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Ensure individual staff accountabilities are clearly defined, understood and agreed, and are subject to rigorous review and evaluation.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Work with the local governing body to enable it to meet its responsibilities. 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Develop and present a coherent, understandable and accurate account of the performance of the school with particular reference to the experience of our pupils to a range of audiences, governors, parents and carers. 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 w:after="120"/>
              <w:ind w:left="426" w:right="0" w:hanging="3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Reflect on personal contribution to New Bridge Pathway’s achievements and take account of feedback from others.</w:t>
            </w:r>
          </w:p>
          <w:p>
            <w:pPr>
              <w:pStyle w:val="Default"/>
              <w:spacing w:before="0" w:after="13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Normal"/>
              <w:rPr>
                <w:rFonts w:eastAsia="Arial" w:cs="Arial"/>
              </w:rPr>
            </w:pPr>
            <w:r>
              <w:rPr>
                <w:rFonts w:eastAsia="Arial" w:cs="Arial"/>
              </w:rPr>
              <w:t xml:space="preserve">                                                   </w:t>
            </w:r>
          </w:p>
        </w:tc>
      </w:tr>
    </w:tbl>
    <w:p>
      <w:pPr>
        <w:pStyle w:val="Normal"/>
        <w:rPr>
          <w:rFonts w:cs="Arial"/>
          <w:b/>
          <w:b/>
          <w:bCs/>
          <w:sz w:val="28"/>
        </w:rPr>
      </w:pPr>
      <w:r>
        <w:rPr>
          <w:rFonts w:cs="Arial"/>
          <w:b/>
          <w:bCs/>
          <w:sz w:val="28"/>
        </w:rPr>
      </w:r>
    </w:p>
    <w:p>
      <w:pPr>
        <w:pStyle w:val="Normal"/>
        <w:rPr>
          <w:rFonts w:cs="Arial"/>
          <w:b/>
          <w:b/>
          <w:bCs/>
          <w:sz w:val="28"/>
        </w:rPr>
      </w:pPr>
      <w:r>
        <w:rPr>
          <w:rFonts w:cs="Arial"/>
          <w:b/>
          <w:bCs/>
          <w:sz w:val="28"/>
        </w:rPr>
      </w:r>
    </w:p>
    <w:tbl>
      <w:tblPr>
        <w:tblW w:w="902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6"/>
      </w:tblGrid>
      <w:tr>
        <w:trPr/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3"/>
              <w:snapToGrid w:val="false"/>
              <w:spacing w:before="0" w:after="0"/>
              <w:rPr>
                <w:rFonts w:ascii="Arial" w:hAnsi="Arial" w:cs="Arial"/>
                <w:b w:val="false"/>
                <w:b w:val="false"/>
                <w:bCs w:val="false"/>
                <w:color w:val="000000"/>
                <w:lang w:val="en-US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lang w:val="en-US"/>
              </w:rPr>
            </w:r>
          </w:p>
          <w:p>
            <w:pPr>
              <w:pStyle w:val="Heading3"/>
              <w:spacing w:before="0" w:after="0"/>
              <w:rPr>
                <w:rFonts w:ascii="Arial" w:hAnsi="Arial" w:cs="Arial"/>
                <w:bCs w:val="false"/>
                <w:color w:val="000000"/>
                <w:lang w:val="en-US"/>
              </w:rPr>
            </w:pPr>
            <w:r>
              <w:rPr>
                <w:rFonts w:cs="Arial" w:ascii="Arial" w:hAnsi="Arial"/>
                <w:bCs w:val="false"/>
                <w:color w:val="000000"/>
                <w:lang w:val="en-US"/>
              </w:rPr>
              <w:t>Generic Duties</w:t>
            </w:r>
          </w:p>
          <w:p>
            <w:pPr>
              <w:pStyle w:val="Normal"/>
              <w:rPr>
                <w:lang w:val="en-US"/>
              </w:rPr>
            </w:pPr>
            <w:r>
              <w:rPr>
                <w:lang w:val="en-US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  <w:t>Comply with policies and procedures relating to child protection, health &amp; safety, confidentiality and data protection, reporting all concerns to an appropriate person</w:t>
            </w:r>
          </w:p>
          <w:p>
            <w:pPr>
              <w:pStyle w:val="Normal"/>
              <w:ind w:left="360" w:right="0" w:hanging="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  <w:t>Contribute to the overall work and ethos of the organisation.</w:t>
            </w:r>
          </w:p>
          <w:p>
            <w:pPr>
              <w:pStyle w:val="ListParagraph"/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  <w:t>Attend and participate in meetings as required.</w:t>
            </w:r>
          </w:p>
          <w:p>
            <w:pPr>
              <w:pStyle w:val="Normal"/>
              <w:ind w:left="360" w:right="0" w:hanging="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  <w:t>Improve own practice through training, observation, evaluation and discussion with colleagues.</w:t>
            </w:r>
          </w:p>
          <w:p>
            <w:pPr>
              <w:pStyle w:val="Normal"/>
              <w:ind w:left="360" w:right="0" w:hanging="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  <w:t>Recognise own strengths and areas of expertise and use them to support others.</w:t>
            </w:r>
          </w:p>
          <w:p>
            <w:pPr>
              <w:pStyle w:val="Normal"/>
              <w:ind w:left="360" w:right="0" w:hanging="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  <w:t>To work across the New Bridge MAT if required.</w:t>
            </w:r>
          </w:p>
          <w:p>
            <w:pPr>
              <w:pStyle w:val="Normal"/>
              <w:ind w:left="360" w:right="0" w:hanging="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  <w:t>To understand the importance of inclusion, equality and diversity, both when working with pupils and with colleagues, and to promote equal opportunities for all.</w:t>
            </w:r>
          </w:p>
          <w:p>
            <w:pPr>
              <w:pStyle w:val="ListParagraph"/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  <w:t>To take a pro-active approach to health and safety, working with others in New Bridge Pathways</w:t>
            </w: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b w:val="false"/>
                <w:sz w:val="22"/>
                <w:szCs w:val="22"/>
              </w:rPr>
              <w:t>to minimise and mitigate potential hazards and risks, and actively contribute to the security of New Bridge Pathways, e.g. challenging a stranger on the premises.</w:t>
            </w:r>
          </w:p>
          <w:p>
            <w:pPr>
              <w:pStyle w:val="ListParagraph"/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  <w:t>To participate and engage with workplace learning and development opportunities, subject to the school’s training plan, working to continually improve own performance and that of the team/school.</w:t>
            </w:r>
          </w:p>
          <w:p>
            <w:pPr>
              <w:pStyle w:val="ListParagraph"/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  <w:t xml:space="preserve">To undertake any other additional duties commensurate with the grade of the post.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007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8"/>
      </w:tblGrid>
      <w:tr>
        <w:trPr/>
        <w:tc>
          <w:tcPr>
            <w:tcW w:w="10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b/>
                <w:b/>
              </w:rPr>
            </w:pPr>
            <w:r>
              <w:rPr>
                <w:b/>
              </w:rPr>
              <w:t>Contacts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Endnote"/>
              <w:overflowPunct w:val="false"/>
              <w:jc w:val="both"/>
              <w:textAlignment w:val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Staff, governors, external agencies and visitors to the site.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1007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809"/>
      </w:tblGrid>
      <w:tr>
        <w:trPr>
          <w:cantSplit w:val="true"/>
        </w:trPr>
        <w:tc>
          <w:tcPr>
            <w:tcW w:w="100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2268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Responsible to: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809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Endnote"/>
              <w:overflowPunct w:val="false"/>
              <w:textAlignment w:val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Executive Headteacher</w:t>
            </w:r>
          </w:p>
        </w:tc>
      </w:tr>
      <w:tr>
        <w:trPr/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Responsible for: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8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dnot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Staff at New Bridge Pathways</w:t>
            </w:r>
          </w:p>
        </w:tc>
      </w:tr>
    </w:tbl>
    <w:p>
      <w:pPr>
        <w:pStyle w:val="Normal"/>
        <w:rPr/>
      </w:pPr>
      <w:r>
        <w:rPr/>
      </w:r>
    </w:p>
    <w:tbl>
      <w:tblPr>
        <w:tblW w:w="1007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8"/>
      </w:tblGrid>
      <w:tr>
        <w:trPr/>
        <w:tc>
          <w:tcPr>
            <w:tcW w:w="10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Special Conditions: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both"/>
              <w:rPr/>
            </w:pPr>
            <w:r>
              <w:rPr>
                <w:rFonts w:cs="Arial"/>
              </w:rPr>
              <w:t>An enhanced Disclosure and Barring Service (DBS) check is required for this post</w:t>
            </w:r>
            <w:r>
              <w:rPr>
                <w:b/>
              </w:rPr>
              <w:t xml:space="preserve"> 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1007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5"/>
        <w:gridCol w:w="2010"/>
        <w:gridCol w:w="2014"/>
        <w:gridCol w:w="3988"/>
      </w:tblGrid>
      <w:tr>
        <w:trPr/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spacing w:before="20" w:after="20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20" w:after="20"/>
              <w:jc w:val="center"/>
              <w:rPr/>
            </w:pPr>
            <w:r>
              <w:rPr/>
              <w:t>DATE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20" w:after="20"/>
              <w:jc w:val="center"/>
              <w:rPr/>
            </w:pPr>
            <w:r>
              <w:rPr/>
              <w:t>NAME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20" w:after="20"/>
              <w:jc w:val="center"/>
              <w:rPr/>
            </w:pPr>
            <w:r>
              <w:rPr/>
              <w:t>POST TITLE</w:t>
            </w:r>
          </w:p>
        </w:tc>
      </w:tr>
      <w:tr>
        <w:trPr/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PREPARED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September 2017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SSH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HR Manager</w:t>
            </w:r>
          </w:p>
        </w:tc>
      </w:tr>
      <w:tr>
        <w:trPr/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REVIEWED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February 2024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SSH/GLS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Executive Director HR / Executive Headteacher</w:t>
            </w:r>
          </w:p>
        </w:tc>
      </w:tr>
      <w:tr>
        <w:trPr/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REVIEWED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October 2026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GLS/KDS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Executive Headteacher / Head of HR</w:t>
            </w:r>
          </w:p>
        </w:tc>
      </w:tr>
    </w:tbl>
    <w:p>
      <w:pPr>
        <w:pStyle w:val="Title"/>
        <w:rPr>
          <w:rFonts w:ascii="Arial" w:hAnsi="Arial" w:cs="Arial"/>
          <w:szCs w:val="28"/>
          <w:u w:val="single"/>
        </w:rPr>
      </w:pPr>
      <w:r>
        <w:rPr>
          <w:rFonts w:cs="Arial" w:ascii="Arial" w:hAnsi="Arial"/>
          <w:szCs w:val="28"/>
          <w:u w:val="single"/>
        </w:rPr>
      </w:r>
    </w:p>
    <w:p>
      <w:pPr>
        <w:pStyle w:val="Title"/>
        <w:rPr>
          <w:rFonts w:ascii="Arial" w:hAnsi="Arial" w:cs="Arial"/>
          <w:szCs w:val="28"/>
          <w:u w:val="single"/>
        </w:rPr>
      </w:pPr>
      <w:r>
        <w:rPr>
          <w:rFonts w:cs="Arial" w:ascii="Arial" w:hAnsi="Arial"/>
          <w:szCs w:val="28"/>
          <w:u w:val="single"/>
        </w:rPr>
        <w:t>PERSON SPECIFICATION</w:t>
      </w:r>
    </w:p>
    <w:p>
      <w:pPr>
        <w:pStyle w:val="Normal"/>
        <w:jc w:val="both"/>
        <w:rPr>
          <w:rFonts w:cs="Arial"/>
          <w:u w:val="single"/>
        </w:rPr>
      </w:pPr>
      <w:r>
        <w:rPr>
          <w:rFonts w:cs="Arial"/>
          <w:u w:val="single"/>
        </w:rPr>
      </w:r>
    </w:p>
    <w:p>
      <w:pPr>
        <w:pStyle w:val="Normal"/>
        <w:jc w:val="both"/>
        <w:rPr/>
      </w:pPr>
      <w:r>
        <w:rPr>
          <w:rFonts w:cs="Calibri" w:ascii="Calibri" w:hAnsi="Calibri"/>
          <w:bCs/>
        </w:rPr>
        <w:t xml:space="preserve">PLEASE NOTE: Governors/Directors will use the criteria below </w:t>
      </w:r>
      <w:r>
        <w:rPr>
          <w:rFonts w:cs="Calibri" w:ascii="Calibri" w:hAnsi="Calibri"/>
          <w:b/>
          <w:bCs/>
          <w:u w:val="single"/>
        </w:rPr>
        <w:t>(those emboldened)</w:t>
      </w:r>
      <w:r>
        <w:rPr>
          <w:rFonts w:cs="Calibri" w:ascii="Calibri" w:hAnsi="Calibri"/>
          <w:b/>
          <w:bCs/>
        </w:rPr>
        <w:t xml:space="preserve"> </w:t>
      </w:r>
      <w:r>
        <w:rPr>
          <w:rFonts w:cs="Calibri" w:ascii="Calibri" w:hAnsi="Calibri"/>
          <w:bCs/>
        </w:rPr>
        <w:t>to shortlist. Only those applicants who demonstrate that they meet those criteria (to the Governors/Directors satisfaction) will be invited to interview.</w:t>
      </w:r>
    </w:p>
    <w:p>
      <w:pPr>
        <w:pStyle w:val="Title"/>
        <w:jc w:val="left"/>
        <w:rPr/>
      </w:pPr>
      <w:r>
        <w:rPr/>
        <w:t xml:space="preserve">                </w:t>
      </w:r>
      <w:r>
        <w:rPr/>
        <w:tab/>
      </w:r>
    </w:p>
    <w:tbl>
      <w:tblPr>
        <w:tblW w:w="984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3621"/>
        <w:gridCol w:w="2979"/>
        <w:gridCol w:w="1334"/>
      </w:tblGrid>
      <w:tr>
        <w:trPr/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E5DFEC" w:val="clear"/>
          </w:tcPr>
          <w:p>
            <w:pPr>
              <w:pStyle w:val="Normal"/>
              <w:snapToGrid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E5DFEC" w:val="clea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Selection Criteria</w:t>
            </w:r>
          </w:p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E5DFEC" w:val="clea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Selection Criteria</w:t>
            </w:r>
          </w:p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Desirable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5DFEC" w:val="clea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How Assessed</w:t>
            </w:r>
          </w:p>
        </w:tc>
      </w:tr>
      <w:tr>
        <w:trPr/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Education &amp; Qualifications</w:t>
            </w:r>
          </w:p>
        </w:tc>
        <w:tc>
          <w:tcPr>
            <w:tcW w:w="3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342" w:leader="none"/>
              </w:tabs>
              <w:snapToGrid w:val="false"/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left" w:pos="342" w:leader="none"/>
              </w:tabs>
              <w:ind w:left="360" w:right="0" w:hanging="0"/>
              <w:rPr>
                <w:rFonts w:cs="Arial"/>
              </w:rPr>
            </w:pPr>
            <w:r>
              <w:rPr>
                <w:rFonts w:cs="Arial"/>
              </w:rPr>
              <w:t xml:space="preserve">Qualified teacher                                         </w:t>
            </w:r>
          </w:p>
          <w:p>
            <w:pPr>
              <w:pStyle w:val="Normal"/>
              <w:tabs>
                <w:tab w:val="clear" w:pos="720"/>
                <w:tab w:val="left" w:pos="342" w:leader="none"/>
              </w:tabs>
              <w:ind w:left="1080" w:right="0" w:hanging="0"/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left" w:pos="342" w:leader="none"/>
              </w:tabs>
              <w:ind w:left="360" w:right="0" w:hanging="0"/>
              <w:rPr/>
            </w:pPr>
            <w:r>
              <w:rPr/>
              <w:t>Evidence of continuing professional development in SEND</w:t>
            </w:r>
          </w:p>
          <w:p>
            <w:pPr>
              <w:pStyle w:val="Normal"/>
              <w:tabs>
                <w:tab w:val="clear" w:pos="720"/>
                <w:tab w:val="left" w:pos="342" w:leader="none"/>
              </w:tabs>
              <w:rPr/>
            </w:pPr>
            <w:r>
              <w:rPr/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847" w:hRule="atLeast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Experience &amp; Knowledge</w:t>
            </w:r>
          </w:p>
        </w:tc>
        <w:tc>
          <w:tcPr>
            <w:tcW w:w="3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rPr>
                <w:rFonts w:eastAsia="Times New Roman" w:cs="Arial"/>
                <w:bCs/>
              </w:rPr>
            </w:pPr>
            <w:r>
              <w:rPr>
                <w:rFonts w:eastAsia="Times New Roman" w:cs="Arial"/>
                <w:bCs/>
              </w:rPr>
              <w:t>Be able to demonstrate experience, understanding and application of</w:t>
            </w:r>
          </w:p>
          <w:p>
            <w:pPr>
              <w:pStyle w:val="Normal"/>
              <w:rPr>
                <w:rFonts w:eastAsia="Times New Roman" w:cs="Arial"/>
                <w:bCs/>
              </w:rPr>
            </w:pPr>
            <w:r>
              <w:rPr>
                <w:rFonts w:eastAsia="Times New Roman" w:cs="Arial"/>
                <w:bCs/>
              </w:rPr>
            </w:r>
          </w:p>
          <w:p>
            <w:pPr>
              <w:pStyle w:val="ListParagraph"/>
              <w:numPr>
                <w:ilvl w:val="0"/>
                <w:numId w:val="6"/>
              </w:numPr>
              <w:tabs>
                <w:tab w:val="clear" w:pos="720"/>
                <w:tab w:val="left" w:pos="342" w:leader="none"/>
              </w:tabs>
              <w:rPr>
                <w:b w:val="false"/>
                <w:b w:val="false"/>
                <w:sz w:val="22"/>
              </w:rPr>
            </w:pPr>
            <w:r>
              <w:rPr>
                <w:b w:val="false"/>
                <w:sz w:val="22"/>
              </w:rPr>
              <w:t>significant participation and quantifiable impact within a senior leadership team</w:t>
            </w:r>
          </w:p>
          <w:p>
            <w:pPr>
              <w:pStyle w:val="ListParagraph"/>
              <w:tabs>
                <w:tab w:val="clear" w:pos="720"/>
                <w:tab w:val="left" w:pos="342" w:leader="none"/>
              </w:tabs>
              <w:rPr>
                <w:rFonts w:eastAsia="Calibri"/>
                <w:b w:val="false"/>
                <w:b w:val="false"/>
                <w:sz w:val="22"/>
              </w:rPr>
            </w:pPr>
            <w:r>
              <w:rPr>
                <w:rFonts w:eastAsia="Calibri"/>
                <w:b w:val="false"/>
                <w:sz w:val="22"/>
              </w:rPr>
            </w:r>
          </w:p>
          <w:p>
            <w:pPr>
              <w:pStyle w:val="Normal"/>
              <w:numPr>
                <w:ilvl w:val="0"/>
                <w:numId w:val="6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strategies for raising children’s progress and achievement </w:t>
            </w:r>
          </w:p>
          <w:p>
            <w:pPr>
              <w:pStyle w:val="Normal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</w:r>
          </w:p>
          <w:p>
            <w:pPr>
              <w:pStyle w:val="Normal"/>
              <w:numPr>
                <w:ilvl w:val="0"/>
                <w:numId w:val="6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all child protection and adult safeguarding procedures </w:t>
            </w:r>
          </w:p>
          <w:p>
            <w:pPr>
              <w:pStyle w:val="Normal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</w:r>
          </w:p>
          <w:p>
            <w:pPr>
              <w:pStyle w:val="Normal"/>
              <w:numPr>
                <w:ilvl w:val="0"/>
                <w:numId w:val="6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strategies for promoting their spiritual, moral, social and cultural development and their good behaviour </w:t>
            </w:r>
          </w:p>
          <w:p>
            <w:pPr>
              <w:pStyle w:val="Normal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</w:r>
          </w:p>
          <w:p>
            <w:pPr>
              <w:pStyle w:val="Normal"/>
              <w:numPr>
                <w:ilvl w:val="0"/>
                <w:numId w:val="6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strategies to raise standards through effective teaching and learning</w:t>
            </w:r>
          </w:p>
          <w:p>
            <w:pPr>
              <w:pStyle w:val="ListParagraph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</w:r>
          </w:p>
          <w:p>
            <w:pPr>
              <w:pStyle w:val="Normal"/>
              <w:numPr>
                <w:ilvl w:val="0"/>
                <w:numId w:val="6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different leadership styles and practices and their effects in a variety of contexts within a school</w:t>
            </w:r>
          </w:p>
          <w:p>
            <w:pPr>
              <w:pStyle w:val="ListParagraph"/>
              <w:rPr>
                <w:rFonts w:eastAsia="Times New Roman" w:cs="Arial"/>
                <w:b w:val="false"/>
                <w:b w:val="false"/>
              </w:rPr>
            </w:pPr>
            <w:r>
              <w:rPr>
                <w:rFonts w:eastAsia="Times New Roman" w:cs="Arial"/>
                <w:b w:val="false"/>
              </w:rPr>
            </w:r>
          </w:p>
          <w:p>
            <w:pPr>
              <w:pStyle w:val="Normal"/>
              <w:numPr>
                <w:ilvl w:val="0"/>
                <w:numId w:val="6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the planning, monitoring and implementation of a differentiated curriculum</w:t>
            </w:r>
          </w:p>
          <w:p>
            <w:pPr>
              <w:pStyle w:val="Normal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</w:r>
          </w:p>
          <w:p>
            <w:pPr>
              <w:pStyle w:val="Normal"/>
              <w:numPr>
                <w:ilvl w:val="0"/>
                <w:numId w:val="6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the support to staff with teaching and learning and day to day management </w:t>
            </w:r>
          </w:p>
          <w:p>
            <w:pPr>
              <w:pStyle w:val="Normal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</w:r>
          </w:p>
          <w:p>
            <w:pPr>
              <w:pStyle w:val="Normal"/>
              <w:numPr>
                <w:ilvl w:val="0"/>
                <w:numId w:val="6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the responsibilities of governors as defined by national and local regulations</w:t>
            </w:r>
          </w:p>
          <w:p>
            <w:pPr>
              <w:pStyle w:val="ListParagraph"/>
              <w:rPr>
                <w:rFonts w:eastAsia="Times New Roman" w:cs="Arial"/>
                <w:b w:val="false"/>
                <w:b w:val="false"/>
              </w:rPr>
            </w:pPr>
            <w:r>
              <w:rPr>
                <w:rFonts w:eastAsia="Times New Roman" w:cs="Arial"/>
                <w:b w:val="false"/>
              </w:rPr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equality of opportunity and inclusion </w:t>
            </w:r>
          </w:p>
          <w:p>
            <w:pPr>
              <w:pStyle w:val="Normal"/>
              <w:ind w:left="360" w:right="0" w:hanging="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</w:r>
          </w:p>
          <w:p>
            <w:pPr>
              <w:pStyle w:val="Normal"/>
              <w:numPr>
                <w:ilvl w:val="0"/>
                <w:numId w:val="6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the formulation, monitoring and evaluation of the timetable</w:t>
            </w:r>
          </w:p>
          <w:p>
            <w:pPr>
              <w:pStyle w:val="Normal"/>
              <w:rPr>
                <w:rFonts w:eastAsia="Times New Roman" w:cs="Arial"/>
                <w:b/>
                <w:b/>
              </w:rPr>
            </w:pPr>
            <w:r>
              <w:rPr>
                <w:rFonts w:eastAsia="Times New Roman" w:cs="Arial"/>
                <w:b/>
              </w:rPr>
            </w:r>
          </w:p>
          <w:p>
            <w:pPr>
              <w:pStyle w:val="ListParagraph"/>
              <w:numPr>
                <w:ilvl w:val="0"/>
                <w:numId w:val="6"/>
              </w:numPr>
              <w:rPr>
                <w:rFonts w:ascii="Arial" w:hAnsi="Arial" w:eastAsia="Times New Roman" w:cs="Arial"/>
                <w:b w:val="false"/>
                <w:b w:val="false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 w:val="false"/>
                <w:sz w:val="22"/>
                <w:szCs w:val="22"/>
              </w:rPr>
              <w:t>effective, oral and  written presentations and correspondence, to a range of audiences</w:t>
            </w:r>
          </w:p>
          <w:p>
            <w:pPr>
              <w:pStyle w:val="ListParagraph"/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</w:r>
          </w:p>
          <w:p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 w:val="false"/>
                <w:b w:val="false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sz w:val="22"/>
                <w:szCs w:val="22"/>
              </w:rPr>
              <w:t>working with the age range of pupils at New Bridge School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14" w:hRule="atLeast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Skills &amp; Abilities</w:t>
            </w:r>
          </w:p>
        </w:tc>
        <w:tc>
          <w:tcPr>
            <w:tcW w:w="3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>
                <w:bCs/>
              </w:rPr>
            </w:pPr>
            <w:r>
              <w:rPr>
                <w:bCs/>
              </w:rPr>
              <w:t xml:space="preserve">Leadership Skills: the ability to use appropriate leadership styles in different situations in order to 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create and secure commitment to a clear vision for an effective school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ind w:left="360" w:right="0" w:hanging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set high expectations and standards, and provide a role model for children and staff</w:t>
            </w:r>
          </w:p>
          <w:p>
            <w:pPr>
              <w:pStyle w:val="ListParagrap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prioritise, plan and organise the work of the school</w:t>
            </w:r>
          </w:p>
          <w:p>
            <w:pPr>
              <w:pStyle w:val="ListParagrap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devolve responsibilities, allowing staff the freedom to act within a defined framework</w:t>
            </w:r>
          </w:p>
          <w:p>
            <w:pPr>
              <w:pStyle w:val="ListParagrap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monitor practice to ensure that devolved responsibilities are being carried out</w:t>
            </w:r>
          </w:p>
          <w:p>
            <w:pPr>
              <w:pStyle w:val="ListParagrap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build, support and work as part of a team</w:t>
            </w:r>
          </w:p>
          <w:p>
            <w:pPr>
              <w:pStyle w:val="ListParagraph"/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ind w:left="360" w:right="0" w:hanging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motivate pupils and staff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ind w:left="360" w:right="0" w:hanging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work effectively in partnership with parents, governors and the wider community</w:t>
            </w:r>
          </w:p>
          <w:p>
            <w:pPr>
              <w:pStyle w:val="ListParagraph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deal sensitively with people and resolve conflicts</w:t>
            </w:r>
          </w:p>
          <w:p>
            <w:pPr>
              <w:pStyle w:val="ListParagraph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seek advice and support where necessary</w:t>
            </w:r>
          </w:p>
          <w:p>
            <w:pPr>
              <w:pStyle w:val="ListParagraph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meet the requirements of relevant legislation appertaining to schools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>
                <w:bCs/>
              </w:rPr>
            </w:pPr>
            <w:r>
              <w:rPr>
                <w:bCs/>
              </w:rPr>
              <w:t xml:space="preserve">Decision making Skills: the ability to 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8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make decisions based upon analysis, interpretation and understanding of relevant data and information from both within and outside school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ind w:left="360" w:right="0" w:hanging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8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demonstrate balanced and fair judgement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>
                <w:bCs/>
              </w:rPr>
            </w:pPr>
            <w:r>
              <w:rPr>
                <w:bCs/>
              </w:rPr>
              <w:t xml:space="preserve">Communication Skills: the ability to 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>
                <w:rFonts w:eastAsia="Arial" w:cs="Arial"/>
                <w:bCs/>
              </w:rPr>
            </w:pPr>
            <w:r>
              <w:rPr>
                <w:rFonts w:eastAsia="Arial" w:cs="Arial"/>
                <w:bCs/>
              </w:rPr>
              <w:t xml:space="preserve">               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listen to and understand the views of others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ind w:left="360" w:right="0" w:hanging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make points clearly</w:t>
            </w:r>
          </w:p>
          <w:p>
            <w:pPr>
              <w:pStyle w:val="ListParagraph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consult and negotiate to achieve specific objectives</w:t>
            </w:r>
          </w:p>
          <w:p>
            <w:pPr>
              <w:pStyle w:val="ListParagraph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establish and manage good communication systems</w:t>
            </w:r>
          </w:p>
          <w:p>
            <w:pPr>
              <w:pStyle w:val="ListParagraph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chair and contribute to meetings effectively</w:t>
            </w:r>
          </w:p>
          <w:p>
            <w:pPr>
              <w:pStyle w:val="ListParagraph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prioritise and manage one’s own time effectively</w:t>
            </w:r>
          </w:p>
          <w:p>
            <w:pPr>
              <w:pStyle w:val="ListParagraph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work consistently to deadlines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ind w:left="360" w:right="0" w:hanging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set and achieve challenging but realistic goals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ind w:left="360" w:right="0" w:hanging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20"/>
                <w:tab w:val="left" w:pos="429" w:leader="none"/>
              </w:tabs>
              <w:rPr/>
            </w:pPr>
            <w:r>
              <w:rPr/>
              <w:t>take responsibility for one’s own professional development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ind w:left="360" w:right="0" w:hanging="0"/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/>
            </w:pPr>
            <w:r>
              <w:rPr/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AF/I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AF / 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Work circumstances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TextBody"/>
              <w:snapToGrid w:val="false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/>
            </w:pPr>
            <w:r>
              <w:rPr/>
              <w:t>Commitment to personal development.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/>
            </w:pPr>
            <w:r>
              <w:rPr/>
              <w:t>To be punctual and have regular attendance.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/>
            </w:pPr>
            <w:r>
              <w:rPr/>
              <w:t>The post holder must be willing and able to work flexibly as may be required.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/>
            </w:pPr>
            <w:r>
              <w:rPr/>
              <w:t>To travel and work at any within the New Bridge MAT as may be required.</w:t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left" w:pos="429" w:leader="none"/>
              </w:tabs>
              <w:rPr/>
            </w:pPr>
            <w:r>
              <w:rPr/>
              <w:t>Occasional out of hours working to support school functions or evening meetings.</w:t>
            </w:r>
          </w:p>
          <w:p>
            <w:pPr>
              <w:pStyle w:val="TextBody"/>
              <w:rPr/>
            </w:pPr>
            <w:r>
              <w:rPr/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/>
            </w:pPr>
            <w:r>
              <w:rPr/>
              <w:t>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I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I</w:t>
            </w:r>
          </w:p>
        </w:tc>
      </w:tr>
    </w:tbl>
    <w:p>
      <w:pPr>
        <w:pStyle w:val="Title"/>
        <w:jc w:val="left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</w:r>
    </w:p>
    <w:p>
      <w:pPr>
        <w:pStyle w:val="Normal"/>
        <w:jc w:val="both"/>
        <w:rPr/>
      </w:pPr>
      <w:r>
        <w:rPr>
          <w:i/>
        </w:rPr>
        <w:t>Abbreviations:</w:t>
      </w:r>
      <w:r>
        <w:rPr/>
        <w:t xml:space="preserve"> AF = Application Form; I = Interview.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left="0" w:right="-755" w:hanging="0"/>
        <w:rPr>
          <w:b/>
          <w:b/>
          <w:bCs/>
        </w:rPr>
      </w:pPr>
      <w:r>
        <w:rPr>
          <w:b/>
          <w:bCs/>
        </w:rPr>
        <w:t>Any candidate with a disability who meets the essential criteria will be invited to interview</w:t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          </w:t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clear" w:pos="720"/>
          <w:tab w:val="left" w:pos="3840" w:leader="none"/>
        </w:tabs>
        <w:rPr>
          <w:rFonts w:cs="Arial"/>
        </w:rPr>
      </w:pPr>
      <w:r>
        <w:rPr>
          <w:rFonts w:cs="Arial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440" w:right="1440" w:header="709" w:top="1440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Trebuchet MS">
    <w:charset w:val="00"/>
    <w:family w:val="roman"/>
    <w:pitch w:val="variable"/>
  </w:font>
  <w:font w:name="Palatino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 Unicode MS">
    <w:charset w:val="00"/>
    <w:family w:val="swiss"/>
    <w:pitch w:val="variable"/>
  </w:font>
  <w:font w:name="Helvetica">
    <w:altName w:val="Arial"/>
    <w:charset w:val="00"/>
    <w:family w:val="swiss"/>
    <w:pitch w:val="variable"/>
  </w:font>
  <w:font w:name="Open Sans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drawing>
        <wp:anchor behindDoc="0" distT="0" distB="0" distL="114300" distR="114300" simplePos="0" locked="0" layoutInCell="1" allowOverlap="1" relativeHeight="10">
          <wp:simplePos x="0" y="0"/>
          <wp:positionH relativeFrom="column">
            <wp:posOffset>-914400</wp:posOffset>
          </wp:positionH>
          <wp:positionV relativeFrom="paragraph">
            <wp:posOffset>136525</wp:posOffset>
          </wp:positionV>
          <wp:extent cx="7555865" cy="596265"/>
          <wp:effectExtent l="0" t="0" r="0" b="0"/>
          <wp:wrapTight wrapText="bothSides">
            <wp:wrapPolygon edited="0">
              <wp:start x="-8" y="0"/>
              <wp:lineTo x="-8" y="20489"/>
              <wp:lineTo x="21546" y="20489"/>
              <wp:lineTo x="21546" y="0"/>
              <wp:lineTo x="-8" y="0"/>
            </wp:wrapPolygon>
          </wp:wrapTight>
          <wp:docPr id="5" name="Image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" t="-19" r="-2" b="-19"/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596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  <w:p>
    <w:pPr>
      <w:pStyle w:val="Footer"/>
      <w:rPr/>
    </w:pPr>
    <w:r>
      <w:rPr/>
      <w:drawing>
        <wp:anchor behindDoc="0" distT="0" distB="0" distL="114300" distR="114300" simplePos="0" locked="0" layoutInCell="1" allowOverlap="1" relativeHeight="11">
          <wp:simplePos x="0" y="0"/>
          <wp:positionH relativeFrom="column">
            <wp:posOffset>-847725</wp:posOffset>
          </wp:positionH>
          <wp:positionV relativeFrom="paragraph">
            <wp:posOffset>15875</wp:posOffset>
          </wp:positionV>
          <wp:extent cx="7555865" cy="596265"/>
          <wp:effectExtent l="0" t="0" r="0" b="0"/>
          <wp:wrapTight wrapText="bothSides">
            <wp:wrapPolygon edited="0">
              <wp:start x="-8" y="0"/>
              <wp:lineTo x="-8" y="20489"/>
              <wp:lineTo x="21546" y="20489"/>
              <wp:lineTo x="21546" y="0"/>
              <wp:lineTo x="-8" y="0"/>
            </wp:wrapPolygon>
          </wp:wrapTight>
          <wp:docPr id="6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" t="-19" r="-2" b="-19"/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596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  <w:drawing>
        <wp:anchor behindDoc="1" distT="0" distB="0" distL="0" distR="0" simplePos="0" locked="0" layoutInCell="1" allowOverlap="1" relativeHeight="20">
          <wp:simplePos x="0" y="0"/>
          <wp:positionH relativeFrom="column">
            <wp:posOffset>-26670</wp:posOffset>
          </wp:positionH>
          <wp:positionV relativeFrom="paragraph">
            <wp:posOffset>2257425</wp:posOffset>
          </wp:positionV>
          <wp:extent cx="5727700" cy="5256530"/>
          <wp:effectExtent l="0" t="0" r="0" b="0"/>
          <wp:wrapNone/>
          <wp:docPr id="4" name="Image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5256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sz w:val="22"/>
        <w:b w:val="false"/>
        <w:szCs w:val="22"/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0"/>
        <w:b/>
        <w:rFonts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sz w:val="20"/>
        <w:b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6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57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Times New Roman"/>
      <w:color w:val="auto"/>
      <w:kern w:val="0"/>
      <w:sz w:val="22"/>
      <w:szCs w:val="22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bCs/>
      <w:i/>
      <w:iCs/>
      <w:color w:val="00008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200" w:after="0"/>
      <w:outlineLvl w:val="2"/>
    </w:pPr>
    <w:rPr>
      <w:rFonts w:ascii="Cambria" w:hAnsi="Cambria" w:eastAsia="" w:cs=""/>
      <w:b/>
      <w:bCs/>
      <w:color w:val="4F81BD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rFonts w:ascii="Times New Roman" w:hAnsi="Times New Roman" w:eastAsia="Times New Roman" w:cs="Times New Roman"/>
      <w:b/>
      <w:bCs/>
      <w:sz w:val="28"/>
      <w:szCs w:val="24"/>
    </w:rPr>
  </w:style>
  <w:style w:type="character" w:styleId="WW8Num1z0">
    <w:name w:val="WW8Num1z0"/>
    <w:qFormat/>
    <w:rPr>
      <w:rFonts w:ascii="Arial" w:hAnsi="Arial" w:cs="Arial"/>
      <w:b w:val="false"/>
      <w:sz w:val="22"/>
      <w:szCs w:val="22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cs="Arial"/>
      <w:b/>
      <w:sz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b/>
      <w:sz w:val="20"/>
      <w:szCs w:val="20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DefaultParagraphFont">
    <w:name w:val="Default Paragraph Font"/>
    <w:qFormat/>
    <w:rPr/>
  </w:style>
  <w:style w:type="character" w:styleId="InternetLink">
    <w:name w:val="Internet Link"/>
    <w:rPr>
      <w:color w:val="0000FF"/>
      <w:u w:val="single"/>
    </w:rPr>
  </w:style>
  <w:style w:type="character" w:styleId="Normalc71">
    <w:name w:val="normal-c71"/>
    <w:qFormat/>
    <w:rPr>
      <w:rFonts w:ascii="Trebuchet MS" w:hAnsi="Trebuchet MS" w:cs="Trebuchet MS"/>
      <w:b/>
      <w:bCs/>
      <w:color w:val="2C3651"/>
      <w:sz w:val="24"/>
      <w:szCs w:val="24"/>
    </w:rPr>
  </w:style>
  <w:style w:type="character" w:styleId="Normalc81">
    <w:name w:val="normal-c81"/>
    <w:qFormat/>
    <w:rPr>
      <w:rFonts w:ascii="Trebuchet MS" w:hAnsi="Trebuchet MS" w:cs="Trebuchet MS"/>
      <w:color w:val="2C3651"/>
      <w:sz w:val="24"/>
      <w:szCs w:val="24"/>
    </w:rPr>
  </w:style>
  <w:style w:type="character" w:styleId="Normalc51">
    <w:name w:val="normal-c51"/>
    <w:qFormat/>
    <w:rPr>
      <w:rFonts w:ascii="Trebuchet MS" w:hAnsi="Trebuchet MS" w:cs="Trebuchet MS"/>
      <w:sz w:val="20"/>
      <w:szCs w:val="20"/>
    </w:rPr>
  </w:style>
  <w:style w:type="character" w:styleId="Heading5Char">
    <w:name w:val="Heading 5 Char"/>
    <w:basedOn w:val="DefaultParagraphFont"/>
    <w:qFormat/>
    <w:rPr>
      <w:b/>
      <w:bCs/>
      <w:sz w:val="28"/>
      <w:szCs w:val="24"/>
      <w:lang w:eastAsia="en-US"/>
    </w:rPr>
  </w:style>
  <w:style w:type="character" w:styleId="Heading1Char">
    <w:name w:val="Heading 1 Char"/>
    <w:qFormat/>
    <w:rPr>
      <w:b/>
      <w:bCs/>
      <w:i/>
      <w:iCs/>
      <w:color w:val="000080"/>
      <w:sz w:val="24"/>
      <w:szCs w:val="24"/>
      <w:lang w:val="en-US" w:eastAsia="en-US"/>
    </w:rPr>
  </w:style>
  <w:style w:type="character" w:styleId="TitleChar">
    <w:name w:val="Title Char"/>
    <w:basedOn w:val="DefaultParagraphFont"/>
    <w:qFormat/>
    <w:rPr>
      <w:b/>
      <w:bCs/>
      <w:sz w:val="28"/>
      <w:szCs w:val="24"/>
      <w:lang w:eastAsia="en-US"/>
    </w:rPr>
  </w:style>
  <w:style w:type="character" w:styleId="BodyText2Char">
    <w:name w:val="Body Text 2 Char"/>
    <w:basedOn w:val="DefaultParagraphFont"/>
    <w:qFormat/>
    <w:rPr>
      <w:sz w:val="22"/>
      <w:lang w:eastAsia="en-US"/>
    </w:rPr>
  </w:style>
  <w:style w:type="character" w:styleId="EndnoteTextChar">
    <w:name w:val="Endnote Text Char"/>
    <w:basedOn w:val="DefaultParagraphFont"/>
    <w:qFormat/>
    <w:rPr>
      <w:rFonts w:ascii="Palatino" w:hAnsi="Palatino" w:cs="Palatino"/>
      <w:sz w:val="24"/>
      <w:lang w:eastAsia="en-US"/>
    </w:rPr>
  </w:style>
  <w:style w:type="character" w:styleId="Heading3Char">
    <w:name w:val="Heading 3 Char"/>
    <w:basedOn w:val="DefaultParagraphFont"/>
    <w:qFormat/>
    <w:rPr>
      <w:rFonts w:ascii="Cambria" w:hAnsi="Cambria" w:eastAsia="" w:cs=""/>
      <w:b/>
      <w:bCs/>
      <w:color w:val="4F81BD"/>
      <w:sz w:val="22"/>
      <w:szCs w:val="22"/>
      <w:lang w:eastAsia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/>
    <w:rPr>
      <w:b/>
      <w:bCs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Normalp2">
    <w:name w:val="normal-p2"/>
    <w:basedOn w:val="Normal"/>
    <w:qFormat/>
    <w:pPr>
      <w:jc w:val="both"/>
    </w:pPr>
    <w:rPr>
      <w:color w:val="000000"/>
      <w:lang w:eastAsia="en-GB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en-GB" w:eastAsia="en-GB" w:bidi="ar-SA"/>
    </w:rPr>
  </w:style>
  <w:style w:type="paragraph" w:styleId="Title">
    <w:name w:val="Title"/>
    <w:basedOn w:val="Normal"/>
    <w:next w:val="TextBody"/>
    <w:qFormat/>
    <w:pPr>
      <w:jc w:val="center"/>
    </w:pPr>
    <w:rPr>
      <w:rFonts w:ascii="Times New Roman" w:hAnsi="Times New Roman" w:eastAsia="Times New Roman" w:cs="Times New Roman"/>
      <w:b/>
      <w:bCs/>
      <w:sz w:val="28"/>
      <w:szCs w:val="24"/>
    </w:rPr>
  </w:style>
  <w:style w:type="paragraph" w:styleId="BodyText2">
    <w:name w:val="Body Text 2"/>
    <w:basedOn w:val="Normal"/>
    <w:qFormat/>
    <w:pPr>
      <w:overflowPunct w:val="true"/>
      <w:ind w:left="720" w:right="0" w:hanging="0"/>
    </w:pPr>
    <w:rPr>
      <w:rFonts w:ascii="Times New Roman" w:hAnsi="Times New Roman" w:eastAsia="Times New Roman" w:cs="Times New Roman"/>
      <w:szCs w:val="20"/>
    </w:rPr>
  </w:style>
  <w:style w:type="paragraph" w:styleId="Normalweb1">
    <w:name w:val="normalweb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>
      <w:rFonts w:ascii="Helvetica;Arial" w:hAnsi="Helvetica;Arial" w:eastAsia="" w:cs="Helvetica;Arial"/>
      <w:b/>
      <w:sz w:val="24"/>
      <w:szCs w:val="24"/>
    </w:rPr>
  </w:style>
  <w:style w:type="paragraph" w:styleId="NormalArial">
    <w:name w:val="Normal + Arial"/>
    <w:basedOn w:val="Normal"/>
    <w:qFormat/>
    <w:pPr/>
    <w:rPr>
      <w:rFonts w:eastAsia="Times New Roman" w:cs="Arial"/>
      <w:sz w:val="24"/>
      <w:szCs w:val="24"/>
      <w:lang w:eastAsia="en-GB"/>
    </w:rPr>
  </w:style>
  <w:style w:type="paragraph" w:styleId="Endnote">
    <w:name w:val="Endnote Text"/>
    <w:basedOn w:val="Normal"/>
    <w:pPr>
      <w:overflowPunct w:val="true"/>
      <w:textAlignment w:val="baseline"/>
    </w:pPr>
    <w:rPr>
      <w:rFonts w:ascii="Palatino" w:hAnsi="Palatino" w:eastAsia="Times New Roman" w:cs="Palatino"/>
      <w:sz w:val="24"/>
      <w:szCs w:val="20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4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C:\Users\rita\Desktop\NBG Brochure Cover Template.dot</Template>
  <TotalTime>12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