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7445" cy="1188085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9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2" fillcolor="white" stroked="f" style="position:absolute;margin-left:396pt;margin-top:-9pt;width:90.25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0" simplePos="0" locked="0" layoutInCell="1" allowOverlap="1" relativeHeight="4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1146810" cy="1187450"/>
                <wp:effectExtent l="0" t="0" r="0" b="0"/>
                <wp:wrapNone/>
                <wp:docPr id="2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6810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3" name="Image1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1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3pt;height:93.5pt;mso-wrap-distance-left:0pt;mso-wrap-distance-right:0pt;mso-wrap-distance-top:5.7pt;mso-wrap-distance-bottom:5.7pt;margin-top:-9pt;mso-position-vertical-relative:text;margin-left:396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4" name="Image1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1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Heading1"/>
        <w:spacing w:lineRule="auto" w:line="240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998"/>
      </w:tblGrid>
      <w:tr>
        <w:trPr/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MDC Development &amp; Delivery Manager</w:t>
            </w:r>
          </w:p>
        </w:tc>
      </w:tr>
    </w:tbl>
    <w:p>
      <w:pPr>
        <w:pStyle w:val="Normal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9"/>
        <w:gridCol w:w="2179"/>
        <w:gridCol w:w="3950"/>
      </w:tblGrid>
      <w:tr>
        <w:trPr/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Directorate: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Place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Division/Section: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Growth / Oldham Mayoral Development Corporation</w:t>
            </w:r>
          </w:p>
        </w:tc>
      </w:tr>
      <w:tr>
        <w:trPr/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SM3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JE Reference: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3754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>
          <w:trHeight w:val="390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Endnote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Job Purpose:   </w:t>
            </w:r>
          </w:p>
        </w:tc>
      </w:tr>
      <w:tr>
        <w:trPr>
          <w:trHeight w:val="390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To be the senior development and delivery professional within the Oldham Mayoral Development Corporation Delivery Team, accountable for converting the MDC’s most significant regeneration ambitions into investable, consented, procured and deliverable projects.</w:t>
              <w:br/>
              <w:br/>
              <w:t>The post will lead a complex, multi-million-pound portfolio spanning Town Centre residential development, SportsTown, Northern Roots, heritage and cultural assets, health innovation and programme-wide infrastructure. Working with substantial professional autonomy, the postholder will provide authoritative client-side development leadership, commercial judgement and technical challenges across land, property, planning, viability, design, infrastructure, business cases, funding, procurement, construction mobilisation and operational readiness.</w:t>
              <w:br/>
              <w:br/>
              <w:t>The role is pivotal to the credibility and success of the MDC. The postholder will advise the Programme Director, Senior Leadership Team and MDC Board; lead negotiations with developers, landowners, investors, funders and public bodies; and be personally accountable for securing timely decisions, managing significant risks and ensuring that priority schemes progress through robust investment and delivery gateways.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Endnote"/>
              <w:jc w:val="both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General Responsibilities: </w:t>
            </w:r>
          </w:p>
        </w:tc>
      </w:tr>
      <w:tr>
        <w:trPr>
          <w:trHeight w:val="390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provide day-to-day management to the team including recruitment, appraisal and development, conflict resolution etc.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rPr/>
            </w:pPr>
            <w:r>
              <w:rPr>
                <w:rFonts w:cs="Arial"/>
                <w:sz w:val="22"/>
                <w:szCs w:val="22"/>
              </w:rPr>
              <w:t>To motivate and engage the team to create the right working environment to influence effective performance.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be accountable for a budget(s), monitoring, reckoning and providing explanation for the spend as necessary.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ind w:lef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cs="Arial"/>
                <w:sz w:val="22"/>
                <w:szCs w:val="22"/>
              </w:rPr>
              <w:t>To be responsible for the delivery of the annual work plans, regularly monitor, identify potential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non-delivery and provide practical solutions for performance issues.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Contribute to efficiency and performance improvements and evidence value for money in service delivery.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Contribute towards strategic planning by providing practical aspects to achieving goals and objectives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support the implementation of corporate initiatives and ensure they are embedded in the team.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ensure effective working relationships with other managers across the directorate and the Council to deliver our corporate objectives.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contribute to the overall management of the service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51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1"/>
      </w:tblGrid>
      <w:tr>
        <w:trPr/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Key Tasks: </w:t>
            </w:r>
          </w:p>
          <w:p>
            <w:pPr>
              <w:pStyle w:val="Normal"/>
              <w:jc w:val="both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10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the end-to-end development lifecycle for assigned priority projects, from strategic brief and feasibility through site control, planning, funding, procurement, construction mobilisation, delivery assurance and operational handover.</w:t>
            </w:r>
          </w:p>
          <w:p>
            <w:pPr>
              <w:pStyle w:val="ListParagraph"/>
              <w:spacing w:lineRule="auto" w:line="240" w:before="0" w:after="60"/>
              <w:ind w:left="475" w:right="0" w:hanging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Act as Senior Responsible Client or client-side lead for complex commissions and projects, establishing governance, project execution plans, programme baselines, gateway criteria, change control and escalation arrangements.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the preparation and critical review of strategic and detailed development appraisals, residual land-value assessments, options appraisals, cost plans, cashflows, sensitivity analysis and financial models; interrogate assumptions and recommend commercially robust courses of action.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negotiations on land assembly, acquisitions, disposals, leases, development agreements, collaboration agreements, operator arrangements and other complex property or delivery matters, supported by Legal, Property and Finance colleagues.</w:t>
            </w:r>
          </w:p>
          <w:p>
            <w:pPr>
              <w:pStyle w:val="ListParagraph"/>
              <w:spacing w:lineRule="auto" w:line="240" w:before="0" w:after="60"/>
              <w:ind w:left="475" w:right="0" w:hanging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Develop delivery and commercial strategies, including direct delivery, development partnership, joint venture, operator-led, concession, lease and other public-private delivery models; make recommendations on risk allocation and route to market.</w:t>
            </w:r>
          </w:p>
          <w:p>
            <w:pPr>
              <w:pStyle w:val="ListParagraph"/>
              <w:spacing w:lineRule="auto" w:line="240" w:before="0" w:after="60"/>
              <w:ind w:left="475" w:right="0" w:hanging="0"/>
              <w:contextualSpacing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the preparation of HM Treasury Green Book-aligned strategic outline, outline and full business cases, funding applications and investment propositions for GMCA, Homes England, central government, sports bodies, health partners, philanthropic funders and private investors.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Build and maintain the MDC capital pipeline, identifying total development costs, viability gaps, secured funding, future asks, match funding, recoverability and critical investment decisions.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Provide expert client-side challenge throughout design development, ensuring schemes remain aligned with business-case outcomes, planning strategy, affordability, operational requirements, design quality, social value, carbon and whole-life performance.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Coordinate planning strategy with the Local Planning Authority and, subject to final statutory arrangements, the MDC planning-powers and delegation model; ensure consent, reserved matters, conditions, heritage and environmental requirements are addressed in the correct sequence.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project-level infrastructure and site-readiness work across utilities, energy, drainage, flood risk, transport, movement, digital connectivity, public realm, remediation, demolition and enabling works, integrating findings into the programme-wide Infrastructure and Site Readiness Plan.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Design and manage compliant procurement and market-engagement processes with Commercial Procurement and Legal Services, including briefs, selection criteria, evaluation, approvals, appointment, mobilisation and performance-management arrangements.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relationships with principal delivery partners including Muse, SportsTown Ltd, Northern Roots, developers, contractors, operators, institutional landowners and anchor institutions; negotiate commitments and ensure delivery obligations are clear and monitored.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Manage consultant and contractor performance, challenging quality, programme, cost and risk; direct corrective action and make recommendations on contractual, commercial or governance intervention where required.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Prepare concise, evidence-based Board and senior-management reports setting out project status, financial position, risk, options, recommendations and decisions required; present complex matters clearly and withstand detailed challenge.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Maintain oversight of interdependencies across the Town Centre, SportsTown and Northern Roots portfolios, identifying opportunities for coordinated investment, shared infrastructure, joint procurement and phasing efficiencies.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Embed resident benefit, inclusive growth, health and wellbeing, skills, apprenticeships, local supply-chain opportunity, accessibility, climate resilience and long-term social value into briefs, business cases, procurement and development agreements.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Lead engagement with communities, elected members, investors, businesses and strategic partners on complex or sensitive projects, ensuring accurate information, meaningful participation and professional management of competing interests.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Maintain a strong external network and current technical knowledge of regeneration policy, property markets, development finance, construction, public funding and delivery innovation; translate changes into practical implications for Oldham.</w:t>
            </w:r>
          </w:p>
          <w:p>
            <w:pPr>
              <w:pStyle w:val="Normal"/>
              <w:spacing w:before="0" w:after="60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Coach and develop project staff, matrix-team members and emerging practitioners, promoting high professional standards and building lasting development capability within the Council and MDC.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other senior development and delivery responsibilities commensurate with the scope and accountability of the post.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rFonts w:cs="Arial"/>
                <w:color w:val="FFFFFF"/>
                <w:sz w:val="22"/>
                <w:szCs w:val="22"/>
              </w:rPr>
            </w:pPr>
            <w:r>
              <w:rPr>
                <w:rFonts w:cs="Arial"/>
                <w:color w:val="FFFFFF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27"/>
      </w:tblGrid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promote the equalities and diversity agenda in the workplace and in service delivery.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uphold and implement policies and procedures of the Council;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276" w:before="0" w:after="60"/>
              <w:contextualSpacing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MDC Programme Director, Independent Chair, Board members, Senior Leadership Team, PMO Lead and wider Delivery Team.</w:t>
            </w:r>
          </w:p>
          <w:p>
            <w:pPr>
              <w:pStyle w:val="Normal"/>
              <w:spacing w:lineRule="auto" w:line="276" w:before="0" w:after="60"/>
              <w:contextualSpacing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Oldham Council Chief Executive and senior managers; Planning, Property, Housing, Finance, Legal, Procurement, Highways, Infrastructure, Culture, Public Health, Communications and Digital services.</w:t>
            </w:r>
          </w:p>
          <w:p>
            <w:pPr>
              <w:pStyle w:val="Normal"/>
              <w:spacing w:lineRule="auto" w:line="276" w:before="0" w:after="60"/>
              <w:contextualSpacing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GMCA, TfGM, Homes England, central government departments, NHS bodies, universities, colleges, sports governing bodies, utilities and other public institutions.</w:t>
            </w:r>
          </w:p>
          <w:p>
            <w:pPr>
              <w:pStyle w:val="Normal"/>
              <w:spacing w:lineRule="auto" w:line="276" w:before="0" w:after="60"/>
              <w:contextualSpacing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Developers, housebuilders, contractors, operators, landowners, investors, lenders, funders, consultants, professional advisers and commercial partners.</w:t>
            </w:r>
          </w:p>
          <w:p>
            <w:pPr>
              <w:pStyle w:val="Normal"/>
              <w:jc w:val="both"/>
              <w:rPr>
                <w:rFonts w:eastAsia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/>
                <w:color w:val="000000"/>
                <w:sz w:val="22"/>
                <w:szCs w:val="22"/>
                <w:lang w:val="en-US"/>
              </w:rPr>
              <w:t>Elected members, residents, community groups, businesses, voluntary organisations and representatives of local and regional stakeholder networks.</w:t>
            </w:r>
          </w:p>
          <w:p>
            <w:pPr>
              <w:pStyle w:val="Normal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TextBody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43"/>
      </w:tblGrid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rPr>
                <w:rFonts w:cs="Arial"/>
                <w:b w:val="false"/>
                <w:b w:val="false"/>
                <w:szCs w:val="22"/>
              </w:rPr>
            </w:pPr>
            <w:r>
              <w:rPr>
                <w:rFonts w:cs="Arial"/>
                <w:b w:val="false"/>
                <w:szCs w:val="22"/>
              </w:rPr>
              <w:t>Projects Director – SportsTown, Northern Roots and Oldham MDC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None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Special Conditions: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rFonts w:cs="Arial"/>
                <w:b/>
                <w:b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color w:val="FFFFFF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fill="FFFFFF" w:val="clear"/>
              <w:spacing w:lineRule="auto" w:line="256" w:before="0" w:after="379"/>
              <w:jc w:val="both"/>
              <w:rPr/>
            </w:pPr>
            <w:r>
              <w:rPr>
                <w:rFonts w:eastAsia="Helvetica;Arial" w:cs="Arial"/>
                <w:sz w:val="22"/>
                <w:szCs w:val="22"/>
                <w:lang w:val="en-US"/>
              </w:rPr>
              <w:t>B</w:t>
            </w:r>
            <w:r>
              <w:rPr>
                <w:rFonts w:eastAsia="Arial" w:cs="Arial"/>
                <w:sz w:val="22"/>
                <w:szCs w:val="22"/>
                <w:lang w:val="en-US"/>
              </w:rPr>
              <w:t>y living our Values and Behaviours we will deliver the change we need to meet our Corporate ambitions for Oldham.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  <w:t>Our Values: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Proud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take pride not only in what we deliver for the residents of Oldham but also in how we deliver it.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Ambitious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Together</w:t>
            </w:r>
          </w:p>
          <w:p>
            <w:pPr>
              <w:pStyle w:val="Normal"/>
              <w:spacing w:before="280" w:after="0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believe in shared solutions, working across sectors and with our communities to achieve common goals and deliver the quality services Oldham deserves.</w:t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  <w:lang w:val="en"/>
              </w:rPr>
              <w:t xml:space="preserve">We have </w:t>
            </w:r>
            <w:r>
              <w:rPr>
                <w:rFonts w:eastAsia="Arial" w:cs="Arial"/>
                <w:b/>
                <w:bCs/>
                <w:sz w:val="22"/>
                <w:szCs w:val="22"/>
                <w:lang w:val="en"/>
              </w:rPr>
              <w:t xml:space="preserve">five Behaviours </w:t>
            </w:r>
            <w:r>
              <w:rPr>
                <w:rFonts w:eastAsia="Arial" w:cs="Arial"/>
                <w:sz w:val="22"/>
                <w:szCs w:val="22"/>
                <w:lang w:val="en"/>
              </w:rPr>
              <w:t>which outline the priority areas of focus for staff at all levels: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200"/>
              <w:contextualSpacing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Work with a Resident Focus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200"/>
              <w:contextualSpacing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Support Local Leaders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200"/>
              <w:contextualSpacing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Committed to the Borough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200"/>
              <w:contextualSpacing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>Take Ownership and Drive Change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276" w:before="0" w:after="200"/>
              <w:contextualSpacing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  <w:t xml:space="preserve">Deliver High Performance 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More information about our Corporate Plan and our Values and Behaviours can be found on our </w:t>
            </w:r>
            <w:r>
              <w:rPr>
                <w:rFonts w:eastAsia="Arial" w:cs="Arial"/>
                <w:color w:val="0563C1"/>
                <w:sz w:val="22"/>
                <w:szCs w:val="22"/>
                <w:u w:val="single"/>
              </w:rPr>
              <w:t>Greater. Jobs pages</w:t>
            </w:r>
            <w:r>
              <w:rPr>
                <w:rFonts w:eastAsia="Arial" w:cs="Arial"/>
                <w:sz w:val="22"/>
                <w:szCs w:val="22"/>
              </w:rPr>
              <w:t xml:space="preserve"> together with information about the staff benefits we offer.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7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6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br w:type="page"/>
      </w: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9350" cy="1188085"/>
                <wp:effectExtent l="0" t="0" r="0" b="0"/>
                <wp:wrapNone/>
                <wp:docPr id="5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760" cy="118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ext Box 3" fillcolor="white" stroked="f" style="position:absolute;margin-left:405pt;margin-top:-47.7pt;width:90.4pt;height:93.45pt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  <w:r>
        <mc:AlternateContent>
          <mc:Choice Requires="wps">
            <w:drawing>
              <wp:anchor behindDoc="0" distT="72390" distB="72390" distL="0" distR="3810" simplePos="0" locked="0" layoutInCell="1" allowOverlap="1" relativeHeight="6">
                <wp:simplePos x="0" y="0"/>
                <wp:positionH relativeFrom="column">
                  <wp:posOffset>5143500</wp:posOffset>
                </wp:positionH>
                <wp:positionV relativeFrom="paragraph">
                  <wp:posOffset>-605790</wp:posOffset>
                </wp:positionV>
                <wp:extent cx="1148715" cy="1187450"/>
                <wp:effectExtent l="0" t="0" r="0" b="0"/>
                <wp:wrapNone/>
                <wp:docPr id="6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8715" cy="118745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961390" cy="1094740"/>
                                  <wp:effectExtent l="0" t="0" r="0" b="0"/>
                                  <wp:docPr id="7" name="Image2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2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/>
                                          <a:srcRect l="-40" t="-35" r="-40" b="-3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1390" cy="1094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 lIns="92075" tIns="46355" rIns="92075" bIns="4635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90.45pt;height:93.5pt;mso-wrap-distance-left:0pt;mso-wrap-distance-right:0.3pt;mso-wrap-distance-top:5.7pt;mso-wrap-distance-bottom:5.7pt;margin-top:-47.7pt;mso-position-vertical-relative:text;margin-left:40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FrameContents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961390" cy="1094740"/>
                            <wp:effectExtent l="0" t="0" r="0" b="0"/>
                            <wp:docPr id="8" name="Image2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2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 l="-40" t="-35" r="-40" b="-3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1390" cy="1094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PERSON SPECIFICATION</w:t>
      </w:r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Normal"/>
        <w:ind w:left="0" w:right="-514" w:hanging="0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ind w:left="0" w:right="-514" w:hanging="0"/>
        <w:rPr/>
      </w:pPr>
      <w:r>
        <w:rPr>
          <w:rFonts w:cs="Arial"/>
          <w:b/>
          <w:bCs/>
          <w:sz w:val="22"/>
          <w:szCs w:val="22"/>
        </w:rPr>
        <w:t>Job Title:</w:t>
      </w:r>
      <w:r>
        <w:rPr>
          <w:rFonts w:cs="Arial"/>
          <w:bCs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MDC Development &amp; Delivery Manager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57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3960"/>
        <w:gridCol w:w="3060"/>
        <w:gridCol w:w="1630"/>
      </w:tblGrid>
      <w:tr>
        <w:trPr>
          <w:trHeight w:val="1000" w:hRule="atLeast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How Assessed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Education &amp; Qualifications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Degree or equivalent professional qualification / demonstrably equivalent senior-level expertise in regeneration, development, surveying, planning, construction, property, housing, infrastructure or a closely related field.</w:t>
            </w:r>
          </w:p>
          <w:p>
            <w:pPr>
              <w:pStyle w:val="Normal"/>
              <w:spacing w:before="0" w:after="60"/>
              <w:ind w:left="331" w:right="0" w:hanging="21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Evidence of sustained continuing professional, managerial and personal development.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Postgraduate qualification in development, real estate, planning, project leadership, business administration or a related discipline.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Recognised programme or project management qualification, such as APM, MSP or PRINCE2.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Management or leadership qualification.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Chartered membership of an appropriate professional institution, or evidence of an equivalent depth and breadth of technical competence gained through substantial senior practice.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Substantial senior experience of leading complex, high-value regeneration, property, housing, infrastructure or capital-development programmes through the full development lifecycle.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 strong personal track record of taking projects from strategic concept and feasibility through land, planning, viability, business case, funding, procurement and construction mobilisation.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leading commercial negotiations with developers, landowners, investors, operators, contractors or public-sector partners and securing agreed outcomes in complex multi-party environments.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commissioning and directing multi-disciplinary professional teams and holding senior advisers, partners and suppliers to account for quality, cost, risk and programme.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Evidence of successful financial and resource management, including significant budgets, development appraisals, cost plans, funding packages and explanation of variance.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presenting complex and sensitive recommendations to Boards, senior executives, elected members, funders or investment decision-makers.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leading through ambiguity, resolving major delivery barriers and providing credible recovery or acceleration strategies.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mayoral development corporations, local government, combined authorities or arm’s-length delivery vehicles.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across more than one of the following: Town Centre residential development, sport and leisure infrastructure, health innovation, heritage-led regeneration, green growth or major infrastructure.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joint ventures, development agreements, concession or operator models, institutional investment, philanthropic funding or recoverable public investment.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organisational change and building new delivery capability.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AC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Exceptional general leadership, judgement and organisational skills, with the ability to create clarity, pace and accountability across a complex portfolio.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Advanced development appraisal and commercial skills, including the ability to interrogate residual land value, cashflow, cost, risk, sensitivity and funding assumptions and translate analysis into recommendations.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Strong technical understanding across land and property, planning, design, construction, infrastructure, procurement, development finance and operational delivery, with the credibility to challenge specialists.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Highly developed negotiation, influencing and relationship-management skills, including the ability to secure outcomes from senior stakeholders with differing commercial, political or organisational interests.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lead matrix and multi-disciplinary teams, motivate high performance, manage conflict and intervene decisively when delivery is off track.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Outstanding written, presentation and verbal communication skills, with the ability to make complex technical and commercial issues accessible without losing precision.</w:t>
            </w:r>
          </w:p>
          <w:p>
            <w:pPr>
              <w:pStyle w:val="Normal"/>
              <w:spacing w:before="0" w:after="60"/>
              <w:ind w:left="331" w:right="0" w:hanging="21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develop robust business cases, investment propositions, Board reports and funding submissions and defend recommendations under detailed scrutiny.</w:t>
            </w:r>
          </w:p>
          <w:p>
            <w:pPr>
              <w:pStyle w:val="Normal"/>
              <w:spacing w:before="0" w:after="60"/>
              <w:ind w:left="331" w:right="0" w:hanging="21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Ability to balance commercial value, public accountability, resident outcomes, statutory duties, design quality, social value and environmental performance.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 personal resilience, political awareness, discretion and integrity.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Advanced financial-modelling or development-appraisal capability.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digital project controls, common data environments, geographic information systems or data-led portfolio reporting.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Media, public presentation or investor-pitch experience.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 / AC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Expert knowledge of the property-development and regeneration lifecycle, delivery models and the principal technical, commercial and statutory factors affecting investment and implementation.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Strong knowledge of development finance, viability, public funding, business cases, procurement, contract strategy, risk allocation and value-for-money assessment.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Detailed understanding of the English planning system, land and property considerations, infrastructure delivery, construction interfaces and operational-readiness requirements.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Sound knowledge of public-sector governance, financial controls, legal and procurement frameworks, equality, social value, subsidy control, community engagement and transparent decision-making.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national and Greater Manchester policy, funding and institutional arrangements relevant to regeneration, housing, infrastructure, inclusive growth and place-based delivery.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Oldham’s regeneration context and the Greater Manchester investment landscape.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Knowledge of HM Treasury Green Book, Homes England, GMCA or central-government appraisal and assurance requirements.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Specialist knowledge of heritage, sports infrastructure, health innovation, low-carbon infrastructure or major mixed-use development.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AA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Work Circumstances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work flexibly to meet the demands of a pivotal delivery role, including evening and weekend attendance where necessary.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travel regularly to sites and partner locations and to work safely within live development and construction environments.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Able to act with political impartiality and handle significant confidential, commercially sensitive and politically sensitive information.</w:t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before="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Committed to inclusive regeneration, resident outcomes and Oldham Council’s values and behaviours.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Full driving licence or ability to meet all travel requirements by alternative means.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before="0" w:after="60"/>
        <w:jc w:val="both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 AC = Assessment Centre; T = Test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Style w:val="InternetLink"/>
          <w:rFonts w:cs="Arial"/>
          <w:b/>
          <w:bCs/>
          <w:sz w:val="22"/>
          <w:szCs w:val="22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>
      <w:pPr>
        <w:pStyle w:val="Normal"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w="11906" w:h="16838"/>
      <w:pgMar w:left="1440" w:right="1440" w:header="567" w:top="624" w:footer="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DefaultParagraphFont">
    <w:name w:val="Default Paragraph Font"/>
    <w:qFormat/>
    <w:rPr/>
  </w:style>
  <w:style w:type="character" w:styleId="Heading6Char">
    <w:name w:val="Heading 6 Char"/>
    <w:qFormat/>
    <w:rPr>
      <w:rFonts w:ascii="Calibri" w:hAnsi="Calibri" w:eastAsia="Times New Roman" w:cs="Times New Roman"/>
      <w:b/>
      <w:bCs/>
      <w:sz w:val="22"/>
      <w:szCs w:val="22"/>
      <w:lang w:eastAsia="en-US"/>
    </w:rPr>
  </w:style>
  <w:style w:type="character" w:styleId="FooterChar">
    <w:name w:val="Footer Char"/>
    <w:qFormat/>
    <w:rPr>
      <w:rFonts w:ascii="Arial" w:hAnsi="Arial" w:cs="Arial"/>
      <w:sz w:val="24"/>
      <w:szCs w:val="24"/>
      <w:lang w:eastAsia="en-US"/>
    </w:rPr>
  </w:style>
  <w:style w:type="character" w:styleId="BodyText3Char">
    <w:name w:val="Body Text 3 Char"/>
    <w:qFormat/>
    <w:rPr>
      <w:rFonts w:ascii="Arial" w:hAnsi="Arial" w:cs="Arial"/>
      <w:color w:val="808080"/>
      <w:sz w:val="18"/>
      <w:szCs w:val="18"/>
      <w:lang w:eastAsia="en-US"/>
    </w:rPr>
  </w:style>
  <w:style w:type="character" w:styleId="InternetLink">
    <w:name w:val="Internet Link"/>
    <w:rPr>
      <w:color w:val="0563C1"/>
      <w:u w:val="single"/>
    </w:rPr>
  </w:style>
  <w:style w:type="character" w:styleId="HeaderChar">
    <w:name w:val="Header Char"/>
    <w:basedOn w:val="DefaultParagraphFont"/>
    <w:qFormat/>
    <w:rPr>
      <w:rFonts w:ascii="Arial" w:hAnsi="Arial" w:cs="Arial"/>
      <w:sz w:val="22"/>
      <w:lang w:eastAsia="en-US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BodyText3">
    <w:name w:val="Body Text 3"/>
    <w:basedOn w:val="Normal"/>
    <w:qFormat/>
    <w:pPr/>
    <w:rPr>
      <w:color w:val="808080"/>
      <w:sz w:val="18"/>
      <w:szCs w:val="18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