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/>
      </w:pPr>
      <w:r>
        <w:rPr/>
        <w:t>ST MARTIN’S CE PRIMARY SCHOOL</w:t>
      </w:r>
    </w:p>
    <w:p>
      <w:pPr>
        <w:pStyle w:val="Heading2"/>
        <w:rPr/>
      </w:pPr>
      <w:r>
        <w:rPr/>
        <w:t>PERSON SPECIFICATION</w:t>
      </w:r>
    </w:p>
    <w:p>
      <w:pPr>
        <w:pStyle w:val="Normal"/>
        <w:rPr/>
      </w:pPr>
      <w:r>
        <w:rPr/>
        <w:t>Post Title: Class Teacher (EYFS)</w:t>
      </w:r>
    </w:p>
    <w:p>
      <w:pPr>
        <w:pStyle w:val="Normal"/>
        <w:rPr/>
      </w:pPr>
      <w:r>
        <w:rPr/>
        <w:t>Contract: 0.5 FTE Job Share</w:t>
      </w:r>
    </w:p>
    <w:p>
      <w:pPr>
        <w:pStyle w:val="Heading2"/>
        <w:rPr/>
      </w:pPr>
      <w:r>
        <w:rPr/>
        <w:t>Qualifications and Training (Essential)</w:t>
      </w:r>
    </w:p>
    <w:p>
      <w:pPr>
        <w:pStyle w:val="ListBullet"/>
        <w:numPr>
          <w:ilvl w:val="0"/>
          <w:numId w:val="2"/>
        </w:numPr>
        <w:rPr/>
      </w:pPr>
      <w:r>
        <w:rPr/>
        <w:t>Qualified Teacher Status (QTS).</w:t>
      </w:r>
    </w:p>
    <w:p>
      <w:pPr>
        <w:pStyle w:val="ListBullet"/>
        <w:numPr>
          <w:ilvl w:val="0"/>
          <w:numId w:val="2"/>
        </w:numPr>
        <w:rPr/>
      </w:pPr>
      <w:r>
        <w:rPr/>
        <w:t>Educated to degree level.</w:t>
      </w:r>
    </w:p>
    <w:p>
      <w:pPr>
        <w:pStyle w:val="Heading2"/>
        <w:rPr/>
      </w:pPr>
      <w:r>
        <w:rPr/>
        <w:t>Qualifications and Training (Desirable)</w:t>
      </w:r>
    </w:p>
    <w:p>
      <w:pPr>
        <w:pStyle w:val="ListBullet"/>
        <w:numPr>
          <w:ilvl w:val="0"/>
          <w:numId w:val="2"/>
        </w:numPr>
        <w:rPr/>
      </w:pPr>
      <w:r>
        <w:rPr/>
        <w:t>Early Years specialism or additional EYFS-related professional development.</w:t>
      </w:r>
    </w:p>
    <w:p>
      <w:pPr>
        <w:pStyle w:val="Heading2"/>
        <w:rPr/>
      </w:pPr>
      <w:r>
        <w:rPr/>
        <w:t>Knowledge and Experience (Essential)</w:t>
      </w:r>
    </w:p>
    <w:p>
      <w:pPr>
        <w:pStyle w:val="ListBullet"/>
        <w:numPr>
          <w:ilvl w:val="0"/>
          <w:numId w:val="2"/>
        </w:numPr>
        <w:rPr/>
      </w:pPr>
      <w:r>
        <w:rPr/>
        <w:t>Secure knowledge of the EYFS statutory framework and Development Matters.</w:t>
      </w:r>
    </w:p>
    <w:p>
      <w:pPr>
        <w:pStyle w:val="ListBullet"/>
        <w:numPr>
          <w:ilvl w:val="0"/>
          <w:numId w:val="2"/>
        </w:numPr>
        <w:rPr/>
      </w:pPr>
      <w:r>
        <w:rPr/>
        <w:t>A strong understanding of child development and how young children learn.</w:t>
      </w:r>
    </w:p>
    <w:p>
      <w:pPr>
        <w:pStyle w:val="ListBullet"/>
        <w:numPr>
          <w:ilvl w:val="0"/>
          <w:numId w:val="2"/>
        </w:numPr>
        <w:rPr/>
      </w:pPr>
      <w:r>
        <w:rPr/>
        <w:t>Knowledge of effective strategies to promote positive behaviour and emotional wellbeing in Early Years.</w:t>
      </w:r>
    </w:p>
    <w:p>
      <w:pPr>
        <w:pStyle w:val="ListBullet"/>
        <w:numPr>
          <w:ilvl w:val="0"/>
          <w:numId w:val="2"/>
        </w:numPr>
        <w:rPr/>
      </w:pPr>
      <w:r>
        <w:rPr/>
        <w:t>Understanding of equality of opportunity and inclusive practice.</w:t>
      </w:r>
    </w:p>
    <w:p>
      <w:pPr>
        <w:pStyle w:val="ListBullet"/>
        <w:numPr>
          <w:ilvl w:val="0"/>
          <w:numId w:val="2"/>
        </w:numPr>
        <w:rPr/>
      </w:pPr>
      <w:r>
        <w:rPr/>
        <w:t>A clear understanding of safeguarding and child protection procedures.</w:t>
      </w:r>
    </w:p>
    <w:p>
      <w:pPr>
        <w:pStyle w:val="ListBullet"/>
        <w:numPr>
          <w:ilvl w:val="0"/>
          <w:numId w:val="2"/>
        </w:numPr>
        <w:rPr/>
      </w:pPr>
      <w:r>
        <w:rPr/>
        <w:t>Commitment to raising standards through effective planning, teaching and assessment.</w:t>
      </w:r>
    </w:p>
    <w:p>
      <w:pPr>
        <w:pStyle w:val="ListBullet"/>
        <w:numPr>
          <w:ilvl w:val="0"/>
          <w:numId w:val="2"/>
        </w:numPr>
        <w:rPr/>
      </w:pPr>
      <w:r>
        <w:rPr/>
        <w:t>Understanding of the social, learning and pastoral needs of young children.</w:t>
      </w:r>
    </w:p>
    <w:p>
      <w:pPr>
        <w:pStyle w:val="Heading2"/>
        <w:rPr/>
      </w:pPr>
      <w:r>
        <w:rPr/>
        <w:t>Knowledge and Experience (Desirable)</w:t>
      </w:r>
    </w:p>
    <w:p>
      <w:pPr>
        <w:pStyle w:val="ListBullet"/>
        <w:numPr>
          <w:ilvl w:val="0"/>
          <w:numId w:val="2"/>
        </w:numPr>
        <w:rPr/>
      </w:pPr>
      <w:r>
        <w:rPr/>
        <w:t>Experience of working in a Nursery or EYFS setting within a primary school.</w:t>
      </w:r>
    </w:p>
    <w:p>
      <w:pPr>
        <w:pStyle w:val="ListBullet"/>
        <w:numPr>
          <w:ilvl w:val="0"/>
          <w:numId w:val="2"/>
        </w:numPr>
        <w:rPr/>
      </w:pPr>
      <w:r>
        <w:rPr/>
        <w:t>Knowledge of current research and best practice in Early Years education.</w:t>
      </w:r>
    </w:p>
    <w:p>
      <w:pPr>
        <w:pStyle w:val="Heading2"/>
        <w:rPr/>
      </w:pPr>
      <w:r>
        <w:rPr/>
        <w:t>Skills and Abilities (Essential)</w:t>
      </w:r>
    </w:p>
    <w:p>
      <w:pPr>
        <w:pStyle w:val="ListBullet"/>
        <w:numPr>
          <w:ilvl w:val="0"/>
          <w:numId w:val="2"/>
        </w:numPr>
        <w:rPr/>
      </w:pPr>
      <w:r>
        <w:rPr/>
        <w:t>Ability to create a purposeful, calm and stimulating learning environment, indoors and outdoors.</w:t>
      </w:r>
    </w:p>
    <w:p>
      <w:pPr>
        <w:pStyle w:val="ListBullet"/>
        <w:numPr>
          <w:ilvl w:val="0"/>
          <w:numId w:val="2"/>
        </w:numPr>
        <w:rPr/>
      </w:pPr>
      <w:r>
        <w:rPr/>
        <w:t>Ability to match teaching to children’s individual needs while providing appropriate challenge.</w:t>
      </w:r>
    </w:p>
    <w:p>
      <w:pPr>
        <w:pStyle w:val="ListBullet"/>
        <w:numPr>
          <w:ilvl w:val="0"/>
          <w:numId w:val="2"/>
        </w:numPr>
        <w:rPr/>
      </w:pPr>
      <w:r>
        <w:rPr/>
        <w:t>Use of a range of teaching strategies including whole class, group and individual approaches.</w:t>
      </w:r>
    </w:p>
    <w:p>
      <w:pPr>
        <w:pStyle w:val="ListBullet"/>
        <w:numPr>
          <w:ilvl w:val="0"/>
          <w:numId w:val="2"/>
        </w:numPr>
        <w:rPr/>
      </w:pPr>
      <w:r>
        <w:rPr/>
        <w:t>Ability to identify and support pupils with SEND, working alongside other professionals as required.</w:t>
      </w:r>
    </w:p>
    <w:p>
      <w:pPr>
        <w:pStyle w:val="ListBullet"/>
        <w:numPr>
          <w:ilvl w:val="0"/>
          <w:numId w:val="2"/>
        </w:numPr>
        <w:rPr/>
      </w:pPr>
      <w:r>
        <w:rPr/>
        <w:t>Establish and maintain high expectations of behaviour and engagement.</w:t>
      </w:r>
    </w:p>
    <w:p>
      <w:pPr>
        <w:pStyle w:val="ListBullet"/>
        <w:numPr>
          <w:ilvl w:val="0"/>
          <w:numId w:val="2"/>
        </w:numPr>
        <w:rPr/>
      </w:pPr>
      <w:r>
        <w:rPr/>
        <w:t>Work effectively with teaching assistants and other adults to support learning.</w:t>
      </w:r>
    </w:p>
    <w:p>
      <w:pPr>
        <w:pStyle w:val="ListBullet"/>
        <w:numPr>
          <w:ilvl w:val="0"/>
          <w:numId w:val="2"/>
        </w:numPr>
        <w:rPr/>
      </w:pPr>
      <w:r>
        <w:rPr/>
        <w:t>Communicate positively and professionally with parents and carers.</w:t>
      </w:r>
    </w:p>
    <w:p>
      <w:pPr>
        <w:pStyle w:val="ListBullet"/>
        <w:numPr>
          <w:ilvl w:val="0"/>
          <w:numId w:val="2"/>
        </w:numPr>
        <w:rPr/>
      </w:pPr>
      <w:r>
        <w:rPr/>
        <w:t>Ability to work collaboratively as part of a job share, ensuring continuity of learning and care.</w:t>
      </w:r>
    </w:p>
    <w:p>
      <w:pPr>
        <w:pStyle w:val="ListBullet"/>
        <w:numPr>
          <w:ilvl w:val="0"/>
          <w:numId w:val="2"/>
        </w:numPr>
        <w:rPr/>
      </w:pPr>
      <w:r>
        <w:rPr/>
        <w:t>Ability to work within national and whole-school policies to ensure consistency of practice.</w:t>
      </w:r>
    </w:p>
    <w:p>
      <w:pPr>
        <w:pStyle w:val="Heading2"/>
        <w:rPr/>
      </w:pPr>
      <w:r>
        <w:rPr/>
        <w:t>Skills and Abilities (Desirable)</w:t>
      </w:r>
    </w:p>
    <w:p>
      <w:pPr>
        <w:pStyle w:val="ListBullet"/>
        <w:numPr>
          <w:ilvl w:val="0"/>
          <w:numId w:val="2"/>
        </w:numPr>
        <w:rPr/>
      </w:pPr>
      <w:r>
        <w:rPr/>
        <w:t>Ability to contribute to wider school life and enrichment opportunities.</w:t>
      </w:r>
    </w:p>
    <w:p>
      <w:pPr>
        <w:pStyle w:val="Heading2"/>
        <w:rPr/>
      </w:pPr>
      <w:r>
        <w:rPr/>
        <w:t>Personal Qualities (Essential)</w:t>
      </w:r>
    </w:p>
    <w:p>
      <w:pPr>
        <w:pStyle w:val="ListBullet"/>
        <w:numPr>
          <w:ilvl w:val="0"/>
          <w:numId w:val="2"/>
        </w:numPr>
        <w:rPr/>
      </w:pPr>
      <w:r>
        <w:rPr/>
        <w:t>Commitment to the Christian ethos and values of St Martin’s CE Primary School.</w:t>
      </w:r>
    </w:p>
    <w:p>
      <w:pPr>
        <w:pStyle w:val="ListBullet"/>
        <w:numPr>
          <w:ilvl w:val="0"/>
          <w:numId w:val="2"/>
        </w:numPr>
        <w:rPr/>
      </w:pPr>
      <w:r>
        <w:rPr/>
        <w:t>Flexible and adaptable approach to workload and responsibilities.</w:t>
      </w:r>
    </w:p>
    <w:p>
      <w:pPr>
        <w:pStyle w:val="ListBullet"/>
        <w:numPr>
          <w:ilvl w:val="0"/>
          <w:numId w:val="2"/>
        </w:numPr>
        <w:rPr/>
      </w:pPr>
      <w:r>
        <w:rPr/>
        <w:t>Commitment to professional standards, including confidentiality and professionalism.</w:t>
      </w:r>
    </w:p>
    <w:p>
      <w:pPr>
        <w:pStyle w:val="ListBullet"/>
        <w:numPr>
          <w:ilvl w:val="0"/>
          <w:numId w:val="2"/>
        </w:numPr>
        <w:rPr/>
      </w:pPr>
      <w:r>
        <w:rPr/>
        <w:t>Willingness to engage in professional development and continuous improvement.</w:t>
      </w:r>
    </w:p>
    <w:p>
      <w:pPr>
        <w:pStyle w:val="ListBullet"/>
        <w:numPr>
          <w:ilvl w:val="0"/>
          <w:numId w:val="2"/>
        </w:numPr>
        <w:rPr/>
      </w:pPr>
      <w:r>
        <w:rPr/>
        <w:t>Reflective practitioner with the ability to evaluate and improve own practice.</w:t>
      </w:r>
    </w:p>
    <w:p>
      <w:pPr>
        <w:pStyle w:val="ListBullet"/>
        <w:numPr>
          <w:ilvl w:val="0"/>
          <w:numId w:val="2"/>
        </w:numPr>
        <w:rPr/>
      </w:pPr>
      <w:r>
        <w:rPr/>
        <w:t>Positive attitude, resilience and ability to respond constructively to challenges.</w:t>
      </w:r>
    </w:p>
    <w:p>
      <w:pPr>
        <w:pStyle w:val="Heading2"/>
        <w:rPr/>
      </w:pPr>
      <w:r>
        <w:rPr/>
        <w:t>Safeguarding (Essential)</w:t>
      </w:r>
    </w:p>
    <w:p>
      <w:pPr>
        <w:pStyle w:val="ListBullet"/>
        <w:numPr>
          <w:ilvl w:val="0"/>
          <w:numId w:val="2"/>
        </w:numPr>
        <w:rPr/>
      </w:pPr>
      <w:r>
        <w:rPr/>
        <w:t>A strong commitment to safeguarding and promoting the welfare of children.</w:t>
      </w:r>
    </w:p>
    <w:p>
      <w:pPr>
        <w:pStyle w:val="ListBullet"/>
        <w:numPr>
          <w:ilvl w:val="0"/>
          <w:numId w:val="2"/>
        </w:numPr>
        <w:spacing w:before="0" w:after="200"/>
        <w:contextualSpacing/>
        <w:rPr/>
      </w:pPr>
      <w:r>
        <w:rPr/>
        <w:t>Willingness to undertake an enhanced DBS check.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cp:lastPrinted>1995-11-21T17:41:00Z</cp:lastPrinted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