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sz w:val="22"/>
          <w:szCs w:val="22"/>
        </w:rPr>
      </w:pPr>
      <w:r>
        <w:rPr>
          <w:rFonts w:cs="Arial"/>
          <w:sz w:val="22"/>
          <w:szCs w:val="22"/>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Job Title: </w:t>
            </w:r>
          </w:p>
          <w:p>
            <w:pPr>
              <w:pStyle w:val="Normal"/>
              <w:rPr>
                <w:rFonts w:cs="Arial"/>
                <w:color w:val="FFFFFF"/>
                <w:sz w:val="22"/>
                <w:szCs w:val="22"/>
              </w:rPr>
            </w:pPr>
            <w:r>
              <w:rPr>
                <w:rFonts w:cs="Arial"/>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bCs/>
                <w:sz w:val="22"/>
                <w:szCs w:val="22"/>
              </w:rPr>
            </w:pPr>
            <w:r>
              <w:rPr>
                <w:rFonts w:cs="Arial" w:ascii="Arial" w:hAnsi="Arial"/>
                <w:bCs/>
                <w:sz w:val="22"/>
                <w:szCs w:val="22"/>
              </w:rPr>
              <w:t>Residential Childcare Worker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Directorate:</w:t>
            </w:r>
            <w:r>
              <w:rPr>
                <w:rFonts w:cs="Arial"/>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Children &amp; Young People</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Division/Section:</w:t>
            </w:r>
            <w:r>
              <w:rPr>
                <w:rFonts w:cs="Arial"/>
                <w:color w:val="FFFFFF"/>
                <w:sz w:val="22"/>
                <w:szCs w:val="22"/>
              </w:rPr>
              <w:t xml:space="preserve"> </w:t>
            </w:r>
          </w:p>
          <w:p>
            <w:pPr>
              <w:pStyle w:val="Normal"/>
              <w:rPr>
                <w:rFonts w:cs="Arial"/>
                <w:color w:val="FFFFFF"/>
                <w:sz w:val="22"/>
                <w:szCs w:val="22"/>
              </w:rPr>
            </w:pPr>
            <w:r>
              <w:rPr>
                <w:rFonts w:cs="Arial"/>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Children’s Social Care</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Grade:  </w:t>
            </w:r>
          </w:p>
          <w:p>
            <w:pPr>
              <w:pStyle w:val="Normal"/>
              <w:rPr>
                <w:rFonts w:cs="Arial"/>
                <w:color w:val="FFFFFF"/>
                <w:sz w:val="22"/>
                <w:szCs w:val="22"/>
              </w:rPr>
            </w:pPr>
            <w:r>
              <w:rPr>
                <w:rFonts w:cs="Arial"/>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5</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color w:val="FFFFFF"/>
                <w:szCs w:val="22"/>
              </w:rPr>
            </w:pPr>
            <w:r>
              <w:rPr>
                <w:rFonts w:cs="Arial"/>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8032</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color w:val="FFFFFF"/>
                <w:sz w:val="22"/>
                <w:szCs w:val="22"/>
              </w:rPr>
            </w:pPr>
            <w:r>
              <w:rPr>
                <w:rFonts w:cs="Arial"/>
                <w:b/>
                <w:bCs/>
                <w:color w:val="FFFFFF"/>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Under the guidance of the Homes Manager and Deputy Homes Manager to care for and guide young people who are resident in the establishment.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This post also carries a requirement to work regular weekends, evenings, bank holidays and to sleep – in’ as required by the homes rota.</w:t>
            </w:r>
          </w:p>
          <w:p>
            <w:pPr>
              <w:pStyle w:val="Normal"/>
              <w:jc w:val="both"/>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color w:val="FFFFFF"/>
                <w:sz w:val="22"/>
                <w:szCs w:val="22"/>
              </w:rPr>
            </w:pPr>
            <w:r>
              <w:rPr>
                <w:rFonts w:cs="Arial"/>
                <w:b/>
                <w:bCs/>
                <w:color w:val="FFFFFF"/>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Title"/>
              <w:numPr>
                <w:ilvl w:val="0"/>
                <w:numId w:val="4"/>
              </w:numPr>
              <w:jc w:val="both"/>
              <w:rPr>
                <w:rFonts w:cs="Arial"/>
                <w:b w:val="false"/>
                <w:b w:val="false"/>
                <w:sz w:val="22"/>
                <w:szCs w:val="22"/>
              </w:rPr>
            </w:pPr>
            <w:r>
              <w:rPr>
                <w:rFonts w:cs="Arial"/>
                <w:b w:val="false"/>
                <w:sz w:val="22"/>
                <w:szCs w:val="22"/>
              </w:rPr>
              <w:t>To provide a planned and stimulating environment which gives care, control and guidance to young people resident within the home that is consistent with the Homes Statement of Purpose and Quality Care Standards (QCS) and Regulations.</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implement, review, monitor and develop social work ‘Care Plans’.</w:t>
            </w:r>
          </w:p>
          <w:p>
            <w:pPr>
              <w:pStyle w:val="Title"/>
              <w:ind w:left="0" w:right="0" w:firstLine="60"/>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Develop, implement, review and monitor the children’s and young peoples ‘Placement Plans’ within the home.</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develop, monitor and review individual risk assessments and ensure that all actions resulting from them are followed.</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assist young people in dealing with behavioural, emotional or other difficulties in line with Policy, Procedure and QCS and Regulations.</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be aware of QCS and Regulations and the responsibilities of all contained within them.</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participate in the professional life of the home and to work as a member of the residential staff team.</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create and maintain links with other agencies outside of the home to further the purpose of the home and care of the young people.</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participate in the administration of the home, maintaining appropriate records, personal, financial, etc. as required, and ensuring that the home and it’s equipment are properly used.</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To attend reviews, planning meetings, staff meetings and training courses as required.</w:t>
            </w:r>
          </w:p>
          <w:p>
            <w:pPr>
              <w:pStyle w:val="Title"/>
              <w:jc w:val="both"/>
              <w:rPr>
                <w:rFonts w:cs="Arial"/>
                <w:b w:val="false"/>
                <w:b w:val="false"/>
                <w:sz w:val="22"/>
                <w:szCs w:val="22"/>
              </w:rPr>
            </w:pPr>
            <w:r>
              <w:rPr>
                <w:rFonts w:cs="Arial"/>
                <w:b w:val="false"/>
                <w:sz w:val="22"/>
                <w:szCs w:val="22"/>
              </w:rPr>
            </w:r>
          </w:p>
          <w:p>
            <w:pPr>
              <w:pStyle w:val="Title"/>
              <w:numPr>
                <w:ilvl w:val="0"/>
                <w:numId w:val="4"/>
              </w:numPr>
              <w:jc w:val="left"/>
              <w:rPr>
                <w:rFonts w:cs="Arial"/>
                <w:b w:val="false"/>
                <w:b w:val="false"/>
                <w:sz w:val="22"/>
                <w:szCs w:val="22"/>
              </w:rPr>
            </w:pPr>
            <w:r>
              <w:rPr>
                <w:rFonts w:cs="Arial"/>
                <w:b w:val="false"/>
                <w:sz w:val="22"/>
                <w:szCs w:val="22"/>
              </w:rPr>
              <w:t>To complete. The Diploma in Health &amp; Social Care level 3 (unless already qualified)</w:t>
            </w:r>
          </w:p>
          <w:p>
            <w:pPr>
              <w:pStyle w:val="Title"/>
              <w:jc w:val="both"/>
              <w:rPr>
                <w:rFonts w:cs="Arial"/>
                <w:b w:val="false"/>
                <w:b w:val="false"/>
                <w:sz w:val="22"/>
                <w:szCs w:val="22"/>
              </w:rPr>
            </w:pPr>
            <w:r>
              <w:rPr>
                <w:rFonts w:cs="Arial"/>
                <w:b w:val="false"/>
                <w:sz w:val="22"/>
                <w:szCs w:val="22"/>
              </w:rPr>
            </w:r>
          </w:p>
          <w:p>
            <w:pPr>
              <w:pStyle w:val="Title"/>
              <w:numPr>
                <w:ilvl w:val="0"/>
                <w:numId w:val="4"/>
              </w:numPr>
              <w:jc w:val="both"/>
              <w:rPr>
                <w:rFonts w:cs="Arial"/>
                <w:b w:val="false"/>
                <w:b w:val="false"/>
                <w:sz w:val="22"/>
                <w:szCs w:val="22"/>
              </w:rPr>
            </w:pPr>
            <w:r>
              <w:rPr>
                <w:rFonts w:cs="Arial"/>
                <w:b w:val="false"/>
                <w:sz w:val="22"/>
                <w:szCs w:val="22"/>
              </w:rPr>
              <w:t>Such other duties reasonably falling within the purview of the post as may be required.</w:t>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color w:val="FFFFFF"/>
                <w:sz w:val="22"/>
                <w:szCs w:val="22"/>
              </w:rPr>
            </w:pPr>
            <w:r>
              <w:rPr>
                <w:rFonts w:cs="Arial"/>
                <w:b/>
                <w:color w:val="FFFFFF"/>
                <w:sz w:val="22"/>
                <w:szCs w:val="22"/>
              </w:rPr>
              <w:t>Standard Duties:</w:t>
            </w:r>
          </w:p>
          <w:p>
            <w:pPr>
              <w:pStyle w:val="Normal"/>
              <w:jc w:val="both"/>
              <w:rPr>
                <w:rFonts w:cs="Arial"/>
                <w:color w:val="FFFFFF"/>
                <w:sz w:val="22"/>
                <w:szCs w:val="22"/>
              </w:rPr>
            </w:pPr>
            <w:r>
              <w:rPr>
                <w:rFonts w:cs="Arial"/>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color w:val="FFFFFF"/>
                <w:sz w:val="22"/>
                <w:szCs w:val="22"/>
              </w:rPr>
            </w:pPr>
            <w:r>
              <w:rPr>
                <w:rFonts w:cs="Arial"/>
                <w:color w:val="FFFFFF"/>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sz w:val="22"/>
                <w:szCs w:val="22"/>
              </w:rPr>
            </w:pPr>
            <w:r>
              <w:rPr>
                <w:rFonts w:cs="Arial"/>
                <w:b/>
                <w:sz w:val="22"/>
                <w:szCs w:val="22"/>
              </w:rPr>
              <w:t>Contacts:</w:t>
            </w:r>
          </w:p>
          <w:p>
            <w:pPr>
              <w:pStyle w:val="Normal"/>
              <w:jc w:val="both"/>
              <w:rPr>
                <w:rFonts w:cs="Arial"/>
                <w:b/>
                <w:b/>
                <w:sz w:val="22"/>
                <w:szCs w:val="22"/>
              </w:rPr>
            </w:pPr>
            <w:r>
              <w:rPr>
                <w:rFonts w:cs="Arial"/>
                <w:b/>
                <w:sz w:val="22"/>
                <w:szCs w:val="22"/>
              </w:rPr>
            </w:r>
          </w:p>
          <w:p>
            <w:pPr>
              <w:pStyle w:val="Normal"/>
              <w:rPr>
                <w:rFonts w:cs="Arial"/>
                <w:sz w:val="22"/>
                <w:szCs w:val="22"/>
              </w:rPr>
            </w:pPr>
            <w:r>
              <w:rPr>
                <w:rFonts w:cs="Arial"/>
                <w:sz w:val="22"/>
                <w:szCs w:val="22"/>
              </w:rPr>
              <w:t>Contacts are employees of the team, service, division, the council, partners, trade union representatives, elected members, inspectors, external organisations and the public</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color w:val="FFFFFF"/>
                <w:szCs w:val="22"/>
              </w:rPr>
            </w:pPr>
            <w:r>
              <w:rPr>
                <w:rFonts w:cs="Arial"/>
                <w:color w:val="FFFFFF"/>
                <w:szCs w:val="22"/>
              </w:rPr>
              <w:t>Relationship To Other Posts In The Department:</w:t>
            </w:r>
          </w:p>
          <w:p>
            <w:pPr>
              <w:pStyle w:val="Normal"/>
              <w:rPr>
                <w:rFonts w:cs="Arial"/>
                <w:color w:val="FFFFFF"/>
                <w:sz w:val="22"/>
                <w:szCs w:val="22"/>
              </w:rPr>
            </w:pPr>
            <w:r>
              <w:rPr>
                <w:rFonts w:cs="Arial"/>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Residential Homes Manager</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N/A</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Special Conditions:</w:t>
            </w:r>
          </w:p>
          <w:p>
            <w:pPr>
              <w:pStyle w:val="Normal"/>
              <w:rPr>
                <w:rFonts w:cs="Arial"/>
                <w:b/>
                <w:b/>
                <w:sz w:val="22"/>
                <w:szCs w:val="22"/>
              </w:rPr>
            </w:pPr>
            <w:r>
              <w:rPr>
                <w:rFonts w:cs="Arial"/>
                <w:b/>
                <w:sz w:val="22"/>
                <w:szCs w:val="22"/>
              </w:rPr>
            </w:r>
          </w:p>
          <w:p>
            <w:pPr>
              <w:pStyle w:val="Normal"/>
              <w:rPr>
                <w:rFonts w:cs="Arial"/>
                <w:sz w:val="22"/>
                <w:szCs w:val="22"/>
              </w:rPr>
            </w:pPr>
            <w:r>
              <w:rPr>
                <w:rFonts w:cs="Arial"/>
                <w:sz w:val="22"/>
                <w:szCs w:val="22"/>
              </w:rPr>
              <w:t xml:space="preserve">DBS disclosure – enhanced </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color w:val="FFFFFF"/>
                <w:sz w:val="22"/>
                <w:szCs w:val="22"/>
              </w:rPr>
            </w:pPr>
            <w:r>
              <w:rPr>
                <w:rFonts w:cs="Arial"/>
                <w:b/>
                <w:color w:val="FFFFFF"/>
                <w:sz w:val="22"/>
                <w:szCs w:val="22"/>
              </w:rPr>
              <w:t>Values and Behaviours:</w:t>
            </w:r>
          </w:p>
          <w:p>
            <w:pPr>
              <w:pStyle w:val="Normal"/>
              <w:rPr>
                <w:rFonts w:cs="Arial"/>
                <w:b/>
                <w:b/>
                <w:color w:val="FFFFFF"/>
                <w:sz w:val="22"/>
                <w:szCs w:val="22"/>
              </w:rPr>
            </w:pPr>
            <w:r>
              <w:rPr>
                <w:rFonts w:cs="Arial"/>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Internally we’ve translated these values into five Co-operative behaviours which outline the priority areas of focus for staff at all levels.</w:t>
            </w:r>
          </w:p>
          <w:p>
            <w:pPr>
              <w:pStyle w:val="Normal"/>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Work with a Resident Focus</w:t>
            </w:r>
          </w:p>
          <w:p>
            <w:pPr>
              <w:pStyle w:val="Normal"/>
              <w:numPr>
                <w:ilvl w:val="0"/>
                <w:numId w:val="2"/>
              </w:numPr>
              <w:rPr>
                <w:rFonts w:cs="Arial"/>
                <w:sz w:val="22"/>
                <w:szCs w:val="22"/>
              </w:rPr>
            </w:pPr>
            <w:r>
              <w:rPr>
                <w:rFonts w:cs="Arial"/>
                <w:sz w:val="22"/>
                <w:szCs w:val="22"/>
              </w:rPr>
              <w:t>Support Local Leaders</w:t>
            </w:r>
          </w:p>
          <w:p>
            <w:pPr>
              <w:pStyle w:val="Normal"/>
              <w:numPr>
                <w:ilvl w:val="0"/>
                <w:numId w:val="2"/>
              </w:numPr>
              <w:rPr>
                <w:rFonts w:cs="Arial"/>
                <w:sz w:val="22"/>
                <w:szCs w:val="22"/>
              </w:rPr>
            </w:pPr>
            <w:r>
              <w:rPr>
                <w:rFonts w:cs="Arial"/>
                <w:sz w:val="22"/>
                <w:szCs w:val="22"/>
              </w:rPr>
              <w:t>Committed to the Borough</w:t>
            </w:r>
          </w:p>
          <w:p>
            <w:pPr>
              <w:pStyle w:val="Normal"/>
              <w:numPr>
                <w:ilvl w:val="0"/>
                <w:numId w:val="2"/>
              </w:numPr>
              <w:rPr>
                <w:rFonts w:cs="Arial"/>
                <w:sz w:val="22"/>
                <w:szCs w:val="22"/>
              </w:rPr>
            </w:pPr>
            <w:r>
              <w:rPr>
                <w:rFonts w:cs="Arial"/>
                <w:sz w:val="22"/>
                <w:szCs w:val="22"/>
              </w:rPr>
              <w:t>Take Ownership and Drive Change</w:t>
            </w:r>
          </w:p>
          <w:p>
            <w:pPr>
              <w:pStyle w:val="Normal"/>
              <w:numPr>
                <w:ilvl w:val="0"/>
                <w:numId w:val="2"/>
              </w:numPr>
              <w:rPr>
                <w:rFonts w:cs="Arial"/>
                <w:sz w:val="22"/>
                <w:szCs w:val="22"/>
              </w:rPr>
            </w:pPr>
            <w:r>
              <w:rPr>
                <w:rFonts w:cs="Arial"/>
                <w:sz w:val="22"/>
                <w:szCs w:val="22"/>
              </w:rPr>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Greater.Jobs pages.</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12.02.24</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Andrea Worthington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bCs/>
                <w:sz w:val="22"/>
                <w:szCs w:val="22"/>
                <w:lang w:eastAsia="en-GB"/>
              </w:rPr>
            </w:pPr>
            <w:r>
              <w:rPr>
                <w:rFonts w:cs="Arial"/>
                <w:b/>
                <w:bCs/>
                <w:sz w:val="22"/>
                <w:szCs w:val="22"/>
                <w:lang w:eastAsia="en-GB"/>
              </w:rPr>
              <w:t xml:space="preserve">Head of Residential </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ind w:left="0" w:right="-514" w:hanging="0"/>
        <w:rPr>
          <w:rFonts w:cs="Arial"/>
          <w:b/>
          <w:b/>
          <w:bCs/>
          <w:sz w:val="22"/>
          <w:szCs w:val="22"/>
        </w:rPr>
      </w:pPr>
      <w:r>
        <w:rPr>
          <w:rFonts w:cs="Arial"/>
          <w:b/>
          <w:bCs/>
          <w:sz w:val="22"/>
          <w:szCs w:val="22"/>
        </w:rPr>
      </w:r>
    </w:p>
    <w:p>
      <w:pPr>
        <w:pStyle w:val="Normal"/>
        <w:rPr/>
      </w:pPr>
      <w:r>
        <w:rPr>
          <w:rFonts w:cs="Arial"/>
          <w:b/>
          <w:bCs/>
          <w:sz w:val="22"/>
          <w:szCs w:val="22"/>
        </w:rPr>
        <w:t>Job Title:</w:t>
      </w:r>
      <w:r>
        <w:rPr>
          <w:rFonts w:cs="Arial"/>
          <w:bCs/>
          <w:sz w:val="22"/>
          <w:szCs w:val="22"/>
        </w:rPr>
        <w:t xml:space="preserve">  Residential Childcare Worker</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Title"/>
              <w:jc w:val="left"/>
              <w:rPr>
                <w:rFonts w:cs="Arial"/>
                <w:b w:val="false"/>
                <w:b w:val="false"/>
                <w:sz w:val="22"/>
                <w:szCs w:val="22"/>
              </w:rPr>
            </w:pPr>
            <w:r>
              <w:rPr>
                <w:rFonts w:cs="Arial"/>
                <w:b w:val="false"/>
                <w:sz w:val="22"/>
                <w:szCs w:val="22"/>
              </w:rPr>
              <w:t>Literate and numerate and willing to achieve The Diploma in Health &amp; Social Care level 3 (unless already qualified with an equivalent qualification eg. relevant NVQ 3).</w:t>
            </w:r>
          </w:p>
          <w:p>
            <w:pPr>
              <w:pStyle w:val="Normal"/>
              <w:tabs>
                <w:tab w:val="clear" w:pos="720"/>
                <w:tab w:val="left" w:pos="0" w:leader="none"/>
              </w:tabs>
              <w:suppressAutoHyphens w:val="true"/>
              <w:snapToGrid w:val="fals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Title"/>
              <w:jc w:val="left"/>
              <w:rPr>
                <w:rFonts w:cs="Arial"/>
                <w:b w:val="false"/>
                <w:b w:val="false"/>
                <w:sz w:val="22"/>
                <w:szCs w:val="22"/>
              </w:rPr>
            </w:pPr>
            <w:r>
              <w:rPr>
                <w:rFonts w:cs="Arial"/>
                <w:b w:val="false"/>
                <w:sz w:val="22"/>
                <w:szCs w:val="22"/>
              </w:rPr>
              <w:t>Experience of working with young people in a social work / youth work or other setting.</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Experience of working as a Team Member.</w:t>
            </w:r>
          </w:p>
          <w:p>
            <w:pPr>
              <w:pStyle w:val="Normal"/>
              <w:tabs>
                <w:tab w:val="clear" w:pos="720"/>
                <w:tab w:val="left" w:pos="0" w:leader="none"/>
              </w:tabs>
              <w:suppressAutoHyphens w:val="true"/>
              <w:snapToGrid w:val="fals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Title"/>
              <w:jc w:val="left"/>
              <w:rPr>
                <w:rFonts w:cs="Arial"/>
                <w:b w:val="false"/>
                <w:b w:val="false"/>
                <w:sz w:val="22"/>
                <w:szCs w:val="22"/>
              </w:rPr>
            </w:pPr>
            <w:r>
              <w:rPr>
                <w:rFonts w:cs="Arial"/>
                <w:b w:val="false"/>
                <w:sz w:val="22"/>
                <w:szCs w:val="22"/>
              </w:rPr>
              <w:t xml:space="preserve">Ability to engage with children and young people with emotional and behavioural difficulties. </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Ability and skills needed to engage young people in social activities using local and other resources, including holidays and residential.</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 xml:space="preserve">Ability to interpret national Minimum Standards (NMS) and Regulations and other relevant procedures and guidelines </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Ability to put child care theory into practise.</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 xml:space="preserve">Ability to produce concise reports and complete other clear written records. </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Ability to recognise and support other staff or young people at times of difficulty or in demanding situations.</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Ability to respond appropriately to challenging behaviour.</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Ability to converse at ease with members of the public, service users / customers and provide advice in accurate spoken English</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sz w:val="22"/>
                <w:szCs w:val="22"/>
                <w:lang w:val="en-US"/>
              </w:rPr>
            </w:pPr>
            <w:r>
              <w:rPr>
                <w:sz w:val="22"/>
                <w:szCs w:val="22"/>
                <w:lang w:val="en-US"/>
              </w:rPr>
              <w:t>Knowledge of Childcare legislation, Supported Accommodation Quality Standards, Child Care Act, Health &amp; Safety, Child Development and Leaving Care Act.</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Knowledge of risk and protective factors and ablility to use these to inform interventions.</w:t>
            </w:r>
          </w:p>
          <w:p>
            <w:pPr>
              <w:pStyle w:val="Normal"/>
              <w:rPr>
                <w:rFonts w:cs="Arial"/>
                <w:sz w:val="22"/>
                <w:szCs w:val="22"/>
                <w:highlight w:val="yellow"/>
                <w:lang w:val="en-US"/>
              </w:rPr>
            </w:pPr>
            <w:r>
              <w:rPr>
                <w:rFonts w:cs="Arial"/>
                <w:sz w:val="22"/>
                <w:szCs w:val="22"/>
                <w:highlight w:val="yellow"/>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highlight w:val="yellow"/>
                <w:lang w:val="en-US"/>
              </w:rPr>
            </w:pPr>
            <w:r>
              <w:rPr>
                <w:rFonts w:cs="Arial"/>
                <w:sz w:val="22"/>
                <w:szCs w:val="22"/>
                <w:highlight w:val="yellow"/>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Title"/>
              <w:jc w:val="left"/>
              <w:rPr>
                <w:rFonts w:cs="Arial"/>
                <w:b w:val="false"/>
                <w:b w:val="false"/>
                <w:sz w:val="22"/>
                <w:szCs w:val="22"/>
              </w:rPr>
            </w:pPr>
            <w:r>
              <w:rPr>
                <w:rFonts w:cs="Arial"/>
                <w:b w:val="false"/>
                <w:sz w:val="22"/>
                <w:szCs w:val="22"/>
              </w:rPr>
              <w:t>To work evenings, weekends and bank holidays as the homes rota dictates.</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Undertake sleep – in duties as the rota dictates.</w:t>
            </w:r>
          </w:p>
          <w:p>
            <w:pPr>
              <w:pStyle w:val="Title"/>
              <w:jc w:val="left"/>
              <w:rPr>
                <w:rFonts w:cs="Arial"/>
                <w:b w:val="false"/>
                <w:b w:val="false"/>
                <w:sz w:val="22"/>
                <w:szCs w:val="22"/>
              </w:rPr>
            </w:pPr>
            <w:r>
              <w:rPr>
                <w:rFonts w:cs="Arial"/>
                <w:b w:val="false"/>
                <w:sz w:val="22"/>
                <w:szCs w:val="22"/>
              </w:rPr>
            </w:r>
          </w:p>
          <w:p>
            <w:pPr>
              <w:pStyle w:val="Title"/>
              <w:jc w:val="left"/>
              <w:rPr>
                <w:rFonts w:cs="Arial"/>
                <w:b w:val="false"/>
                <w:b w:val="false"/>
                <w:sz w:val="22"/>
                <w:szCs w:val="22"/>
              </w:rPr>
            </w:pPr>
            <w:r>
              <w:rPr>
                <w:rFonts w:cs="Arial"/>
                <w:b w:val="false"/>
                <w:sz w:val="22"/>
                <w:szCs w:val="22"/>
              </w:rPr>
              <w:t>Be able to occasionally cover at short notice and be flexible.</w:t>
            </w:r>
          </w:p>
          <w:p>
            <w:pPr>
              <w:pStyle w:val="Normal"/>
              <w:rPr>
                <w:rFonts w:cs="Arial"/>
                <w:sz w:val="22"/>
                <w:szCs w:val="22"/>
              </w:rPr>
            </w:pPr>
            <w:r>
              <w:rPr>
                <w:rFonts w:cs="Arial"/>
                <w:sz w:val="22"/>
                <w:szCs w:val="22"/>
              </w:rPr>
            </w:r>
          </w:p>
          <w:p>
            <w:pPr>
              <w:pStyle w:val="Normal"/>
              <w:rPr>
                <w:rFonts w:cs="Arial"/>
                <w:color w:val="808080"/>
                <w:sz w:val="22"/>
                <w:szCs w:val="22"/>
              </w:rPr>
            </w:pPr>
            <w:r>
              <w:rPr>
                <w:rFonts w:cs="Arial"/>
                <w:color w:val="808080"/>
                <w:sz w:val="22"/>
                <w:szCs w:val="22"/>
              </w:rPr>
            </w:r>
          </w:p>
          <w:p>
            <w:pPr>
              <w:pStyle w:val="Normal"/>
              <w:rPr>
                <w:rFonts w:cs="Arial"/>
                <w:color w:val="808080"/>
                <w:sz w:val="22"/>
                <w:szCs w:val="22"/>
              </w:rPr>
            </w:pPr>
            <w:r>
              <w:rPr>
                <w:rFonts w:cs="Arial"/>
                <w:color w:val="808080"/>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decimal"/>
      <w:lvlText w:val="%1."/>
      <w:lvlJc w:val="left"/>
      <w:pPr>
        <w:ind w:left="785" w:hanging="360"/>
      </w:pPr>
      <w:rPr>
        <w:sz w:val="22"/>
        <w:b w:val="false"/>
        <w:bCs w:val="fals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b w:val="false"/>
      <w:bCs w:val="false"/>
      <w:sz w:val="2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qFormat/>
    <w:rPr>
      <w:rFonts w:ascii="Segoe UI" w:hAnsi="Segoe UI" w:cs="Segoe UI"/>
      <w:sz w:val="18"/>
      <w:szCs w:val="18"/>
      <w:lang w:eastAsia="en-US"/>
    </w:rPr>
  </w:style>
  <w:style w:type="character" w:styleId="HeaderChar">
    <w:name w:val="Header Char"/>
    <w:qFormat/>
    <w:rPr>
      <w:rFonts w:ascii="Arial" w:hAnsi="Arial" w:cs="Arial"/>
      <w:sz w:val="22"/>
      <w:lang w:eastAsia="en-US"/>
    </w:rPr>
  </w:style>
  <w:style w:type="character" w:styleId="Annotationreference">
    <w:name w:val="annotation reference"/>
    <w:qFormat/>
    <w:rPr>
      <w:sz w:val="16"/>
      <w:szCs w:val="16"/>
    </w:rPr>
  </w:style>
  <w:style w:type="character" w:styleId="CommentTextChar">
    <w:name w:val="Comment Text Char"/>
    <w:qFormat/>
    <w:rPr>
      <w:rFonts w:ascii="Arial" w:hAnsi="Arial" w:cs="Arial"/>
      <w:lang w:eastAsia="en-US"/>
    </w:rPr>
  </w:style>
  <w:style w:type="character" w:styleId="CommentSubjectChar">
    <w:name w:val="Comment Subject Char"/>
    <w:qFormat/>
    <w:rPr>
      <w:rFonts w:ascii="Arial" w:hAnsi="Arial" w:cs="Arial"/>
      <w:b/>
      <w:bCs/>
      <w:lang w:eastAsia="en-US"/>
    </w:rPr>
  </w:style>
  <w:style w:type="character" w:styleId="BodyText3Char">
    <w:name w:val="Body Text 3 Char"/>
    <w:qFormat/>
    <w:rPr>
      <w:rFonts w:ascii="Arial" w:hAnsi="Arial" w:cs="Arial"/>
      <w:sz w:val="16"/>
      <w:szCs w:val="16"/>
      <w:lang w:eastAsia="en-US"/>
    </w:rPr>
  </w:style>
  <w:style w:type="character" w:styleId="TitleChar">
    <w:name w:val="Title Char"/>
    <w:qFormat/>
    <w:rPr>
      <w:rFonts w:ascii="Arial" w:hAnsi="Arial" w:cs="Arial"/>
      <w:b/>
      <w:bCs/>
      <w:sz w:val="24"/>
      <w:szCs w:val="24"/>
      <w:lang w:eastAsia="en-US"/>
    </w:rPr>
  </w:style>
  <w:style w:type="character" w:styleId="InternetLink">
    <w:name w:val="Internet Link"/>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val="false"/>
      <w:suppressAutoHyphens w:val="true"/>
      <w:bidi w:val="0"/>
      <w:spacing w:before="0" w:after="0"/>
      <w:jc w:val="left"/>
    </w:pPr>
    <w:rPr>
      <w:rFonts w:ascii="Helvetica;Arial" w:hAnsi="Helvetica;Arial" w:eastAsia="Times New Roman" w:cs="Helvetica;Arial"/>
      <w:color w:val="000000"/>
      <w:kern w:val="0"/>
      <w:sz w:val="24"/>
      <w:szCs w:val="24"/>
      <w:lang w:val="en-GB" w:eastAsia="en-GB"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0" w:after="120"/>
    </w:pPr>
    <w:rPr>
      <w:sz w:val="16"/>
      <w:szCs w:val="16"/>
    </w:rPr>
  </w:style>
  <w:style w:type="paragraph" w:styleId="Title">
    <w:name w:val="Title"/>
    <w:basedOn w:val="Normal"/>
    <w:next w:val="TextBody"/>
    <w:qFormat/>
    <w:pPr>
      <w:jc w:val="center"/>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