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5A59EB" w14:paraId="11C7A2DA" w14:textId="77777777" w:rsidTr="68E5E84C">
        <w:trPr>
          <w:trHeight w:val="397"/>
        </w:trPr>
        <w:tc>
          <w:tcPr>
            <w:tcW w:w="9016" w:type="dxa"/>
            <w:shd w:val="clear" w:color="auto" w:fill="156082" w:themeFill="accent1"/>
          </w:tcPr>
          <w:p w14:paraId="60DCCD94" w14:textId="3403D0DD" w:rsidR="005A59EB" w:rsidRDefault="005A59EB">
            <w:pPr>
              <w:rPr>
                <w:b/>
                <w:bCs/>
                <w:color w:val="FFFFFF" w:themeColor="background1"/>
              </w:rPr>
            </w:pPr>
            <w:r>
              <w:rPr>
                <w:b/>
                <w:bCs/>
                <w:color w:val="FFFFFF" w:themeColor="background1"/>
              </w:rPr>
              <w:br w:type="page"/>
              <w:t>Role Profile</w:t>
            </w:r>
          </w:p>
        </w:tc>
      </w:tr>
      <w:tr w:rsidR="005A59EB" w14:paraId="6BC2FD9B" w14:textId="77777777" w:rsidTr="68E5E84C">
        <w:trPr>
          <w:trHeight w:val="1474"/>
        </w:trPr>
        <w:tc>
          <w:tcPr>
            <w:tcW w:w="9016" w:type="dxa"/>
          </w:tcPr>
          <w:p w14:paraId="3CEDF350" w14:textId="77777777" w:rsidR="00CE14E3" w:rsidRPr="00CE14E3" w:rsidRDefault="0076439A" w:rsidP="00CE14E3">
            <w:pPr>
              <w:pStyle w:val="ListParagraph"/>
              <w:widowControl w:val="0"/>
              <w:numPr>
                <w:ilvl w:val="0"/>
                <w:numId w:val="8"/>
              </w:numPr>
              <w:autoSpaceDE w:val="0"/>
              <w:autoSpaceDN w:val="0"/>
              <w:spacing w:before="60" w:after="240" w:line="360" w:lineRule="auto"/>
              <w:contextualSpacing w:val="0"/>
              <w:rPr>
                <w:rFonts w:cs="Arial"/>
                <w:szCs w:val="24"/>
              </w:rPr>
            </w:pPr>
            <w:r w:rsidRPr="00D07273">
              <w:rPr>
                <w:rFonts w:cs="Arial"/>
                <w:b/>
                <w:bCs/>
                <w:szCs w:val="24"/>
              </w:rPr>
              <w:t>Job title</w:t>
            </w:r>
            <w:r w:rsidRPr="00D07273">
              <w:rPr>
                <w:rFonts w:cs="Arial"/>
                <w:szCs w:val="24"/>
              </w:rPr>
              <w:t xml:space="preserve">: </w:t>
            </w:r>
            <w:r w:rsidR="00EA1CF6" w:rsidRPr="00335088">
              <w:t xml:space="preserve">Strategic Lead </w:t>
            </w:r>
            <w:r w:rsidR="00EA1CF6">
              <w:t xml:space="preserve">- </w:t>
            </w:r>
            <w:r w:rsidR="00EA1CF6" w:rsidRPr="00335088">
              <w:t>Innovation Capacity Building</w:t>
            </w:r>
          </w:p>
          <w:p w14:paraId="36D8008F" w14:textId="61BD7993" w:rsidR="0076439A" w:rsidRPr="00CE14E3" w:rsidRDefault="0076439A" w:rsidP="00CE14E3">
            <w:pPr>
              <w:pStyle w:val="ListParagraph"/>
              <w:widowControl w:val="0"/>
              <w:numPr>
                <w:ilvl w:val="0"/>
                <w:numId w:val="8"/>
              </w:numPr>
              <w:autoSpaceDE w:val="0"/>
              <w:autoSpaceDN w:val="0"/>
              <w:spacing w:before="60" w:after="240" w:line="360" w:lineRule="auto"/>
              <w:contextualSpacing w:val="0"/>
              <w:rPr>
                <w:rFonts w:cs="Arial"/>
                <w:szCs w:val="24"/>
              </w:rPr>
            </w:pPr>
            <w:r w:rsidRPr="00CE14E3">
              <w:rPr>
                <w:rFonts w:cs="Arial"/>
                <w:b/>
                <w:bCs/>
              </w:rPr>
              <w:t>Grade:</w:t>
            </w:r>
            <w:r w:rsidRPr="00CE14E3">
              <w:rPr>
                <w:rFonts w:cs="Arial"/>
              </w:rPr>
              <w:t xml:space="preserve"> </w:t>
            </w:r>
            <w:r w:rsidR="00D40671" w:rsidRPr="00CE14E3">
              <w:rPr>
                <w:rFonts w:cs="Arial"/>
              </w:rPr>
              <w:t>11</w:t>
            </w:r>
            <w:r w:rsidR="00EA1CF6" w:rsidRPr="00CE14E3">
              <w:rPr>
                <w:rFonts w:cs="Arial"/>
              </w:rPr>
              <w:t xml:space="preserve"> - </w:t>
            </w:r>
            <w:r w:rsidR="00EA1CF6" w:rsidRPr="68E5E84C">
              <w:t>£60,340 – 65,483</w:t>
            </w:r>
          </w:p>
          <w:p w14:paraId="179A3E0D" w14:textId="41D4EB6E" w:rsidR="0076439A" w:rsidRPr="00D07273" w:rsidRDefault="0076439A" w:rsidP="0076439A">
            <w:pPr>
              <w:pStyle w:val="ListParagraph"/>
              <w:widowControl w:val="0"/>
              <w:numPr>
                <w:ilvl w:val="0"/>
                <w:numId w:val="8"/>
              </w:numPr>
              <w:autoSpaceDE w:val="0"/>
              <w:autoSpaceDN w:val="0"/>
              <w:spacing w:before="60" w:after="240" w:line="360" w:lineRule="auto"/>
              <w:contextualSpacing w:val="0"/>
              <w:rPr>
                <w:rFonts w:cs="Arial"/>
                <w:szCs w:val="24"/>
              </w:rPr>
            </w:pPr>
            <w:r w:rsidRPr="00D07273">
              <w:rPr>
                <w:rFonts w:cs="Arial"/>
                <w:b/>
                <w:bCs/>
                <w:szCs w:val="24"/>
              </w:rPr>
              <w:t>Business area:</w:t>
            </w:r>
            <w:r w:rsidR="0055537B">
              <w:rPr>
                <w:rFonts w:cs="Arial"/>
                <w:b/>
                <w:bCs/>
                <w:szCs w:val="24"/>
              </w:rPr>
              <w:t xml:space="preserve"> </w:t>
            </w:r>
            <w:r w:rsidR="0055537B" w:rsidRPr="0055537B">
              <w:rPr>
                <w:rFonts w:cs="Arial"/>
                <w:szCs w:val="24"/>
              </w:rPr>
              <w:t>Public Service Reform</w:t>
            </w:r>
            <w:r w:rsidRPr="00D07273">
              <w:rPr>
                <w:rFonts w:cs="Arial"/>
                <w:szCs w:val="24"/>
              </w:rPr>
              <w:t xml:space="preserve"> </w:t>
            </w:r>
          </w:p>
          <w:p w14:paraId="3147962A" w14:textId="77777777" w:rsidR="001C7C83" w:rsidRDefault="0076439A" w:rsidP="001C7C83">
            <w:pPr>
              <w:pStyle w:val="ListParagraph"/>
              <w:widowControl w:val="0"/>
              <w:numPr>
                <w:ilvl w:val="0"/>
                <w:numId w:val="8"/>
              </w:numPr>
              <w:autoSpaceDE w:val="0"/>
              <w:autoSpaceDN w:val="0"/>
              <w:spacing w:before="60" w:after="240" w:line="360" w:lineRule="auto"/>
              <w:contextualSpacing w:val="0"/>
              <w:rPr>
                <w:rFonts w:cs="Arial"/>
                <w:szCs w:val="24"/>
              </w:rPr>
            </w:pPr>
            <w:r w:rsidRPr="00D07273">
              <w:rPr>
                <w:rFonts w:cs="Arial"/>
                <w:b/>
                <w:bCs/>
                <w:szCs w:val="24"/>
              </w:rPr>
              <w:t>Reporting line:</w:t>
            </w:r>
            <w:r w:rsidRPr="00D07273">
              <w:rPr>
                <w:rFonts w:cs="Arial"/>
                <w:szCs w:val="24"/>
              </w:rPr>
              <w:t xml:space="preserve"> </w:t>
            </w:r>
            <w:r w:rsidR="00DF0AE8">
              <w:rPr>
                <w:rFonts w:cs="Arial"/>
                <w:szCs w:val="24"/>
              </w:rPr>
              <w:t>Assistant Director</w:t>
            </w:r>
          </w:p>
          <w:p w14:paraId="32BF30E1" w14:textId="78034A55" w:rsidR="005A59EB" w:rsidRPr="001C7C83" w:rsidRDefault="0076439A" w:rsidP="001C7C83">
            <w:pPr>
              <w:pStyle w:val="ListParagraph"/>
              <w:widowControl w:val="0"/>
              <w:numPr>
                <w:ilvl w:val="0"/>
                <w:numId w:val="8"/>
              </w:numPr>
              <w:autoSpaceDE w:val="0"/>
              <w:autoSpaceDN w:val="0"/>
              <w:spacing w:before="60" w:after="240" w:line="360" w:lineRule="auto"/>
              <w:contextualSpacing w:val="0"/>
              <w:rPr>
                <w:rFonts w:cs="Arial"/>
                <w:szCs w:val="24"/>
              </w:rPr>
            </w:pPr>
            <w:r w:rsidRPr="001C7C83">
              <w:rPr>
                <w:rFonts w:cs="Arial"/>
                <w:b/>
                <w:bCs/>
                <w:szCs w:val="24"/>
              </w:rPr>
              <w:t>Team:</w:t>
            </w:r>
            <w:r w:rsidRPr="001C7C83">
              <w:rPr>
                <w:rFonts w:cs="Arial"/>
                <w:szCs w:val="24"/>
              </w:rPr>
              <w:t xml:space="preserve"> </w:t>
            </w:r>
            <w:proofErr w:type="spellStart"/>
            <w:r w:rsidR="0055537B" w:rsidRPr="001C7C83">
              <w:rPr>
                <w:rFonts w:cs="Arial"/>
                <w:szCs w:val="24"/>
              </w:rPr>
              <w:t>i</w:t>
            </w:r>
            <w:proofErr w:type="spellEnd"/>
            <w:r w:rsidR="0055537B" w:rsidRPr="001C7C83">
              <w:rPr>
                <w:rFonts w:cs="Arial"/>
                <w:szCs w:val="24"/>
              </w:rPr>
              <w:t>-team</w:t>
            </w:r>
          </w:p>
        </w:tc>
      </w:tr>
      <w:tr w:rsidR="005A59EB" w14:paraId="26F321F3" w14:textId="77777777" w:rsidTr="68E5E84C">
        <w:trPr>
          <w:trHeight w:val="454"/>
        </w:trPr>
        <w:tc>
          <w:tcPr>
            <w:tcW w:w="9016" w:type="dxa"/>
            <w:shd w:val="clear" w:color="auto" w:fill="156082" w:themeFill="accent1"/>
            <w:vAlign w:val="center"/>
          </w:tcPr>
          <w:p w14:paraId="3288034B" w14:textId="5B51DC94" w:rsidR="005A59EB" w:rsidRDefault="0076439A" w:rsidP="0068285A">
            <w:pPr>
              <w:rPr>
                <w:b/>
                <w:bCs/>
                <w:color w:val="FFFFFF" w:themeColor="background1"/>
              </w:rPr>
            </w:pPr>
            <w:r>
              <w:rPr>
                <w:b/>
                <w:bCs/>
                <w:color w:val="FFFFFF" w:themeColor="background1"/>
              </w:rPr>
              <w:t>Job Purpose</w:t>
            </w:r>
          </w:p>
        </w:tc>
      </w:tr>
      <w:tr w:rsidR="005A59EB" w14:paraId="7BA4F7DB" w14:textId="77777777" w:rsidTr="68E5E84C">
        <w:tc>
          <w:tcPr>
            <w:tcW w:w="9016" w:type="dxa"/>
          </w:tcPr>
          <w:p w14:paraId="33E04B2F" w14:textId="77777777" w:rsidR="00DF0AE8" w:rsidRDefault="00DF0AE8" w:rsidP="00DF0AE8">
            <w:pPr>
              <w:contextualSpacing/>
            </w:pPr>
            <w:r>
              <w:t>The Strategic Lead for Innovation Capacity Building will provide strategic leadership to embed innovation as a core organisational and system-wide capability as a core capability across GMCA and influence the develop of the same in Greater Manchester’s broader system. This role will lead the development and delivery of strategies that grow the region’s capacity to design, test, and lead systems-level transformation to scale innovative solutions to complex challenges—such as prevention and climate action—through collaborative, resident-centred, and evidence-informed approaches. The postholder will be responsible for shaping the innovation team’s direction, supporting capability development across the organisation as well as the system more widely, and ensure that innovation practices are institutionalised within GMCA and other partner organisations.</w:t>
            </w:r>
          </w:p>
          <w:p w14:paraId="3EB1233D" w14:textId="77777777" w:rsidR="00DF0AE8" w:rsidRDefault="00DF0AE8" w:rsidP="00DF0AE8">
            <w:pPr>
              <w:contextualSpacing/>
            </w:pPr>
          </w:p>
          <w:p w14:paraId="2CA1BAD8" w14:textId="6E43A1FE" w:rsidR="00DF0AE8" w:rsidRDefault="00DF0AE8" w:rsidP="00DF0AE8">
            <w:pPr>
              <w:contextualSpacing/>
            </w:pPr>
            <w:r w:rsidRPr="00D83444">
              <w:t>This position is part of Greater Manchester Combined Authority's participation in the Bloomberg Philanthropies Innovation team (</w:t>
            </w:r>
            <w:proofErr w:type="spellStart"/>
            <w:r w:rsidRPr="00D83444">
              <w:t>i</w:t>
            </w:r>
            <w:proofErr w:type="spellEnd"/>
            <w:r w:rsidRPr="00D83444">
              <w:t>-team) progra</w:t>
            </w:r>
            <w:r>
              <w:t>m</w:t>
            </w:r>
            <w:r w:rsidRPr="00D83444">
              <w:t>m</w:t>
            </w:r>
            <w:r>
              <w:t>e</w:t>
            </w:r>
            <w:r w:rsidRPr="00D83444">
              <w:t xml:space="preserve">. Charged with helping city officials and civic partners design and implement solutions that meet pressing local challenges, the </w:t>
            </w:r>
            <w:proofErr w:type="spellStart"/>
            <w:r w:rsidRPr="00D83444">
              <w:t>i</w:t>
            </w:r>
            <w:proofErr w:type="spellEnd"/>
            <w:r w:rsidRPr="00D83444">
              <w:t>-team will expertly deploy data, collect insight, and collaborate across sectors</w:t>
            </w:r>
            <w:r>
              <w:t xml:space="preserve">, </w:t>
            </w:r>
            <w:r w:rsidRPr="00D83444">
              <w:t>crowding the energy and resources across Greater Manchester</w:t>
            </w:r>
            <w:r>
              <w:t xml:space="preserve"> </w:t>
            </w:r>
            <w:r w:rsidRPr="00D83444">
              <w:t xml:space="preserve">to develop resident-centred interventions that improve people's lives. The </w:t>
            </w:r>
            <w:proofErr w:type="spellStart"/>
            <w:r w:rsidRPr="00D83444">
              <w:t>i</w:t>
            </w:r>
            <w:proofErr w:type="spellEnd"/>
            <w:r w:rsidRPr="00D83444">
              <w:t xml:space="preserve">-team will receive technical assistance from regional and global specialists, and benefit from learnings from peers in city halls across the region and around the world. To date, the Bloomberg Philanthropies </w:t>
            </w:r>
            <w:proofErr w:type="spellStart"/>
            <w:r w:rsidRPr="00D83444">
              <w:t>i</w:t>
            </w:r>
            <w:proofErr w:type="spellEnd"/>
            <w:r w:rsidRPr="00D83444">
              <w:t>-team initiative has reached over 100 cities across 16 countries and four continents</w:t>
            </w:r>
            <w:r>
              <w:t xml:space="preserve">, </w:t>
            </w:r>
            <w:r w:rsidRPr="00D83444">
              <w:t>representing more than 100 million residents</w:t>
            </w:r>
            <w:r>
              <w:t xml:space="preserve">, </w:t>
            </w:r>
            <w:r w:rsidRPr="00D83444">
              <w:t>and inspired hundreds of other local governments to embrace innovation systems and practices.</w:t>
            </w:r>
          </w:p>
          <w:p w14:paraId="586A289D" w14:textId="77777777" w:rsidR="005A59EB" w:rsidRDefault="005A59EB">
            <w:pPr>
              <w:rPr>
                <w:b/>
                <w:bCs/>
                <w:color w:val="FFFFFF" w:themeColor="background1"/>
              </w:rPr>
            </w:pPr>
          </w:p>
        </w:tc>
      </w:tr>
      <w:tr w:rsidR="005A59EB" w14:paraId="705F7F07" w14:textId="77777777" w:rsidTr="68E5E84C">
        <w:trPr>
          <w:trHeight w:val="397"/>
        </w:trPr>
        <w:tc>
          <w:tcPr>
            <w:tcW w:w="9016" w:type="dxa"/>
            <w:shd w:val="clear" w:color="auto" w:fill="156082" w:themeFill="accent1"/>
            <w:vAlign w:val="center"/>
          </w:tcPr>
          <w:p w14:paraId="02C59130" w14:textId="7FEE2ECF" w:rsidR="005A59EB" w:rsidRDefault="00FF5691" w:rsidP="0068285A">
            <w:pPr>
              <w:rPr>
                <w:b/>
                <w:bCs/>
                <w:color w:val="FFFFFF" w:themeColor="background1"/>
              </w:rPr>
            </w:pPr>
            <w:r>
              <w:rPr>
                <w:b/>
                <w:bCs/>
                <w:color w:val="FFFFFF" w:themeColor="background1"/>
              </w:rPr>
              <w:t>Key working relationships</w:t>
            </w:r>
          </w:p>
        </w:tc>
      </w:tr>
      <w:tr w:rsidR="005A59EB" w14:paraId="3D08C4C9" w14:textId="77777777" w:rsidTr="68E5E84C">
        <w:tc>
          <w:tcPr>
            <w:tcW w:w="9016" w:type="dxa"/>
            <w:shd w:val="clear" w:color="auto" w:fill="FFFFFF" w:themeFill="background1"/>
          </w:tcPr>
          <w:p w14:paraId="3A396645" w14:textId="77777777" w:rsidR="005A7550" w:rsidRDefault="005A7550" w:rsidP="005A7550">
            <w:pPr>
              <w:numPr>
                <w:ilvl w:val="0"/>
                <w:numId w:val="6"/>
              </w:numPr>
              <w:contextualSpacing/>
            </w:pPr>
            <w:r w:rsidRPr="00011F19">
              <w:rPr>
                <w:b/>
                <w:bCs/>
              </w:rPr>
              <w:t>Learning Design Lead</w:t>
            </w:r>
            <w:r w:rsidRPr="00011F19">
              <w:t> – direct report; responsible for delivering design-led innovation activity aligned with the strategic direction set by this role.</w:t>
            </w:r>
          </w:p>
          <w:p w14:paraId="471544C0" w14:textId="77777777" w:rsidR="005A7550" w:rsidRDefault="005A7550" w:rsidP="005A7550">
            <w:pPr>
              <w:numPr>
                <w:ilvl w:val="0"/>
                <w:numId w:val="6"/>
              </w:numPr>
              <w:contextualSpacing/>
            </w:pPr>
            <w:r w:rsidRPr="00AE0BDC">
              <w:rPr>
                <w:b/>
                <w:bCs/>
              </w:rPr>
              <w:t>Director, Public Service Reform</w:t>
            </w:r>
            <w:r>
              <w:t>- Executive link to GMCA’s wider reform and delivery priorities</w:t>
            </w:r>
          </w:p>
          <w:p w14:paraId="15FB51DE" w14:textId="77777777" w:rsidR="005A7550" w:rsidRPr="00F324EA" w:rsidRDefault="005A7550" w:rsidP="005A7550">
            <w:pPr>
              <w:numPr>
                <w:ilvl w:val="0"/>
                <w:numId w:val="6"/>
              </w:numPr>
              <w:contextualSpacing/>
            </w:pPr>
            <w:r>
              <w:rPr>
                <w:b/>
                <w:bCs/>
              </w:rPr>
              <w:t xml:space="preserve">Director, Prevention Demonstrator </w:t>
            </w:r>
            <w:r>
              <w:t>– Executive link to Greater Manchester designation as the country’s first prevention demonstrator site</w:t>
            </w:r>
          </w:p>
          <w:p w14:paraId="65807C80" w14:textId="77777777" w:rsidR="005A7550" w:rsidRPr="00AC1E39" w:rsidRDefault="005A7550" w:rsidP="005A7550">
            <w:pPr>
              <w:numPr>
                <w:ilvl w:val="0"/>
                <w:numId w:val="6"/>
              </w:numPr>
              <w:contextualSpacing/>
            </w:pPr>
            <w:r w:rsidRPr="00AC1E39">
              <w:rPr>
                <w:b/>
                <w:bCs/>
              </w:rPr>
              <w:t>Director of Group Strategy</w:t>
            </w:r>
            <w:r>
              <w:t xml:space="preserve"> – Executive link to GMCA strategic initiatives.</w:t>
            </w:r>
          </w:p>
          <w:p w14:paraId="0D3525F3" w14:textId="77777777" w:rsidR="005A7550" w:rsidRPr="00011F19" w:rsidRDefault="005A7550" w:rsidP="005A7550">
            <w:pPr>
              <w:numPr>
                <w:ilvl w:val="0"/>
                <w:numId w:val="6"/>
              </w:numPr>
              <w:contextualSpacing/>
            </w:pPr>
            <w:r w:rsidRPr="00011F19">
              <w:rPr>
                <w:b/>
                <w:bCs/>
              </w:rPr>
              <w:t>Assistant Director, Public Service Reform</w:t>
            </w:r>
            <w:r w:rsidRPr="00011F19">
              <w:t xml:space="preserve"> – senior link for alignment with </w:t>
            </w:r>
            <w:r>
              <w:t>key strategic social policy programmes</w:t>
            </w:r>
            <w:r w:rsidRPr="00011F19">
              <w:t>.</w:t>
            </w:r>
          </w:p>
          <w:p w14:paraId="4AFDA0E3" w14:textId="77777777" w:rsidR="005A7550" w:rsidRPr="00011F19" w:rsidRDefault="005A7550" w:rsidP="005A7550">
            <w:pPr>
              <w:numPr>
                <w:ilvl w:val="0"/>
                <w:numId w:val="6"/>
              </w:numPr>
              <w:contextualSpacing/>
            </w:pPr>
            <w:r>
              <w:rPr>
                <w:b/>
                <w:bCs/>
              </w:rPr>
              <w:lastRenderedPageBreak/>
              <w:t xml:space="preserve">Head of Policy and Implementation </w:t>
            </w:r>
            <w:r>
              <w:t>– senior link for alignment with GMCA’s strategic ambitions and mayoral priorities</w:t>
            </w:r>
          </w:p>
          <w:p w14:paraId="7F11F47C" w14:textId="77777777" w:rsidR="005A7550" w:rsidRPr="00011F19" w:rsidRDefault="005A7550" w:rsidP="005A7550">
            <w:pPr>
              <w:numPr>
                <w:ilvl w:val="0"/>
                <w:numId w:val="6"/>
              </w:numPr>
              <w:contextualSpacing/>
            </w:pPr>
            <w:r w:rsidRPr="00011F19">
              <w:rPr>
                <w:b/>
                <w:bCs/>
              </w:rPr>
              <w:t>Principal Programme Managers</w:t>
            </w:r>
            <w:r w:rsidRPr="00011F19">
              <w:t> – to ensure innovation capacity building supports and integrates with major programmes and delivery portfolios</w:t>
            </w:r>
            <w:r>
              <w:t xml:space="preserve"> in the organisation</w:t>
            </w:r>
            <w:r w:rsidRPr="00011F19">
              <w:t>.</w:t>
            </w:r>
          </w:p>
          <w:p w14:paraId="6EDD38F2" w14:textId="77777777" w:rsidR="005A7550" w:rsidRPr="00901974" w:rsidRDefault="005A7550" w:rsidP="005A7550">
            <w:pPr>
              <w:numPr>
                <w:ilvl w:val="0"/>
                <w:numId w:val="6"/>
              </w:numPr>
              <w:contextualSpacing/>
            </w:pPr>
            <w:r>
              <w:rPr>
                <w:b/>
                <w:bCs/>
              </w:rPr>
              <w:t xml:space="preserve">Group </w:t>
            </w:r>
            <w:r w:rsidRPr="00232317">
              <w:rPr>
                <w:b/>
                <w:bCs/>
              </w:rPr>
              <w:t xml:space="preserve">CEO, </w:t>
            </w:r>
            <w:r>
              <w:rPr>
                <w:b/>
                <w:bCs/>
              </w:rPr>
              <w:t xml:space="preserve">GMCA </w:t>
            </w:r>
            <w:r w:rsidRPr="00232317">
              <w:rPr>
                <w:b/>
                <w:bCs/>
              </w:rPr>
              <w:t>Managing Director and other Directors</w:t>
            </w:r>
            <w:r>
              <w:t xml:space="preserve"> – to embed innovation practices into the organisational practice and culture of the organisation. </w:t>
            </w:r>
          </w:p>
          <w:p w14:paraId="37DE9E84" w14:textId="77777777" w:rsidR="005A7550" w:rsidRPr="00011F19" w:rsidRDefault="005A7550" w:rsidP="005A7550">
            <w:pPr>
              <w:numPr>
                <w:ilvl w:val="0"/>
                <w:numId w:val="6"/>
              </w:numPr>
              <w:contextualSpacing/>
            </w:pPr>
            <w:r w:rsidRPr="00011F19">
              <w:rPr>
                <w:b/>
                <w:bCs/>
              </w:rPr>
              <w:t>Heads of Service and Strategic Leads</w:t>
            </w:r>
            <w:r w:rsidRPr="00011F19">
              <w:t> – to embed innovation practices and build capability within operational teams</w:t>
            </w:r>
            <w:r>
              <w:t xml:space="preserve"> across </w:t>
            </w:r>
            <w:r w:rsidRPr="00011F19">
              <w:t>the 10 GM local authorities.</w:t>
            </w:r>
          </w:p>
          <w:p w14:paraId="7273F881" w14:textId="77777777" w:rsidR="005A7550" w:rsidRPr="00011F19" w:rsidRDefault="005A7550" w:rsidP="005A7550">
            <w:pPr>
              <w:numPr>
                <w:ilvl w:val="0"/>
                <w:numId w:val="6"/>
              </w:numPr>
              <w:contextualSpacing/>
            </w:pPr>
            <w:r w:rsidRPr="00011F19">
              <w:rPr>
                <w:b/>
                <w:bCs/>
              </w:rPr>
              <w:t>VCFSE Sector Partners</w:t>
            </w:r>
            <w:r w:rsidRPr="00011F19">
              <w:t> – to co-design and deliver innovation activity that is grounded in community insight and lived experience.</w:t>
            </w:r>
          </w:p>
          <w:p w14:paraId="661162CC" w14:textId="77777777" w:rsidR="005A7550" w:rsidRPr="00011F19" w:rsidRDefault="005A7550" w:rsidP="005A7550">
            <w:pPr>
              <w:numPr>
                <w:ilvl w:val="0"/>
                <w:numId w:val="6"/>
              </w:numPr>
              <w:contextualSpacing/>
            </w:pPr>
            <w:r w:rsidRPr="00011F19">
              <w:rPr>
                <w:b/>
                <w:bCs/>
              </w:rPr>
              <w:t>Residents and Community Stakeholders</w:t>
            </w:r>
            <w:r w:rsidRPr="00011F19">
              <w:t> – to ensure innovation is participatory, inclusive, and responsive to local needs.</w:t>
            </w:r>
          </w:p>
          <w:p w14:paraId="440828B7" w14:textId="77777777" w:rsidR="005A7550" w:rsidRPr="00011F19" w:rsidRDefault="005A7550" w:rsidP="005A7550">
            <w:pPr>
              <w:numPr>
                <w:ilvl w:val="0"/>
                <w:numId w:val="6"/>
              </w:numPr>
              <w:contextualSpacing/>
            </w:pPr>
            <w:r w:rsidRPr="00011F19">
              <w:rPr>
                <w:b/>
                <w:bCs/>
              </w:rPr>
              <w:t>Data and Research Leads</w:t>
            </w:r>
            <w:r w:rsidRPr="00011F19">
              <w:t> – to align innovation capacity building with evidence and learning, and to support data-informed experimentation.</w:t>
            </w:r>
          </w:p>
          <w:p w14:paraId="080ED0F2" w14:textId="77777777" w:rsidR="005A7550" w:rsidRPr="00011F19" w:rsidRDefault="005A7550" w:rsidP="005A7550">
            <w:pPr>
              <w:numPr>
                <w:ilvl w:val="0"/>
                <w:numId w:val="6"/>
              </w:numPr>
              <w:contextualSpacing/>
            </w:pPr>
            <w:r w:rsidRPr="00011F19">
              <w:rPr>
                <w:b/>
                <w:bCs/>
              </w:rPr>
              <w:t>External Partners</w:t>
            </w:r>
            <w:r w:rsidRPr="00011F19">
              <w:t xml:space="preserve"> (e.g. </w:t>
            </w:r>
            <w:r>
              <w:t>BIT-</w:t>
            </w:r>
            <w:r w:rsidRPr="00011F19">
              <w:t xml:space="preserve">Nesta, Demos Helsinki, Bloomberg Philanthropies) – to coordinate delivery of the </w:t>
            </w:r>
            <w:proofErr w:type="spellStart"/>
            <w:r w:rsidRPr="00011F19">
              <w:t>i</w:t>
            </w:r>
            <w:proofErr w:type="spellEnd"/>
            <w:r w:rsidRPr="00011F19">
              <w:t>-teams Europe programme and share learning across the network.</w:t>
            </w:r>
          </w:p>
          <w:p w14:paraId="3B728CEF" w14:textId="77777777" w:rsidR="005A7550" w:rsidRPr="00011F19" w:rsidRDefault="005A7550" w:rsidP="005A7550">
            <w:pPr>
              <w:numPr>
                <w:ilvl w:val="0"/>
                <w:numId w:val="6"/>
              </w:numPr>
              <w:contextualSpacing/>
            </w:pPr>
            <w:r w:rsidRPr="00011F19">
              <w:rPr>
                <w:b/>
                <w:bCs/>
              </w:rPr>
              <w:t>GMCA HR and Organisational Development Teams</w:t>
            </w:r>
            <w:r w:rsidRPr="00011F19">
              <w:t> – to align innovation capacity building with workforce development and organisational change strategies.</w:t>
            </w:r>
          </w:p>
          <w:p w14:paraId="34958F6E" w14:textId="77777777" w:rsidR="005A7550" w:rsidRDefault="005A7550" w:rsidP="005A7550">
            <w:pPr>
              <w:numPr>
                <w:ilvl w:val="0"/>
                <w:numId w:val="6"/>
              </w:numPr>
              <w:contextualSpacing/>
            </w:pPr>
            <w:r w:rsidRPr="00011F19">
              <w:rPr>
                <w:b/>
                <w:bCs/>
              </w:rPr>
              <w:t>Communications and Engagement Teams</w:t>
            </w:r>
            <w:r w:rsidRPr="00011F19">
              <w:t> – to support storytelling, visibility, and internal engagement around innovation work.</w:t>
            </w:r>
          </w:p>
          <w:p w14:paraId="6116A6C5" w14:textId="77777777" w:rsidR="005A59EB" w:rsidRDefault="005A59EB">
            <w:pPr>
              <w:rPr>
                <w:b/>
                <w:bCs/>
                <w:color w:val="FFFFFF" w:themeColor="background1"/>
              </w:rPr>
            </w:pPr>
          </w:p>
        </w:tc>
      </w:tr>
      <w:tr w:rsidR="005A59EB" w14:paraId="208B9DE6" w14:textId="77777777" w:rsidTr="68E5E84C">
        <w:trPr>
          <w:trHeight w:val="397"/>
        </w:trPr>
        <w:tc>
          <w:tcPr>
            <w:tcW w:w="9016" w:type="dxa"/>
            <w:shd w:val="clear" w:color="auto" w:fill="156082" w:themeFill="accent1"/>
            <w:vAlign w:val="center"/>
          </w:tcPr>
          <w:p w14:paraId="7813896A" w14:textId="0D8BF2AE" w:rsidR="005A59EB" w:rsidRDefault="00FF5691" w:rsidP="0068285A">
            <w:pPr>
              <w:rPr>
                <w:b/>
                <w:bCs/>
                <w:color w:val="FFFFFF" w:themeColor="background1"/>
              </w:rPr>
            </w:pPr>
            <w:r>
              <w:rPr>
                <w:b/>
                <w:bCs/>
                <w:color w:val="FFFFFF" w:themeColor="background1"/>
              </w:rPr>
              <w:lastRenderedPageBreak/>
              <w:t xml:space="preserve">Key </w:t>
            </w:r>
            <w:r w:rsidR="000E3DB9">
              <w:rPr>
                <w:b/>
                <w:bCs/>
                <w:color w:val="FFFFFF" w:themeColor="background1"/>
              </w:rPr>
              <w:t>Accountabilities</w:t>
            </w:r>
          </w:p>
        </w:tc>
      </w:tr>
      <w:tr w:rsidR="005A59EB" w14:paraId="26E2A798" w14:textId="77777777" w:rsidTr="68E5E84C">
        <w:tc>
          <w:tcPr>
            <w:tcW w:w="9016" w:type="dxa"/>
            <w:shd w:val="clear" w:color="auto" w:fill="FFFFFF" w:themeFill="background1"/>
          </w:tcPr>
          <w:p w14:paraId="3333F042" w14:textId="77777777" w:rsidR="000E3DB9" w:rsidRPr="00B04D76" w:rsidRDefault="000E3DB9" w:rsidP="000E3DB9">
            <w:pPr>
              <w:numPr>
                <w:ilvl w:val="0"/>
                <w:numId w:val="1"/>
              </w:numPr>
              <w:contextualSpacing/>
            </w:pPr>
            <w:r w:rsidRPr="00B04D76">
              <w:rPr>
                <w:b/>
                <w:bCs/>
              </w:rPr>
              <w:t>Strategic Leadership</w:t>
            </w:r>
            <w:r w:rsidRPr="00B04D76">
              <w:t xml:space="preserve">: Provide overall strategic and operational leadership for the innovation capacity building function, ensuring alignment with GMCA’s priorities and the goals of the </w:t>
            </w:r>
            <w:proofErr w:type="spellStart"/>
            <w:r w:rsidRPr="00B04D76">
              <w:t>i</w:t>
            </w:r>
            <w:proofErr w:type="spellEnd"/>
            <w:r w:rsidRPr="00B04D76">
              <w:t>-teams Europe programme.</w:t>
            </w:r>
          </w:p>
          <w:p w14:paraId="6A94D0E4" w14:textId="77777777" w:rsidR="000E3DB9" w:rsidRDefault="000E3DB9" w:rsidP="000E3DB9">
            <w:pPr>
              <w:numPr>
                <w:ilvl w:val="0"/>
                <w:numId w:val="1"/>
              </w:numPr>
              <w:contextualSpacing/>
            </w:pPr>
            <w:r w:rsidRPr="00B04D76">
              <w:rPr>
                <w:b/>
                <w:bCs/>
              </w:rPr>
              <w:t>Programme Development and Delivery</w:t>
            </w:r>
            <w:r w:rsidRPr="00B04D76">
              <w:t>: Lead the design and implementation of strategies, frameworks, and interventions that build innovation capability across GMCA and partner organisations, embedding innovation into leadership, processes, and culture.</w:t>
            </w:r>
          </w:p>
          <w:p w14:paraId="6A1EAE84" w14:textId="77777777" w:rsidR="000E3DB9" w:rsidRPr="00B04D76" w:rsidRDefault="000E3DB9" w:rsidP="000E3DB9">
            <w:pPr>
              <w:numPr>
                <w:ilvl w:val="0"/>
                <w:numId w:val="1"/>
              </w:numPr>
              <w:contextualSpacing/>
            </w:pPr>
            <w:r w:rsidRPr="00384503">
              <w:rPr>
                <w:b/>
                <w:bCs/>
              </w:rPr>
              <w:t>Driving Systems Change</w:t>
            </w:r>
            <w:r>
              <w:t>: Identify and address systemic barriers to innovation, co-designing and implementing solutions that enable sustained transformation across complex organisational environments.</w:t>
            </w:r>
          </w:p>
          <w:p w14:paraId="3619E92D" w14:textId="77777777" w:rsidR="000E3DB9" w:rsidRPr="00B04D76" w:rsidRDefault="000E3DB9" w:rsidP="000E3DB9">
            <w:pPr>
              <w:numPr>
                <w:ilvl w:val="0"/>
                <w:numId w:val="1"/>
              </w:numPr>
              <w:contextualSpacing/>
            </w:pPr>
            <w:r w:rsidRPr="00384503">
              <w:rPr>
                <w:b/>
                <w:bCs/>
              </w:rPr>
              <w:t>Team Development and Programme Delivery</w:t>
            </w:r>
            <w:r>
              <w:t>: Lead and support a high-performing team to deliver impactful innovation programmes, ensuring alignment with strategic goals and fostering a culture of learning, inclusion, and excellence.</w:t>
            </w:r>
          </w:p>
          <w:p w14:paraId="1B133A6B" w14:textId="77777777" w:rsidR="000E3DB9" w:rsidRPr="00B04D76" w:rsidRDefault="000E3DB9" w:rsidP="000E3DB9">
            <w:pPr>
              <w:numPr>
                <w:ilvl w:val="0"/>
                <w:numId w:val="1"/>
              </w:numPr>
              <w:contextualSpacing/>
            </w:pPr>
            <w:r>
              <w:rPr>
                <w:b/>
                <w:bCs/>
              </w:rPr>
              <w:t xml:space="preserve">Delivery of Innovation Challenge Themes: </w:t>
            </w:r>
            <w:r w:rsidRPr="009D32BE">
              <w:t xml:space="preserve">Provide leadership </w:t>
            </w:r>
            <w:r>
              <w:t xml:space="preserve">and integrate innovative approaches </w:t>
            </w:r>
            <w:r w:rsidRPr="009D32BE">
              <w:t>to</w:t>
            </w:r>
            <w:r>
              <w:rPr>
                <w:b/>
                <w:bCs/>
              </w:rPr>
              <w:t xml:space="preserve"> </w:t>
            </w:r>
            <w:r w:rsidRPr="00655795">
              <w:t xml:space="preserve">deliver against Greater Manchester’s </w:t>
            </w:r>
            <w:proofErr w:type="spellStart"/>
            <w:r w:rsidRPr="00655795">
              <w:t>i</w:t>
            </w:r>
            <w:proofErr w:type="spellEnd"/>
            <w:r w:rsidRPr="00655795">
              <w:t>-team challenge themes.</w:t>
            </w:r>
          </w:p>
          <w:p w14:paraId="4BB4D0E5" w14:textId="77777777" w:rsidR="000E3DB9" w:rsidRPr="00B04D76" w:rsidRDefault="000E3DB9" w:rsidP="000E3DB9">
            <w:pPr>
              <w:numPr>
                <w:ilvl w:val="0"/>
                <w:numId w:val="1"/>
              </w:numPr>
              <w:contextualSpacing/>
            </w:pPr>
            <w:r w:rsidRPr="00B04D76">
              <w:rPr>
                <w:b/>
                <w:bCs/>
              </w:rPr>
              <w:t>Stakeholder Engagement</w:t>
            </w:r>
            <w:r w:rsidRPr="00B04D76">
              <w:t>: Build and maintain strong relationships with senior leaders, elected members, residents, and external partners to co-design and deliver impactful innovation initiatives.</w:t>
            </w:r>
          </w:p>
          <w:p w14:paraId="72BEB99B" w14:textId="77777777" w:rsidR="000E3DB9" w:rsidRPr="00B04D76" w:rsidRDefault="000E3DB9" w:rsidP="000E3DB9">
            <w:pPr>
              <w:numPr>
                <w:ilvl w:val="0"/>
                <w:numId w:val="1"/>
              </w:numPr>
              <w:contextualSpacing/>
            </w:pPr>
            <w:r w:rsidRPr="00B04D76">
              <w:rPr>
                <w:b/>
                <w:bCs/>
              </w:rPr>
              <w:t>Embedding Innovation</w:t>
            </w:r>
            <w:r w:rsidRPr="00B04D76">
              <w:t xml:space="preserve">: Drive the institutionalisation of innovation practices across the system, ensuring they are integrated into governance, decision-making, and service </w:t>
            </w:r>
            <w:r>
              <w:t xml:space="preserve">design and </w:t>
            </w:r>
            <w:r w:rsidRPr="00B04D76">
              <w:t>delivery.</w:t>
            </w:r>
          </w:p>
          <w:p w14:paraId="19E3560A" w14:textId="77777777" w:rsidR="000E3DB9" w:rsidRPr="00B04D76" w:rsidRDefault="000E3DB9" w:rsidP="000E3DB9">
            <w:pPr>
              <w:numPr>
                <w:ilvl w:val="0"/>
                <w:numId w:val="1"/>
              </w:numPr>
              <w:contextualSpacing/>
            </w:pPr>
            <w:r w:rsidRPr="00B04D76">
              <w:rPr>
                <w:b/>
                <w:bCs/>
              </w:rPr>
              <w:t>Monitoring and Impact</w:t>
            </w:r>
            <w:r w:rsidRPr="00B04D76">
              <w:t>: Oversee the development of targets and metrics for innovation capacity building, ensuring regular measurement, learning, and reporting of progress and impact.</w:t>
            </w:r>
          </w:p>
          <w:p w14:paraId="4168724F" w14:textId="77777777" w:rsidR="000E3DB9" w:rsidRPr="00B04D76" w:rsidRDefault="000E3DB9" w:rsidP="000E3DB9">
            <w:pPr>
              <w:numPr>
                <w:ilvl w:val="0"/>
                <w:numId w:val="1"/>
              </w:numPr>
              <w:contextualSpacing/>
            </w:pPr>
            <w:r w:rsidRPr="00B04D76">
              <w:rPr>
                <w:b/>
                <w:bCs/>
              </w:rPr>
              <w:lastRenderedPageBreak/>
              <w:t>Resident-Centred Practice</w:t>
            </w:r>
            <w:r w:rsidRPr="00B04D76">
              <w:t>: Ensure that all innovation efforts are grounded in resident insight and experience, and that co-design and participatory approaches are embedded in practice</w:t>
            </w:r>
            <w:r>
              <w:t>.</w:t>
            </w:r>
          </w:p>
          <w:p w14:paraId="3F0E6919" w14:textId="77777777" w:rsidR="005A59EB" w:rsidRDefault="005A59EB">
            <w:pPr>
              <w:rPr>
                <w:b/>
                <w:bCs/>
                <w:color w:val="FFFFFF" w:themeColor="background1"/>
              </w:rPr>
            </w:pPr>
          </w:p>
        </w:tc>
      </w:tr>
      <w:tr w:rsidR="005A59EB" w14:paraId="7FA9F4C8" w14:textId="77777777" w:rsidTr="68E5E84C">
        <w:trPr>
          <w:trHeight w:val="397"/>
        </w:trPr>
        <w:tc>
          <w:tcPr>
            <w:tcW w:w="9016" w:type="dxa"/>
            <w:shd w:val="clear" w:color="auto" w:fill="156082" w:themeFill="accent1"/>
            <w:vAlign w:val="center"/>
          </w:tcPr>
          <w:p w14:paraId="352FA3C1" w14:textId="5E94FB96" w:rsidR="005A59EB" w:rsidRDefault="00F53E32" w:rsidP="0068285A">
            <w:pPr>
              <w:rPr>
                <w:b/>
                <w:bCs/>
                <w:color w:val="FFFFFF" w:themeColor="background1"/>
              </w:rPr>
            </w:pPr>
            <w:r>
              <w:rPr>
                <w:b/>
                <w:bCs/>
                <w:color w:val="FFFFFF" w:themeColor="background1"/>
              </w:rPr>
              <w:lastRenderedPageBreak/>
              <w:t>Duties and Responsibilities</w:t>
            </w:r>
          </w:p>
        </w:tc>
      </w:tr>
      <w:tr w:rsidR="005A59EB" w14:paraId="27BE8623" w14:textId="77777777" w:rsidTr="68E5E84C">
        <w:tc>
          <w:tcPr>
            <w:tcW w:w="9016" w:type="dxa"/>
            <w:shd w:val="clear" w:color="auto" w:fill="FFFFFF" w:themeFill="background1"/>
          </w:tcPr>
          <w:p w14:paraId="05C0BEC7" w14:textId="77777777" w:rsidR="0095331F" w:rsidRDefault="0095331F" w:rsidP="0095331F">
            <w:pPr>
              <w:pStyle w:val="ListParagraph"/>
              <w:numPr>
                <w:ilvl w:val="0"/>
                <w:numId w:val="7"/>
              </w:numPr>
            </w:pPr>
            <w:r>
              <w:t>Promote a culture of learning, reflection, and continuous improvement.</w:t>
            </w:r>
          </w:p>
          <w:p w14:paraId="4E637956" w14:textId="77777777" w:rsidR="0095331F" w:rsidRDefault="0095331F" w:rsidP="0095331F">
            <w:pPr>
              <w:pStyle w:val="ListParagraph"/>
              <w:numPr>
                <w:ilvl w:val="0"/>
                <w:numId w:val="7"/>
              </w:numPr>
            </w:pPr>
            <w:r>
              <w:t>Ensure timely delivery of programme outputs and reporting requirements.</w:t>
            </w:r>
          </w:p>
          <w:p w14:paraId="5932B60D" w14:textId="77777777" w:rsidR="0095331F" w:rsidRDefault="0095331F" w:rsidP="0095331F">
            <w:pPr>
              <w:pStyle w:val="ListParagraph"/>
              <w:numPr>
                <w:ilvl w:val="0"/>
                <w:numId w:val="7"/>
              </w:numPr>
            </w:pPr>
            <w:r>
              <w:t>Represent the innovation team in strategic forums and act as a champion for GMCA’s innovation work.</w:t>
            </w:r>
          </w:p>
          <w:p w14:paraId="097EFA73" w14:textId="77777777" w:rsidR="0095331F" w:rsidRDefault="0095331F" w:rsidP="0095331F">
            <w:pPr>
              <w:pStyle w:val="ListParagraph"/>
              <w:numPr>
                <w:ilvl w:val="0"/>
                <w:numId w:val="7"/>
              </w:numPr>
            </w:pPr>
            <w:r>
              <w:t>Oversee tools and metrics to assess innovation maturity and track progress across the system.</w:t>
            </w:r>
          </w:p>
          <w:p w14:paraId="675ACC91" w14:textId="77777777" w:rsidR="0095331F" w:rsidRDefault="0095331F" w:rsidP="0095331F">
            <w:pPr>
              <w:pStyle w:val="ListParagraph"/>
              <w:numPr>
                <w:ilvl w:val="0"/>
                <w:numId w:val="7"/>
              </w:numPr>
            </w:pPr>
            <w:r>
              <w:t>Develop strong relationships with stakeholders to ensure innovation efforts are collaborative and grounded in lived experience.</w:t>
            </w:r>
          </w:p>
          <w:p w14:paraId="2166B8C2" w14:textId="77777777" w:rsidR="0095331F" w:rsidRDefault="0095331F" w:rsidP="0095331F">
            <w:pPr>
              <w:pStyle w:val="ListParagraph"/>
              <w:numPr>
                <w:ilvl w:val="0"/>
                <w:numId w:val="7"/>
              </w:numPr>
            </w:pPr>
            <w:r>
              <w:t>Address organisational and system-level barriers to innovation, co-designing solutions with senior leaders and partners.</w:t>
            </w:r>
          </w:p>
          <w:p w14:paraId="7CCABB65" w14:textId="77777777" w:rsidR="0095331F" w:rsidRDefault="0095331F" w:rsidP="0095331F">
            <w:pPr>
              <w:pStyle w:val="ListParagraph"/>
              <w:numPr>
                <w:ilvl w:val="0"/>
                <w:numId w:val="7"/>
              </w:numPr>
            </w:pPr>
            <w:r>
              <w:t>Facilitate cross-sector collaboration and learning spaces that support shared problem-solving and experimentation.</w:t>
            </w:r>
          </w:p>
          <w:p w14:paraId="0884187E" w14:textId="77777777" w:rsidR="0095331F" w:rsidRDefault="0095331F" w:rsidP="0095331F">
            <w:pPr>
              <w:pStyle w:val="ListParagraph"/>
              <w:numPr>
                <w:ilvl w:val="0"/>
                <w:numId w:val="7"/>
              </w:numPr>
            </w:pPr>
            <w:r>
              <w:t>Provide strategic oversight and support to team members, ensuring their work contributes to broader capacity-building goals.</w:t>
            </w:r>
          </w:p>
          <w:p w14:paraId="4EAC448F" w14:textId="77777777" w:rsidR="0095331F" w:rsidRDefault="0095331F" w:rsidP="0095331F">
            <w:pPr>
              <w:pStyle w:val="ListParagraph"/>
              <w:numPr>
                <w:ilvl w:val="0"/>
                <w:numId w:val="7"/>
              </w:numPr>
            </w:pPr>
            <w:r>
              <w:t>Embed innovation practices—such as design thinking, systems thinking, and co-production—into public service operations and community-based support.</w:t>
            </w:r>
          </w:p>
          <w:p w14:paraId="41CEF0ED" w14:textId="77777777" w:rsidR="0095331F" w:rsidRDefault="0095331F" w:rsidP="0095331F">
            <w:pPr>
              <w:pStyle w:val="ListParagraph"/>
              <w:numPr>
                <w:ilvl w:val="0"/>
                <w:numId w:val="7"/>
              </w:numPr>
            </w:pPr>
            <w:r>
              <w:t xml:space="preserve">Lead the development and delivery of a strategic plan to build innovation capacity across GMCA and partner organisations, ensuring alignment with the </w:t>
            </w:r>
            <w:proofErr w:type="spellStart"/>
            <w:r>
              <w:t>i</w:t>
            </w:r>
            <w:proofErr w:type="spellEnd"/>
            <w:r>
              <w:t>-teams Europe programme and local priorities.</w:t>
            </w:r>
          </w:p>
          <w:p w14:paraId="3AFD78CF" w14:textId="77777777" w:rsidR="0095331F" w:rsidRDefault="0095331F" w:rsidP="0095331F">
            <w:pPr>
              <w:pStyle w:val="ListParagraph"/>
              <w:numPr>
                <w:ilvl w:val="0"/>
                <w:numId w:val="7"/>
              </w:numPr>
            </w:pPr>
            <w:r w:rsidRPr="00B04D76">
              <w:t xml:space="preserve">Lead the development and delivery of a strategic plan to build innovation capacity across GMCA and partner organisations, ensuring alignment with the </w:t>
            </w:r>
            <w:proofErr w:type="spellStart"/>
            <w:r w:rsidRPr="00B04D76">
              <w:t>i</w:t>
            </w:r>
            <w:proofErr w:type="spellEnd"/>
            <w:r w:rsidRPr="00B04D76">
              <w:t>-teams Europe programme and local priorities.</w:t>
            </w:r>
          </w:p>
          <w:p w14:paraId="29106655" w14:textId="77777777" w:rsidR="0095331F" w:rsidRDefault="0095331F" w:rsidP="0095331F">
            <w:pPr>
              <w:pStyle w:val="ListParagraph"/>
              <w:numPr>
                <w:ilvl w:val="0"/>
                <w:numId w:val="7"/>
              </w:numPr>
            </w:pPr>
            <w:r w:rsidRPr="00B04D76">
              <w:t>Design and oversee programmes of work that embed innovation practices—such as design thinking, systems thinking, and co-production—into the day-to-day operations of public service teams</w:t>
            </w:r>
            <w:r>
              <w:t xml:space="preserve"> and community-based support</w:t>
            </w:r>
            <w:r w:rsidRPr="00B04D76">
              <w:t>.</w:t>
            </w:r>
          </w:p>
          <w:p w14:paraId="75328924" w14:textId="77777777" w:rsidR="0095331F" w:rsidRDefault="0095331F" w:rsidP="0095331F">
            <w:pPr>
              <w:pStyle w:val="ListParagraph"/>
              <w:numPr>
                <w:ilvl w:val="0"/>
                <w:numId w:val="2"/>
              </w:numPr>
            </w:pPr>
            <w:r w:rsidRPr="00B04D76">
              <w:t>Provide strategic oversight and support to the Learning Design Lead and other team members, ensuring their work contributes to broader capacity-building goals.</w:t>
            </w:r>
          </w:p>
          <w:p w14:paraId="2EC4281C" w14:textId="77777777" w:rsidR="0095331F" w:rsidRPr="00B04D76" w:rsidRDefault="0095331F" w:rsidP="0095331F">
            <w:pPr>
              <w:pStyle w:val="ListParagraph"/>
              <w:numPr>
                <w:ilvl w:val="0"/>
                <w:numId w:val="2"/>
              </w:numPr>
            </w:pPr>
            <w:r w:rsidRPr="00B04D76">
              <w:t>Convene and facilitate cross-sector working groups, workshops, and learning spaces that support shared problem-solving and experimentation on complex challenges.</w:t>
            </w:r>
          </w:p>
          <w:p w14:paraId="364381BB" w14:textId="77777777" w:rsidR="0095331F" w:rsidRPr="00B04D76" w:rsidRDefault="0095331F" w:rsidP="0095331F">
            <w:pPr>
              <w:numPr>
                <w:ilvl w:val="0"/>
                <w:numId w:val="2"/>
              </w:numPr>
              <w:contextualSpacing/>
            </w:pPr>
            <w:r w:rsidRPr="00B04D76">
              <w:t>Identify and address organisational and system-level barriers to innovation, working with senior leaders and partners to co-design solutions.</w:t>
            </w:r>
          </w:p>
          <w:p w14:paraId="56D4A851" w14:textId="77777777" w:rsidR="0095331F" w:rsidRPr="00B04D76" w:rsidRDefault="0095331F" w:rsidP="0095331F">
            <w:pPr>
              <w:numPr>
                <w:ilvl w:val="0"/>
                <w:numId w:val="2"/>
              </w:numPr>
              <w:contextualSpacing/>
            </w:pPr>
            <w:r w:rsidRPr="00B04D76">
              <w:t>Develop and maintain strong relationships with senior stakeholders across GMCA, local authorities, the VCFSE sector, and residents to ensure innovation efforts are collaborative and grounded in lived experience.</w:t>
            </w:r>
          </w:p>
          <w:p w14:paraId="374A0CE9" w14:textId="77777777" w:rsidR="0095331F" w:rsidRPr="00B04D76" w:rsidRDefault="0095331F" w:rsidP="0095331F">
            <w:pPr>
              <w:numPr>
                <w:ilvl w:val="0"/>
                <w:numId w:val="2"/>
              </w:numPr>
              <w:contextualSpacing/>
            </w:pPr>
            <w:r w:rsidRPr="00B04D76">
              <w:t>Oversee the development and use of tools, frameworks, and metrics to assess innovation maturity and track progress in building capacity across the system.</w:t>
            </w:r>
          </w:p>
          <w:p w14:paraId="2EDE062F" w14:textId="77777777" w:rsidR="0095331F" w:rsidRPr="00B04D76" w:rsidRDefault="0095331F" w:rsidP="0095331F">
            <w:pPr>
              <w:numPr>
                <w:ilvl w:val="0"/>
                <w:numId w:val="2"/>
              </w:numPr>
              <w:contextualSpacing/>
            </w:pPr>
            <w:r w:rsidRPr="00B04D76">
              <w:t xml:space="preserve">Represent the innovation team in strategic forums, including reporting to senior </w:t>
            </w:r>
            <w:r>
              <w:t xml:space="preserve">executive and political </w:t>
            </w:r>
            <w:r w:rsidRPr="00B04D76">
              <w:t xml:space="preserve">leadership </w:t>
            </w:r>
            <w:r>
              <w:t xml:space="preserve">as well as </w:t>
            </w:r>
            <w:r w:rsidRPr="00B04D76">
              <w:t xml:space="preserve">external </w:t>
            </w:r>
            <w:r>
              <w:t>sponsors</w:t>
            </w:r>
            <w:r w:rsidRPr="00B04D76">
              <w:t xml:space="preserve">, and </w:t>
            </w:r>
            <w:r>
              <w:t xml:space="preserve">act as a champion for </w:t>
            </w:r>
            <w:r w:rsidRPr="00B04D76">
              <w:t>the visibility and influence of GMCA’s innovation work.</w:t>
            </w:r>
          </w:p>
          <w:p w14:paraId="16A0141D" w14:textId="77777777" w:rsidR="0095331F" w:rsidRDefault="0095331F" w:rsidP="0095331F">
            <w:pPr>
              <w:numPr>
                <w:ilvl w:val="0"/>
                <w:numId w:val="2"/>
              </w:numPr>
              <w:contextualSpacing/>
            </w:pPr>
            <w:r w:rsidRPr="00B04D76">
              <w:t xml:space="preserve">Ensure the timely delivery of programme outputs and reporting requirements, including those linked to the </w:t>
            </w:r>
            <w:proofErr w:type="spellStart"/>
            <w:r w:rsidRPr="00B04D76">
              <w:t>i</w:t>
            </w:r>
            <w:proofErr w:type="spellEnd"/>
            <w:r w:rsidRPr="00B04D76">
              <w:t>-teams Europe programme and any associated grant funding.</w:t>
            </w:r>
          </w:p>
          <w:p w14:paraId="16306A9D" w14:textId="77777777" w:rsidR="0095331F" w:rsidRPr="00B04D76" w:rsidRDefault="0095331F" w:rsidP="0095331F">
            <w:pPr>
              <w:numPr>
                <w:ilvl w:val="0"/>
                <w:numId w:val="2"/>
              </w:numPr>
              <w:contextualSpacing/>
            </w:pPr>
            <w:r>
              <w:t>Procure appropriate specialist skills and support as required and in accordance with effective budget management, value for money and social value.</w:t>
            </w:r>
          </w:p>
          <w:p w14:paraId="5A76C6DA" w14:textId="77777777" w:rsidR="0095331F" w:rsidRDefault="0095331F" w:rsidP="0095331F">
            <w:pPr>
              <w:numPr>
                <w:ilvl w:val="0"/>
                <w:numId w:val="2"/>
              </w:numPr>
              <w:contextualSpacing/>
            </w:pPr>
            <w:r w:rsidRPr="00B04D76">
              <w:lastRenderedPageBreak/>
              <w:t>Promote a culture of learning, reflection, and continuous improvement within the team and across the wider system.</w:t>
            </w:r>
          </w:p>
          <w:p w14:paraId="19B76D6B" w14:textId="77777777" w:rsidR="0095331F" w:rsidRPr="0095331F" w:rsidRDefault="0095331F" w:rsidP="0095331F">
            <w:pPr>
              <w:numPr>
                <w:ilvl w:val="0"/>
                <w:numId w:val="2"/>
              </w:numPr>
              <w:contextualSpacing/>
            </w:pPr>
            <w:r w:rsidRPr="0095331F">
              <w:t>To always hold yourself and others to a high standard of professionalism, demonstrating your commitment to our values and behaviours as well as ensuring service confidentiality is maintained throughout all we do.</w:t>
            </w:r>
          </w:p>
          <w:p w14:paraId="2CED5BA4" w14:textId="77777777" w:rsidR="0095331F" w:rsidRPr="0095331F" w:rsidRDefault="0095331F" w:rsidP="0095331F">
            <w:pPr>
              <w:numPr>
                <w:ilvl w:val="0"/>
                <w:numId w:val="2"/>
              </w:numPr>
              <w:contextualSpacing/>
            </w:pPr>
            <w:r w:rsidRPr="0095331F">
              <w:t>Working with other teams internally and externally collaboration is maximised and supporting on activity where appropriate.</w:t>
            </w:r>
          </w:p>
          <w:p w14:paraId="28E17E24" w14:textId="77777777" w:rsidR="0095331F" w:rsidRPr="0095331F" w:rsidRDefault="0095331F" w:rsidP="0095331F">
            <w:pPr>
              <w:numPr>
                <w:ilvl w:val="0"/>
                <w:numId w:val="2"/>
              </w:numPr>
              <w:contextualSpacing/>
            </w:pPr>
            <w:r w:rsidRPr="34DD3003">
              <w:t>Ensure the services delivered internally and externally are inclusive and accessible</w:t>
            </w:r>
            <w:r>
              <w:t>.</w:t>
            </w:r>
          </w:p>
          <w:p w14:paraId="6DB10391" w14:textId="77777777" w:rsidR="0095331F" w:rsidRPr="0095331F" w:rsidRDefault="0095331F" w:rsidP="0095331F">
            <w:pPr>
              <w:numPr>
                <w:ilvl w:val="0"/>
                <w:numId w:val="2"/>
              </w:numPr>
              <w:contextualSpacing/>
            </w:pPr>
            <w:r w:rsidRPr="0095331F">
              <w:t xml:space="preserve">To align work area to the Sustainability Strategy and ensure work practices are inclusive of this value &amp; strategic intent. </w:t>
            </w:r>
          </w:p>
          <w:p w14:paraId="3AE2BF5F" w14:textId="77777777" w:rsidR="0095331F" w:rsidRDefault="0095331F" w:rsidP="0095331F">
            <w:pPr>
              <w:ind w:left="360"/>
              <w:rPr>
                <w:rFonts w:cs="Arial"/>
                <w:b/>
              </w:rPr>
            </w:pPr>
          </w:p>
          <w:p w14:paraId="27D4765B" w14:textId="77777777" w:rsidR="0095331F" w:rsidRPr="0095331F" w:rsidRDefault="0095331F" w:rsidP="0095331F">
            <w:pPr>
              <w:ind w:left="360"/>
              <w:rPr>
                <w:rFonts w:cs="Arial"/>
                <w:b/>
              </w:rPr>
            </w:pPr>
            <w:r w:rsidRPr="0095331F">
              <w:rPr>
                <w:rFonts w:cs="Arial"/>
                <w:b/>
              </w:rPr>
              <w:t>NB: This list of duties and responsibilities is by no means exhaustive, and the post holder may be required to undertake other relevant and appropriate duties as required.</w:t>
            </w:r>
          </w:p>
          <w:p w14:paraId="1C1D3672" w14:textId="77777777" w:rsidR="005A59EB" w:rsidRDefault="005A59EB">
            <w:pPr>
              <w:rPr>
                <w:b/>
                <w:bCs/>
                <w:color w:val="FFFFFF" w:themeColor="background1"/>
              </w:rPr>
            </w:pPr>
          </w:p>
        </w:tc>
      </w:tr>
      <w:tr w:rsidR="005A59EB" w14:paraId="3A82029C" w14:textId="77777777" w:rsidTr="68E5E84C">
        <w:trPr>
          <w:trHeight w:val="397"/>
        </w:trPr>
        <w:tc>
          <w:tcPr>
            <w:tcW w:w="9016" w:type="dxa"/>
            <w:shd w:val="clear" w:color="auto" w:fill="156082" w:themeFill="accent1"/>
            <w:vAlign w:val="center"/>
          </w:tcPr>
          <w:p w14:paraId="7518264B" w14:textId="678788DE" w:rsidR="005A59EB" w:rsidRDefault="00A76E0E" w:rsidP="0068285A">
            <w:pPr>
              <w:rPr>
                <w:b/>
                <w:bCs/>
                <w:color w:val="FFFFFF" w:themeColor="background1"/>
              </w:rPr>
            </w:pPr>
            <w:r>
              <w:rPr>
                <w:b/>
                <w:bCs/>
                <w:color w:val="FFFFFF" w:themeColor="background1"/>
              </w:rPr>
              <w:lastRenderedPageBreak/>
              <w:t>Knowledge, Skills, and Experience</w:t>
            </w:r>
          </w:p>
        </w:tc>
      </w:tr>
      <w:tr w:rsidR="005A59EB" w14:paraId="508BBECF" w14:textId="77777777" w:rsidTr="68E5E84C">
        <w:tc>
          <w:tcPr>
            <w:tcW w:w="9016" w:type="dxa"/>
            <w:shd w:val="clear" w:color="auto" w:fill="FFFFFF" w:themeFill="background1"/>
          </w:tcPr>
          <w:p w14:paraId="3EA6F147" w14:textId="77777777" w:rsidR="00A87331" w:rsidRPr="00811988" w:rsidRDefault="00A87331" w:rsidP="00A87331">
            <w:pPr>
              <w:contextualSpacing/>
              <w:rPr>
                <w:b/>
                <w:bCs/>
              </w:rPr>
            </w:pPr>
            <w:r w:rsidRPr="00811988">
              <w:rPr>
                <w:b/>
                <w:bCs/>
              </w:rPr>
              <w:t>Knowledge</w:t>
            </w:r>
          </w:p>
          <w:p w14:paraId="258317AC" w14:textId="77777777" w:rsidR="00A87331" w:rsidRPr="00811988" w:rsidRDefault="00A87331" w:rsidP="00A87331">
            <w:pPr>
              <w:numPr>
                <w:ilvl w:val="0"/>
                <w:numId w:val="3"/>
              </w:numPr>
              <w:contextualSpacing/>
            </w:pPr>
            <w:r w:rsidRPr="00811988">
              <w:t>Deep understanding of public sector innovation, including design-led approaches, systems thinking, and behavioural insights.</w:t>
            </w:r>
          </w:p>
          <w:p w14:paraId="312FE406" w14:textId="77777777" w:rsidR="00A87331" w:rsidRPr="00811988" w:rsidRDefault="00A87331" w:rsidP="00A87331">
            <w:pPr>
              <w:numPr>
                <w:ilvl w:val="0"/>
                <w:numId w:val="3"/>
              </w:numPr>
              <w:contextualSpacing/>
            </w:pPr>
            <w:r w:rsidRPr="00811988">
              <w:t>Strong grasp of organisational development, change management, and capacity-building strategies within complex systems.</w:t>
            </w:r>
          </w:p>
          <w:p w14:paraId="154B790C" w14:textId="77777777" w:rsidR="00A87331" w:rsidRPr="00811988" w:rsidRDefault="00A87331" w:rsidP="00A87331">
            <w:pPr>
              <w:numPr>
                <w:ilvl w:val="0"/>
                <w:numId w:val="3"/>
              </w:numPr>
              <w:contextualSpacing/>
            </w:pPr>
            <w:r w:rsidRPr="00811988">
              <w:t>Familiarity with civic engagement, participatory governance, and co-production methodologies.</w:t>
            </w:r>
          </w:p>
          <w:p w14:paraId="0B6F840D" w14:textId="77777777" w:rsidR="00A87331" w:rsidRPr="00811988" w:rsidRDefault="00A87331" w:rsidP="00A87331">
            <w:pPr>
              <w:numPr>
                <w:ilvl w:val="0"/>
                <w:numId w:val="3"/>
              </w:numPr>
              <w:contextualSpacing/>
            </w:pPr>
            <w:r w:rsidRPr="00811988">
              <w:t>Knowledge of data-informed decision-making, including how to integrate qualitative and quantitative insights into innovation practice.</w:t>
            </w:r>
          </w:p>
          <w:p w14:paraId="50298D29" w14:textId="77777777" w:rsidR="00A87331" w:rsidRPr="00811988" w:rsidRDefault="00A87331" w:rsidP="00A87331">
            <w:pPr>
              <w:numPr>
                <w:ilvl w:val="0"/>
                <w:numId w:val="3"/>
              </w:numPr>
              <w:contextualSpacing/>
            </w:pPr>
            <w:r w:rsidRPr="00811988">
              <w:t xml:space="preserve">Awareness of the policy and delivery landscape across Greater Manchester and the broader UK </w:t>
            </w:r>
            <w:r>
              <w:t xml:space="preserve">linking to social justice, </w:t>
            </w:r>
            <w:r w:rsidRPr="00811988">
              <w:t xml:space="preserve">public service reform </w:t>
            </w:r>
            <w:r>
              <w:t xml:space="preserve">and prevention </w:t>
            </w:r>
            <w:r w:rsidRPr="00811988">
              <w:t>agenda.</w:t>
            </w:r>
          </w:p>
          <w:p w14:paraId="65193EB3" w14:textId="77777777" w:rsidR="00A87331" w:rsidRDefault="00A87331" w:rsidP="00A87331">
            <w:pPr>
              <w:contextualSpacing/>
              <w:rPr>
                <w:b/>
                <w:bCs/>
              </w:rPr>
            </w:pPr>
          </w:p>
          <w:p w14:paraId="14874CF2" w14:textId="77777777" w:rsidR="00A87331" w:rsidRPr="00811988" w:rsidRDefault="00A87331" w:rsidP="00A87331">
            <w:pPr>
              <w:contextualSpacing/>
              <w:rPr>
                <w:b/>
                <w:bCs/>
              </w:rPr>
            </w:pPr>
            <w:r w:rsidRPr="00811988">
              <w:rPr>
                <w:b/>
                <w:bCs/>
              </w:rPr>
              <w:t>Skills</w:t>
            </w:r>
          </w:p>
          <w:p w14:paraId="259F9351" w14:textId="77777777" w:rsidR="00A87331" w:rsidRDefault="00A87331" w:rsidP="00A87331">
            <w:pPr>
              <w:numPr>
                <w:ilvl w:val="0"/>
                <w:numId w:val="4"/>
              </w:numPr>
              <w:contextualSpacing/>
            </w:pPr>
            <w:r w:rsidRPr="00811988">
              <w:t>Strategic leadership: Ability to set direction, align stakeholders, and lead cross-organisational efforts to embed innovation.</w:t>
            </w:r>
          </w:p>
          <w:p w14:paraId="75E35520" w14:textId="77777777" w:rsidR="00A87331" w:rsidRPr="00384503" w:rsidRDefault="00A87331" w:rsidP="00A87331">
            <w:pPr>
              <w:numPr>
                <w:ilvl w:val="0"/>
                <w:numId w:val="4"/>
              </w:numPr>
              <w:contextualSpacing/>
            </w:pPr>
            <w:r>
              <w:t xml:space="preserve">Systems Thinking: </w:t>
            </w:r>
            <w:r w:rsidRPr="00384503">
              <w:t>Proficient in understanding and addressing the interconnections within complex systems to drive holistic and sustainable change</w:t>
            </w:r>
            <w:r>
              <w:t>.</w:t>
            </w:r>
          </w:p>
          <w:p w14:paraId="2D45B080" w14:textId="77777777" w:rsidR="00A87331" w:rsidRPr="00811988" w:rsidRDefault="00A87331" w:rsidP="00A87331">
            <w:pPr>
              <w:numPr>
                <w:ilvl w:val="0"/>
                <w:numId w:val="4"/>
              </w:numPr>
              <w:contextualSpacing/>
            </w:pPr>
            <w:r w:rsidRPr="00811988">
              <w:t>Programme design and delivery: Skilled in developing and managing complex programmes that build innovation capability and deliver measurable impact.</w:t>
            </w:r>
          </w:p>
          <w:p w14:paraId="6590EC59" w14:textId="77777777" w:rsidR="00A87331" w:rsidRPr="00811988" w:rsidRDefault="00A87331" w:rsidP="00A87331">
            <w:pPr>
              <w:numPr>
                <w:ilvl w:val="0"/>
                <w:numId w:val="4"/>
              </w:numPr>
              <w:contextualSpacing/>
            </w:pPr>
            <w:r w:rsidRPr="00811988">
              <w:t>Facilitation and convening: Expertise in designing and leading collaborative spaces for learning, experimentation, and co-creation.</w:t>
            </w:r>
          </w:p>
          <w:p w14:paraId="03C807F9" w14:textId="77777777" w:rsidR="00A87331" w:rsidRPr="00811988" w:rsidRDefault="00A87331" w:rsidP="00A87331">
            <w:pPr>
              <w:numPr>
                <w:ilvl w:val="0"/>
                <w:numId w:val="4"/>
              </w:numPr>
              <w:contextualSpacing/>
            </w:pPr>
            <w:r w:rsidRPr="00811988">
              <w:t>Communication and influence: Excellent written and verbal communication skills, with the ability to engage senior leaders, frontline staff, and residents.</w:t>
            </w:r>
          </w:p>
          <w:p w14:paraId="2BE695AE" w14:textId="77777777" w:rsidR="00A87331" w:rsidRPr="00811988" w:rsidRDefault="00A87331" w:rsidP="00A87331">
            <w:pPr>
              <w:numPr>
                <w:ilvl w:val="0"/>
                <w:numId w:val="4"/>
              </w:numPr>
              <w:contextualSpacing/>
            </w:pPr>
            <w:r w:rsidRPr="00811988">
              <w:t>Analytical thinking: Ability to synthesise diverse data sources, identify patterns, and translate insights into actionable strategies.</w:t>
            </w:r>
          </w:p>
          <w:p w14:paraId="4808ECDB" w14:textId="77777777" w:rsidR="00A87331" w:rsidRPr="00811988" w:rsidRDefault="00A87331" w:rsidP="00A87331">
            <w:pPr>
              <w:numPr>
                <w:ilvl w:val="0"/>
                <w:numId w:val="4"/>
              </w:numPr>
              <w:contextualSpacing/>
            </w:pPr>
            <w:r w:rsidRPr="00811988">
              <w:t>Coaching and mentoring: Skilled in supporting the development of others, including line management and matrix leadership.</w:t>
            </w:r>
          </w:p>
          <w:p w14:paraId="197373B0" w14:textId="77777777" w:rsidR="00A87331" w:rsidRDefault="00A87331" w:rsidP="00A87331">
            <w:pPr>
              <w:contextualSpacing/>
              <w:rPr>
                <w:b/>
                <w:bCs/>
              </w:rPr>
            </w:pPr>
          </w:p>
          <w:p w14:paraId="7D29F084" w14:textId="77777777" w:rsidR="00A87331" w:rsidRPr="00811988" w:rsidRDefault="00A87331" w:rsidP="00A87331">
            <w:pPr>
              <w:contextualSpacing/>
              <w:rPr>
                <w:b/>
                <w:bCs/>
              </w:rPr>
            </w:pPr>
            <w:r w:rsidRPr="00811988">
              <w:rPr>
                <w:b/>
                <w:bCs/>
              </w:rPr>
              <w:t>Abilities</w:t>
            </w:r>
          </w:p>
          <w:p w14:paraId="4CFCE007" w14:textId="77777777" w:rsidR="00A87331" w:rsidRDefault="00A87331" w:rsidP="00A87331">
            <w:pPr>
              <w:numPr>
                <w:ilvl w:val="0"/>
                <w:numId w:val="5"/>
              </w:numPr>
              <w:contextualSpacing/>
            </w:pPr>
            <w:r w:rsidRPr="00811988">
              <w:t>Lead with empathy and curiosity, fostering a culture of trust, learning, and experimentation.</w:t>
            </w:r>
          </w:p>
          <w:p w14:paraId="1C2B51EC" w14:textId="77777777" w:rsidR="00A87331" w:rsidRDefault="00A87331" w:rsidP="00A87331">
            <w:pPr>
              <w:pStyle w:val="ListParagraph"/>
              <w:numPr>
                <w:ilvl w:val="0"/>
                <w:numId w:val="5"/>
              </w:numPr>
            </w:pPr>
            <w:r>
              <w:t>Track record of leading systems-level change in complex, multi-stakeholder environments.</w:t>
            </w:r>
          </w:p>
          <w:p w14:paraId="44F29B5B" w14:textId="77777777" w:rsidR="00A87331" w:rsidRPr="00811988" w:rsidRDefault="00A87331" w:rsidP="00A87331">
            <w:pPr>
              <w:pStyle w:val="ListParagraph"/>
              <w:numPr>
                <w:ilvl w:val="0"/>
                <w:numId w:val="5"/>
              </w:numPr>
            </w:pPr>
            <w:r w:rsidRPr="00811988">
              <w:lastRenderedPageBreak/>
              <w:t>Navigate ambiguity and complexity, making sound decisions in dynamic environments.</w:t>
            </w:r>
          </w:p>
          <w:p w14:paraId="2A3EDCFC" w14:textId="77777777" w:rsidR="00A87331" w:rsidRPr="00811988" w:rsidRDefault="00A87331" w:rsidP="00A87331">
            <w:pPr>
              <w:numPr>
                <w:ilvl w:val="0"/>
                <w:numId w:val="5"/>
              </w:numPr>
              <w:contextualSpacing/>
            </w:pPr>
            <w:r w:rsidRPr="00811988">
              <w:t>Build and sustain partnerships across sectors, disciplines, and communities.</w:t>
            </w:r>
          </w:p>
          <w:p w14:paraId="677CE8EF" w14:textId="77777777" w:rsidR="00F53E32" w:rsidRDefault="00A87331" w:rsidP="00A87331">
            <w:pPr>
              <w:numPr>
                <w:ilvl w:val="0"/>
                <w:numId w:val="5"/>
              </w:numPr>
              <w:contextualSpacing/>
            </w:pPr>
            <w:r w:rsidRPr="00811988">
              <w:t>Translate strategic intent into operational delivery, ensuring alignment with organisational goals and values.</w:t>
            </w:r>
          </w:p>
          <w:p w14:paraId="3DBE81F1" w14:textId="3073D9F2" w:rsidR="005A59EB" w:rsidRPr="00F53E32" w:rsidRDefault="00A87331" w:rsidP="00A87331">
            <w:pPr>
              <w:numPr>
                <w:ilvl w:val="0"/>
                <w:numId w:val="5"/>
              </w:numPr>
              <w:contextualSpacing/>
            </w:pPr>
            <w:r w:rsidRPr="00811988">
              <w:t>Champion inclusive innovation, ensuring that diverse voices shape the design and delivery of solutions.</w:t>
            </w:r>
          </w:p>
        </w:tc>
      </w:tr>
      <w:tr w:rsidR="005A59EB" w14:paraId="2F684728" w14:textId="77777777" w:rsidTr="68E5E84C">
        <w:trPr>
          <w:trHeight w:val="397"/>
        </w:trPr>
        <w:tc>
          <w:tcPr>
            <w:tcW w:w="9016" w:type="dxa"/>
            <w:shd w:val="clear" w:color="auto" w:fill="156082" w:themeFill="accent1"/>
            <w:vAlign w:val="center"/>
          </w:tcPr>
          <w:p w14:paraId="2AD102E1" w14:textId="42000A3D" w:rsidR="005A59EB" w:rsidRDefault="00A76E0E" w:rsidP="0068285A">
            <w:pPr>
              <w:rPr>
                <w:b/>
                <w:bCs/>
                <w:color w:val="FFFFFF" w:themeColor="background1"/>
              </w:rPr>
            </w:pPr>
            <w:r>
              <w:rPr>
                <w:b/>
                <w:bCs/>
                <w:color w:val="FFFFFF" w:themeColor="background1"/>
              </w:rPr>
              <w:lastRenderedPageBreak/>
              <w:t>Corporate Duties</w:t>
            </w:r>
          </w:p>
        </w:tc>
      </w:tr>
      <w:tr w:rsidR="005A59EB" w14:paraId="36A7D987" w14:textId="77777777" w:rsidTr="68E5E84C">
        <w:tc>
          <w:tcPr>
            <w:tcW w:w="9016" w:type="dxa"/>
            <w:shd w:val="clear" w:color="auto" w:fill="FFFFFF" w:themeFill="background1"/>
          </w:tcPr>
          <w:p w14:paraId="28EBEF1F" w14:textId="77777777" w:rsidR="00F41C8D" w:rsidRPr="00B75FFA" w:rsidRDefault="00F41C8D" w:rsidP="00F41C8D">
            <w:pPr>
              <w:rPr>
                <w:rFonts w:cs="Arial"/>
              </w:rPr>
            </w:pPr>
            <w:r w:rsidRPr="00B75FFA">
              <w:rPr>
                <w:rFonts w:cs="Arial"/>
              </w:rPr>
              <w:t>Do not behave in way which discriminates against your fellow employees, or potential</w:t>
            </w:r>
            <w:r w:rsidRPr="00B75FFA">
              <w:rPr>
                <w:rFonts w:cs="Arial"/>
                <w:spacing w:val="1"/>
              </w:rPr>
              <w:t xml:space="preserve"> </w:t>
            </w:r>
            <w:r w:rsidRPr="00B75FFA">
              <w:rPr>
                <w:rFonts w:cs="Arial"/>
              </w:rPr>
              <w:t>employees on the grounds of their sex, sexual orientation, marital status, race, religion,</w:t>
            </w:r>
            <w:r w:rsidRPr="00B75FFA">
              <w:rPr>
                <w:rFonts w:cs="Arial"/>
                <w:spacing w:val="-59"/>
              </w:rPr>
              <w:t xml:space="preserve"> </w:t>
            </w:r>
            <w:r w:rsidRPr="00B75FFA">
              <w:rPr>
                <w:rFonts w:cs="Arial"/>
              </w:rPr>
              <w:t>creed,</w:t>
            </w:r>
            <w:r w:rsidRPr="00B75FFA">
              <w:rPr>
                <w:rFonts w:cs="Arial"/>
                <w:spacing w:val="-2"/>
              </w:rPr>
              <w:t xml:space="preserve"> </w:t>
            </w:r>
            <w:r w:rsidRPr="00B75FFA">
              <w:rPr>
                <w:rFonts w:cs="Arial"/>
              </w:rPr>
              <w:t>colour,</w:t>
            </w:r>
            <w:r w:rsidRPr="00B75FFA">
              <w:rPr>
                <w:rFonts w:cs="Arial"/>
                <w:spacing w:val="2"/>
              </w:rPr>
              <w:t xml:space="preserve"> </w:t>
            </w:r>
            <w:r w:rsidRPr="00B75FFA">
              <w:rPr>
                <w:rFonts w:cs="Arial"/>
              </w:rPr>
              <w:t>nationality,</w:t>
            </w:r>
            <w:r w:rsidRPr="00B75FFA">
              <w:rPr>
                <w:rFonts w:cs="Arial"/>
                <w:spacing w:val="2"/>
              </w:rPr>
              <w:t xml:space="preserve"> </w:t>
            </w:r>
            <w:r w:rsidRPr="00B75FFA">
              <w:rPr>
                <w:rFonts w:cs="Arial"/>
              </w:rPr>
              <w:t>ethnic</w:t>
            </w:r>
            <w:r w:rsidRPr="00B75FFA">
              <w:rPr>
                <w:rFonts w:cs="Arial"/>
                <w:spacing w:val="1"/>
              </w:rPr>
              <w:t xml:space="preserve"> </w:t>
            </w:r>
            <w:r w:rsidRPr="00B75FFA">
              <w:rPr>
                <w:rFonts w:cs="Arial"/>
              </w:rPr>
              <w:t>origin</w:t>
            </w:r>
            <w:r w:rsidRPr="00B75FFA">
              <w:rPr>
                <w:rFonts w:cs="Arial"/>
                <w:spacing w:val="1"/>
              </w:rPr>
              <w:t xml:space="preserve"> </w:t>
            </w:r>
            <w:r w:rsidRPr="00B75FFA">
              <w:rPr>
                <w:rFonts w:cs="Arial"/>
              </w:rPr>
              <w:t>or</w:t>
            </w:r>
            <w:r w:rsidRPr="00B75FFA">
              <w:rPr>
                <w:rFonts w:cs="Arial"/>
                <w:spacing w:val="-2"/>
              </w:rPr>
              <w:t xml:space="preserve"> </w:t>
            </w:r>
            <w:r w:rsidRPr="00B75FFA">
              <w:rPr>
                <w:rFonts w:cs="Arial"/>
              </w:rPr>
              <w:t>disability.</w:t>
            </w:r>
          </w:p>
          <w:p w14:paraId="7E415133" w14:textId="77777777" w:rsidR="00F41C8D" w:rsidRPr="00B75FFA" w:rsidRDefault="00F41C8D" w:rsidP="00F41C8D">
            <w:pPr>
              <w:rPr>
                <w:rFonts w:cs="Arial"/>
              </w:rPr>
            </w:pPr>
            <w:r w:rsidRPr="00B75FFA">
              <w:rPr>
                <w:rFonts w:cs="Arial"/>
              </w:rPr>
              <w:t xml:space="preserve">Safeguard </w:t>
            </w:r>
            <w:proofErr w:type="gramStart"/>
            <w:r w:rsidRPr="00B75FFA">
              <w:rPr>
                <w:rFonts w:cs="Arial"/>
              </w:rPr>
              <w:t>at all times</w:t>
            </w:r>
            <w:proofErr w:type="gramEnd"/>
            <w:r w:rsidRPr="00B75FFA">
              <w:rPr>
                <w:rFonts w:cs="Arial"/>
              </w:rPr>
              <w:t xml:space="preserve"> confidentiality of information relating to staff and pensioners. </w:t>
            </w:r>
            <w:r w:rsidRPr="00B75FFA">
              <w:rPr>
                <w:rFonts w:cs="Arial"/>
                <w:spacing w:val="-59"/>
              </w:rPr>
              <w:t xml:space="preserve"> </w:t>
            </w:r>
            <w:r w:rsidRPr="00B75FFA">
              <w:rPr>
                <w:rFonts w:cs="Arial"/>
              </w:rPr>
              <w:t>Refrain</w:t>
            </w:r>
            <w:r w:rsidRPr="00B75FFA">
              <w:rPr>
                <w:rFonts w:cs="Arial"/>
                <w:spacing w:val="-3"/>
              </w:rPr>
              <w:t xml:space="preserve"> </w:t>
            </w:r>
            <w:r w:rsidRPr="00B75FFA">
              <w:rPr>
                <w:rFonts w:cs="Arial"/>
              </w:rPr>
              <w:t>from</w:t>
            </w:r>
            <w:r w:rsidRPr="00B75FFA">
              <w:rPr>
                <w:rFonts w:cs="Arial"/>
                <w:spacing w:val="2"/>
              </w:rPr>
              <w:t xml:space="preserve"> </w:t>
            </w:r>
            <w:r w:rsidRPr="00B75FFA">
              <w:rPr>
                <w:rFonts w:cs="Arial"/>
              </w:rPr>
              <w:t>smoking</w:t>
            </w:r>
            <w:r w:rsidRPr="00B75FFA">
              <w:rPr>
                <w:rFonts w:cs="Arial"/>
                <w:spacing w:val="4"/>
              </w:rPr>
              <w:t xml:space="preserve"> </w:t>
            </w:r>
            <w:r w:rsidRPr="00B75FFA">
              <w:rPr>
                <w:rFonts w:cs="Arial"/>
              </w:rPr>
              <w:t>in</w:t>
            </w:r>
            <w:r w:rsidRPr="00B75FFA">
              <w:rPr>
                <w:rFonts w:cs="Arial"/>
                <w:spacing w:val="-5"/>
              </w:rPr>
              <w:t xml:space="preserve"> </w:t>
            </w:r>
            <w:r w:rsidRPr="00B75FFA">
              <w:rPr>
                <w:rFonts w:cs="Arial"/>
              </w:rPr>
              <w:t>any</w:t>
            </w:r>
            <w:r w:rsidRPr="00B75FFA">
              <w:rPr>
                <w:rFonts w:cs="Arial"/>
                <w:spacing w:val="-1"/>
              </w:rPr>
              <w:t xml:space="preserve"> </w:t>
            </w:r>
            <w:r w:rsidRPr="00B75FFA">
              <w:rPr>
                <w:rFonts w:cs="Arial"/>
              </w:rPr>
              <w:t>areas</w:t>
            </w:r>
            <w:r w:rsidRPr="00B75FFA">
              <w:rPr>
                <w:rFonts w:cs="Arial"/>
                <w:spacing w:val="1"/>
              </w:rPr>
              <w:t xml:space="preserve"> </w:t>
            </w:r>
            <w:r w:rsidRPr="00B75FFA">
              <w:rPr>
                <w:rFonts w:cs="Arial"/>
              </w:rPr>
              <w:t>of</w:t>
            </w:r>
            <w:r w:rsidRPr="00B75FFA">
              <w:rPr>
                <w:rFonts w:cs="Arial"/>
                <w:spacing w:val="1"/>
              </w:rPr>
              <w:t xml:space="preserve"> </w:t>
            </w:r>
            <w:r w:rsidRPr="00B75FFA">
              <w:rPr>
                <w:rFonts w:cs="Arial"/>
              </w:rPr>
              <w:t>Service</w:t>
            </w:r>
            <w:r w:rsidRPr="00B75FFA">
              <w:rPr>
                <w:rFonts w:cs="Arial"/>
                <w:spacing w:val="1"/>
              </w:rPr>
              <w:t xml:space="preserve"> </w:t>
            </w:r>
            <w:r w:rsidRPr="00B75FFA">
              <w:rPr>
                <w:rFonts w:cs="Arial"/>
              </w:rPr>
              <w:t>premises.</w:t>
            </w:r>
          </w:p>
          <w:p w14:paraId="2AD502AC" w14:textId="77777777" w:rsidR="00F41C8D" w:rsidRPr="00B75FFA" w:rsidRDefault="00F41C8D" w:rsidP="00F41C8D">
            <w:pPr>
              <w:rPr>
                <w:rFonts w:cs="Arial"/>
              </w:rPr>
            </w:pPr>
            <w:r w:rsidRPr="00B75FFA">
              <w:rPr>
                <w:rFonts w:cs="Arial"/>
              </w:rPr>
              <w:t>Behave in a manner that ensures the security of property and resources.</w:t>
            </w:r>
            <w:r w:rsidRPr="00B75FFA">
              <w:rPr>
                <w:rFonts w:cs="Arial"/>
                <w:spacing w:val="-59"/>
              </w:rPr>
              <w:t xml:space="preserve"> </w:t>
            </w:r>
            <w:r w:rsidRPr="00B75FFA">
              <w:rPr>
                <w:rFonts w:cs="Arial"/>
              </w:rPr>
              <w:t>Abide</w:t>
            </w:r>
            <w:r w:rsidRPr="00B75FFA">
              <w:rPr>
                <w:rFonts w:cs="Arial"/>
                <w:spacing w:val="-1"/>
              </w:rPr>
              <w:t xml:space="preserve"> </w:t>
            </w:r>
            <w:r w:rsidRPr="00B75FFA">
              <w:rPr>
                <w:rFonts w:cs="Arial"/>
              </w:rPr>
              <w:t>by</w:t>
            </w:r>
            <w:r w:rsidRPr="00B75FFA">
              <w:rPr>
                <w:rFonts w:cs="Arial"/>
                <w:spacing w:val="-2"/>
              </w:rPr>
              <w:t xml:space="preserve"> </w:t>
            </w:r>
            <w:r w:rsidRPr="00B75FFA">
              <w:rPr>
                <w:rFonts w:cs="Arial"/>
              </w:rPr>
              <w:t>all relevant</w:t>
            </w:r>
            <w:r w:rsidRPr="00B75FFA">
              <w:rPr>
                <w:rFonts w:cs="Arial"/>
                <w:spacing w:val="1"/>
              </w:rPr>
              <w:t xml:space="preserve"> </w:t>
            </w:r>
            <w:r w:rsidRPr="00B75FFA">
              <w:rPr>
                <w:rFonts w:cs="Arial"/>
              </w:rPr>
              <w:t>Service</w:t>
            </w:r>
            <w:r w:rsidRPr="00B75FFA">
              <w:rPr>
                <w:rFonts w:cs="Arial"/>
                <w:spacing w:val="1"/>
              </w:rPr>
              <w:t xml:space="preserve"> </w:t>
            </w:r>
            <w:r w:rsidRPr="00B75FFA">
              <w:rPr>
                <w:rFonts w:cs="Arial"/>
              </w:rPr>
              <w:t>Policies and Procedures.</w:t>
            </w:r>
          </w:p>
          <w:p w14:paraId="48D43EC0" w14:textId="77777777" w:rsidR="00F41C8D" w:rsidRPr="00B75FFA" w:rsidRDefault="00F41C8D" w:rsidP="00F41C8D">
            <w:pPr>
              <w:rPr>
                <w:rFonts w:cs="Arial"/>
              </w:rPr>
            </w:pPr>
            <w:r w:rsidRPr="00B75FFA">
              <w:rPr>
                <w:rFonts w:cs="Arial"/>
                <w:b/>
                <w:bCs/>
              </w:rPr>
              <w:t>Records Management / Data Protection</w:t>
            </w:r>
            <w:r w:rsidRPr="00B75FFA">
              <w:rPr>
                <w:rFonts w:cs="Arial"/>
              </w:rPr>
              <w:t xml:space="preserve"> - As an employee of the GMCA, you have a legal</w:t>
            </w:r>
            <w:r w:rsidRPr="00B75FFA">
              <w:rPr>
                <w:rFonts w:cs="Arial"/>
                <w:spacing w:val="1"/>
              </w:rPr>
              <w:t xml:space="preserve"> </w:t>
            </w:r>
            <w:r w:rsidRPr="00B75FFA">
              <w:rPr>
                <w:rFonts w:cs="Arial"/>
                <w:spacing w:val="-1"/>
              </w:rPr>
              <w:t>responsibility</w:t>
            </w:r>
            <w:r w:rsidRPr="00B75FFA">
              <w:rPr>
                <w:rFonts w:cs="Arial"/>
                <w:spacing w:val="-16"/>
              </w:rPr>
              <w:t xml:space="preserve"> </w:t>
            </w:r>
            <w:r w:rsidRPr="00B75FFA">
              <w:rPr>
                <w:rFonts w:cs="Arial"/>
                <w:spacing w:val="-1"/>
              </w:rPr>
              <w:t>for</w:t>
            </w:r>
            <w:r w:rsidRPr="00B75FFA">
              <w:rPr>
                <w:rFonts w:cs="Arial"/>
                <w:spacing w:val="-15"/>
              </w:rPr>
              <w:t xml:space="preserve"> </w:t>
            </w:r>
            <w:r w:rsidRPr="00B75FFA">
              <w:rPr>
                <w:rFonts w:cs="Arial"/>
                <w:spacing w:val="-1"/>
              </w:rPr>
              <w:t>all</w:t>
            </w:r>
            <w:r w:rsidRPr="00B75FFA">
              <w:rPr>
                <w:rFonts w:cs="Arial"/>
                <w:spacing w:val="-14"/>
              </w:rPr>
              <w:t xml:space="preserve"> </w:t>
            </w:r>
            <w:r w:rsidRPr="00B75FFA">
              <w:rPr>
                <w:rFonts w:cs="Arial"/>
                <w:spacing w:val="-1"/>
              </w:rPr>
              <w:t>records</w:t>
            </w:r>
            <w:r w:rsidRPr="00B75FFA">
              <w:rPr>
                <w:rFonts w:cs="Arial"/>
                <w:spacing w:val="-13"/>
              </w:rPr>
              <w:t xml:space="preserve"> </w:t>
            </w:r>
            <w:r w:rsidRPr="00B75FFA">
              <w:rPr>
                <w:rFonts w:cs="Arial"/>
              </w:rPr>
              <w:t>(including</w:t>
            </w:r>
            <w:r w:rsidRPr="00B75FFA">
              <w:rPr>
                <w:rFonts w:cs="Arial"/>
                <w:spacing w:val="-11"/>
              </w:rPr>
              <w:t xml:space="preserve"> </w:t>
            </w:r>
            <w:r w:rsidRPr="00B75FFA">
              <w:rPr>
                <w:rFonts w:cs="Arial"/>
              </w:rPr>
              <w:t>employee</w:t>
            </w:r>
            <w:r w:rsidRPr="00B75FFA">
              <w:rPr>
                <w:rFonts w:cs="Arial"/>
                <w:spacing w:val="-13"/>
              </w:rPr>
              <w:t xml:space="preserve"> </w:t>
            </w:r>
            <w:r w:rsidRPr="00B75FFA">
              <w:rPr>
                <w:rFonts w:cs="Arial"/>
              </w:rPr>
              <w:t>health,</w:t>
            </w:r>
            <w:r w:rsidRPr="00B75FFA">
              <w:rPr>
                <w:rFonts w:cs="Arial"/>
                <w:spacing w:val="-15"/>
              </w:rPr>
              <w:t xml:space="preserve"> </w:t>
            </w:r>
            <w:r w:rsidRPr="00B75FFA">
              <w:rPr>
                <w:rFonts w:cs="Arial"/>
              </w:rPr>
              <w:t>financial,</w:t>
            </w:r>
            <w:r w:rsidRPr="00B75FFA">
              <w:rPr>
                <w:rFonts w:cs="Arial"/>
                <w:spacing w:val="-14"/>
              </w:rPr>
              <w:t xml:space="preserve"> </w:t>
            </w:r>
            <w:r w:rsidRPr="00B75FFA">
              <w:rPr>
                <w:rFonts w:cs="Arial"/>
              </w:rPr>
              <w:t>personal</w:t>
            </w:r>
            <w:r w:rsidRPr="00B75FFA">
              <w:rPr>
                <w:rFonts w:cs="Arial"/>
                <w:spacing w:val="-17"/>
              </w:rPr>
              <w:t xml:space="preserve"> </w:t>
            </w:r>
            <w:r w:rsidRPr="00B75FFA">
              <w:rPr>
                <w:rFonts w:cs="Arial"/>
              </w:rPr>
              <w:t>and</w:t>
            </w:r>
            <w:r w:rsidRPr="00B75FFA">
              <w:rPr>
                <w:rFonts w:cs="Arial"/>
                <w:spacing w:val="-13"/>
              </w:rPr>
              <w:t xml:space="preserve"> </w:t>
            </w:r>
            <w:r w:rsidRPr="00B75FFA">
              <w:rPr>
                <w:rFonts w:cs="Arial"/>
              </w:rPr>
              <w:t>administrative)</w:t>
            </w:r>
            <w:r w:rsidRPr="00B75FFA">
              <w:rPr>
                <w:rFonts w:cs="Arial"/>
                <w:spacing w:val="-58"/>
              </w:rPr>
              <w:t xml:space="preserve"> </w:t>
            </w:r>
            <w:r w:rsidRPr="00B75FFA">
              <w:rPr>
                <w:rFonts w:cs="Arial"/>
              </w:rPr>
              <w:t>that you gather or use as part of your work with the Service. The records may be paper,</w:t>
            </w:r>
            <w:r w:rsidRPr="00B75FFA">
              <w:rPr>
                <w:rFonts w:cs="Arial"/>
                <w:spacing w:val="1"/>
              </w:rPr>
              <w:t xml:space="preserve"> </w:t>
            </w:r>
            <w:r w:rsidRPr="00B75FFA">
              <w:rPr>
                <w:rFonts w:cs="Arial"/>
              </w:rPr>
              <w:t>electronic, audio or videotapes. You must consult your manager if you have any doubt as to</w:t>
            </w:r>
            <w:r w:rsidRPr="00B75FFA">
              <w:rPr>
                <w:rFonts w:cs="Arial"/>
                <w:spacing w:val="1"/>
              </w:rPr>
              <w:t xml:space="preserve"> </w:t>
            </w:r>
            <w:r w:rsidRPr="00B75FFA">
              <w:rPr>
                <w:rFonts w:cs="Arial"/>
              </w:rPr>
              <w:t>the</w:t>
            </w:r>
            <w:r w:rsidRPr="00B75FFA">
              <w:rPr>
                <w:rFonts w:cs="Arial"/>
                <w:spacing w:val="-1"/>
              </w:rPr>
              <w:t xml:space="preserve"> </w:t>
            </w:r>
            <w:r w:rsidRPr="00B75FFA">
              <w:rPr>
                <w:rFonts w:cs="Arial"/>
              </w:rPr>
              <w:t>correct management</w:t>
            </w:r>
            <w:r w:rsidRPr="00B75FFA">
              <w:rPr>
                <w:rFonts w:cs="Arial"/>
                <w:spacing w:val="-2"/>
              </w:rPr>
              <w:t xml:space="preserve"> </w:t>
            </w:r>
            <w:r w:rsidRPr="00B75FFA">
              <w:rPr>
                <w:rFonts w:cs="Arial"/>
              </w:rPr>
              <w:t>of</w:t>
            </w:r>
            <w:r w:rsidRPr="00B75FFA">
              <w:rPr>
                <w:rFonts w:cs="Arial"/>
                <w:spacing w:val="2"/>
              </w:rPr>
              <w:t xml:space="preserve"> </w:t>
            </w:r>
            <w:r w:rsidRPr="00B75FFA">
              <w:rPr>
                <w:rFonts w:cs="Arial"/>
              </w:rPr>
              <w:t>the</w:t>
            </w:r>
            <w:r w:rsidRPr="00B75FFA">
              <w:rPr>
                <w:rFonts w:cs="Arial"/>
                <w:spacing w:val="-3"/>
              </w:rPr>
              <w:t xml:space="preserve"> </w:t>
            </w:r>
            <w:r w:rsidRPr="00B75FFA">
              <w:rPr>
                <w:rFonts w:cs="Arial"/>
              </w:rPr>
              <w:t>records</w:t>
            </w:r>
            <w:r w:rsidRPr="00B75FFA">
              <w:rPr>
                <w:rFonts w:cs="Arial"/>
                <w:spacing w:val="-2"/>
              </w:rPr>
              <w:t xml:space="preserve"> </w:t>
            </w:r>
            <w:r w:rsidRPr="00B75FFA">
              <w:rPr>
                <w:rFonts w:cs="Arial"/>
              </w:rPr>
              <w:t>with</w:t>
            </w:r>
            <w:r w:rsidRPr="00B75FFA">
              <w:rPr>
                <w:rFonts w:cs="Arial"/>
                <w:spacing w:val="1"/>
              </w:rPr>
              <w:t xml:space="preserve"> </w:t>
            </w:r>
            <w:r w:rsidRPr="00B75FFA">
              <w:rPr>
                <w:rFonts w:cs="Arial"/>
              </w:rPr>
              <w:t>which</w:t>
            </w:r>
            <w:r w:rsidRPr="00B75FFA">
              <w:rPr>
                <w:rFonts w:cs="Arial"/>
                <w:spacing w:val="2"/>
              </w:rPr>
              <w:t xml:space="preserve"> </w:t>
            </w:r>
            <w:r w:rsidRPr="00B75FFA">
              <w:rPr>
                <w:rFonts w:cs="Arial"/>
              </w:rPr>
              <w:t>you work.</w:t>
            </w:r>
          </w:p>
          <w:p w14:paraId="1178236B" w14:textId="77777777" w:rsidR="00F41C8D" w:rsidRPr="00B75FFA" w:rsidRDefault="00F41C8D" w:rsidP="00F41C8D">
            <w:pPr>
              <w:rPr>
                <w:rFonts w:cs="Arial"/>
              </w:rPr>
            </w:pPr>
            <w:r w:rsidRPr="00B75FFA">
              <w:rPr>
                <w:rFonts w:cs="Arial"/>
                <w:b/>
                <w:bCs/>
                <w:spacing w:val="-1"/>
              </w:rPr>
              <w:t>Confidentiality</w:t>
            </w:r>
            <w:r w:rsidRPr="00B75FFA">
              <w:rPr>
                <w:rFonts w:cs="Arial"/>
                <w:b/>
                <w:bCs/>
                <w:spacing w:val="-15"/>
              </w:rPr>
              <w:t xml:space="preserve"> </w:t>
            </w:r>
            <w:r w:rsidRPr="00B75FFA">
              <w:rPr>
                <w:rFonts w:cs="Arial"/>
                <w:b/>
                <w:bCs/>
              </w:rPr>
              <w:t>and</w:t>
            </w:r>
            <w:r w:rsidRPr="00B75FFA">
              <w:rPr>
                <w:rFonts w:cs="Arial"/>
                <w:b/>
                <w:bCs/>
                <w:spacing w:val="-12"/>
              </w:rPr>
              <w:t xml:space="preserve"> </w:t>
            </w:r>
            <w:r w:rsidRPr="00B75FFA">
              <w:rPr>
                <w:rFonts w:cs="Arial"/>
                <w:b/>
                <w:bCs/>
              </w:rPr>
              <w:t>Information</w:t>
            </w:r>
            <w:r w:rsidRPr="00B75FFA">
              <w:rPr>
                <w:rFonts w:cs="Arial"/>
                <w:b/>
                <w:bCs/>
                <w:spacing w:val="-13"/>
              </w:rPr>
              <w:t xml:space="preserve"> </w:t>
            </w:r>
            <w:r w:rsidRPr="00B75FFA">
              <w:rPr>
                <w:rFonts w:cs="Arial"/>
                <w:b/>
                <w:bCs/>
              </w:rPr>
              <w:t>Security</w:t>
            </w:r>
            <w:r w:rsidRPr="00B75FFA">
              <w:rPr>
                <w:rFonts w:cs="Arial"/>
                <w:spacing w:val="-16"/>
              </w:rPr>
              <w:t xml:space="preserve"> </w:t>
            </w:r>
            <w:r w:rsidRPr="00B75FFA">
              <w:rPr>
                <w:rFonts w:cs="Arial"/>
              </w:rPr>
              <w:t>-</w:t>
            </w:r>
            <w:r w:rsidRPr="00B75FFA">
              <w:rPr>
                <w:rFonts w:cs="Arial"/>
                <w:spacing w:val="-10"/>
              </w:rPr>
              <w:t xml:space="preserve"> </w:t>
            </w:r>
            <w:r w:rsidRPr="00B75FFA">
              <w:rPr>
                <w:rFonts w:cs="Arial"/>
              </w:rPr>
              <w:t>As</w:t>
            </w:r>
            <w:r w:rsidRPr="00B75FFA">
              <w:rPr>
                <w:rFonts w:cs="Arial"/>
                <w:spacing w:val="-11"/>
              </w:rPr>
              <w:t xml:space="preserve"> </w:t>
            </w:r>
            <w:r w:rsidRPr="00B75FFA">
              <w:rPr>
                <w:rFonts w:cs="Arial"/>
              </w:rPr>
              <w:t>a</w:t>
            </w:r>
            <w:r w:rsidRPr="00B75FFA">
              <w:rPr>
                <w:rFonts w:cs="Arial"/>
                <w:spacing w:val="-16"/>
              </w:rPr>
              <w:t xml:space="preserve"> </w:t>
            </w:r>
            <w:r w:rsidRPr="00B75FFA">
              <w:rPr>
                <w:rFonts w:cs="Arial"/>
              </w:rPr>
              <w:t>GMCA</w:t>
            </w:r>
            <w:r w:rsidRPr="00B75FFA">
              <w:rPr>
                <w:rFonts w:cs="Arial"/>
                <w:spacing w:val="-11"/>
              </w:rPr>
              <w:t xml:space="preserve"> </w:t>
            </w:r>
            <w:r w:rsidRPr="00B75FFA">
              <w:rPr>
                <w:rFonts w:cs="Arial"/>
              </w:rPr>
              <w:t>employee</w:t>
            </w:r>
            <w:r w:rsidRPr="00B75FFA">
              <w:rPr>
                <w:rFonts w:cs="Arial"/>
                <w:spacing w:val="-12"/>
              </w:rPr>
              <w:t xml:space="preserve"> </w:t>
            </w:r>
            <w:r w:rsidRPr="00B75FFA">
              <w:rPr>
                <w:rFonts w:cs="Arial"/>
              </w:rPr>
              <w:t>you</w:t>
            </w:r>
            <w:r w:rsidRPr="00B75FFA">
              <w:rPr>
                <w:rFonts w:cs="Arial"/>
                <w:spacing w:val="-12"/>
              </w:rPr>
              <w:t xml:space="preserve"> </w:t>
            </w:r>
            <w:r w:rsidRPr="00B75FFA">
              <w:rPr>
                <w:rFonts w:cs="Arial"/>
              </w:rPr>
              <w:t>are</w:t>
            </w:r>
            <w:r w:rsidRPr="00B75FFA">
              <w:rPr>
                <w:rFonts w:cs="Arial"/>
                <w:spacing w:val="-11"/>
              </w:rPr>
              <w:t xml:space="preserve"> </w:t>
            </w:r>
            <w:r w:rsidRPr="00B75FFA">
              <w:rPr>
                <w:rFonts w:cs="Arial"/>
              </w:rPr>
              <w:t>required</w:t>
            </w:r>
            <w:r w:rsidRPr="00B75FFA">
              <w:rPr>
                <w:rFonts w:cs="Arial"/>
                <w:spacing w:val="-15"/>
              </w:rPr>
              <w:t xml:space="preserve"> </w:t>
            </w:r>
            <w:r w:rsidRPr="00B75FFA">
              <w:rPr>
                <w:rFonts w:cs="Arial"/>
              </w:rPr>
              <w:t>to</w:t>
            </w:r>
            <w:r w:rsidRPr="00B75FFA">
              <w:rPr>
                <w:rFonts w:cs="Arial"/>
                <w:spacing w:val="-12"/>
              </w:rPr>
              <w:t xml:space="preserve"> </w:t>
            </w:r>
            <w:r w:rsidRPr="00B75FFA">
              <w:rPr>
                <w:rFonts w:cs="Arial"/>
              </w:rPr>
              <w:t>uphold</w:t>
            </w:r>
            <w:r w:rsidRPr="00B75FFA">
              <w:rPr>
                <w:rFonts w:cs="Arial"/>
                <w:spacing w:val="-58"/>
              </w:rPr>
              <w:t xml:space="preserve"> </w:t>
            </w:r>
            <w:r w:rsidRPr="00B75FFA">
              <w:rPr>
                <w:rFonts w:cs="Arial"/>
              </w:rPr>
              <w:t>the confidentiality of all records held by the GMCA, whether employee records or GMCA</w:t>
            </w:r>
            <w:r w:rsidRPr="00B75FFA">
              <w:rPr>
                <w:rFonts w:cs="Arial"/>
                <w:spacing w:val="1"/>
              </w:rPr>
              <w:t xml:space="preserve"> </w:t>
            </w:r>
            <w:r w:rsidRPr="00B75FFA">
              <w:rPr>
                <w:rFonts w:cs="Arial"/>
              </w:rPr>
              <w:t>information.</w:t>
            </w:r>
            <w:r w:rsidRPr="00B75FFA">
              <w:rPr>
                <w:rFonts w:cs="Arial"/>
                <w:spacing w:val="1"/>
              </w:rPr>
              <w:t xml:space="preserve"> </w:t>
            </w:r>
            <w:r w:rsidRPr="00B75FFA">
              <w:rPr>
                <w:rFonts w:cs="Arial"/>
              </w:rPr>
              <w:t>This</w:t>
            </w:r>
            <w:r w:rsidRPr="00B75FFA">
              <w:rPr>
                <w:rFonts w:cs="Arial"/>
                <w:spacing w:val="1"/>
              </w:rPr>
              <w:t xml:space="preserve"> </w:t>
            </w:r>
            <w:r w:rsidRPr="00B75FFA">
              <w:rPr>
                <w:rFonts w:cs="Arial"/>
              </w:rPr>
              <w:t>duty</w:t>
            </w:r>
            <w:r w:rsidRPr="00B75FFA">
              <w:rPr>
                <w:rFonts w:cs="Arial"/>
                <w:spacing w:val="1"/>
              </w:rPr>
              <w:t xml:space="preserve"> </w:t>
            </w:r>
            <w:r w:rsidRPr="00B75FFA">
              <w:rPr>
                <w:rFonts w:cs="Arial"/>
              </w:rPr>
              <w:t>lasts</w:t>
            </w:r>
            <w:r w:rsidRPr="00B75FFA">
              <w:rPr>
                <w:rFonts w:cs="Arial"/>
                <w:spacing w:val="1"/>
              </w:rPr>
              <w:t xml:space="preserve"> </w:t>
            </w:r>
            <w:r w:rsidRPr="00B75FFA">
              <w:rPr>
                <w:rFonts w:cs="Arial"/>
              </w:rPr>
              <w:t>indefinitely</w:t>
            </w:r>
            <w:r w:rsidRPr="00B75FFA">
              <w:rPr>
                <w:rFonts w:cs="Arial"/>
                <w:spacing w:val="1"/>
              </w:rPr>
              <w:t xml:space="preserve"> </w:t>
            </w:r>
            <w:r w:rsidRPr="00B75FFA">
              <w:rPr>
                <w:rFonts w:cs="Arial"/>
              </w:rPr>
              <w:t>and</w:t>
            </w:r>
            <w:r w:rsidRPr="00B75FFA">
              <w:rPr>
                <w:rFonts w:cs="Arial"/>
                <w:spacing w:val="1"/>
              </w:rPr>
              <w:t xml:space="preserve"> </w:t>
            </w:r>
            <w:r w:rsidRPr="00B75FFA">
              <w:rPr>
                <w:rFonts w:cs="Arial"/>
              </w:rPr>
              <w:t>will</w:t>
            </w:r>
            <w:r w:rsidRPr="00B75FFA">
              <w:rPr>
                <w:rFonts w:cs="Arial"/>
                <w:spacing w:val="1"/>
              </w:rPr>
              <w:t xml:space="preserve"> </w:t>
            </w:r>
            <w:r w:rsidRPr="00B75FFA">
              <w:rPr>
                <w:rFonts w:cs="Arial"/>
              </w:rPr>
              <w:t>continue</w:t>
            </w:r>
            <w:r w:rsidRPr="00B75FFA">
              <w:rPr>
                <w:rFonts w:cs="Arial"/>
                <w:spacing w:val="1"/>
              </w:rPr>
              <w:t xml:space="preserve"> </w:t>
            </w:r>
            <w:r w:rsidRPr="00B75FFA">
              <w:rPr>
                <w:rFonts w:cs="Arial"/>
              </w:rPr>
              <w:t>after</w:t>
            </w:r>
            <w:r w:rsidRPr="00B75FFA">
              <w:rPr>
                <w:rFonts w:cs="Arial"/>
                <w:spacing w:val="1"/>
              </w:rPr>
              <w:t xml:space="preserve"> </w:t>
            </w:r>
            <w:r w:rsidRPr="00B75FFA">
              <w:rPr>
                <w:rFonts w:cs="Arial"/>
              </w:rPr>
              <w:t>you</w:t>
            </w:r>
            <w:r w:rsidRPr="00B75FFA">
              <w:rPr>
                <w:rFonts w:cs="Arial"/>
                <w:spacing w:val="1"/>
              </w:rPr>
              <w:t xml:space="preserve"> </w:t>
            </w:r>
            <w:r w:rsidRPr="00B75FFA">
              <w:rPr>
                <w:rFonts w:cs="Arial"/>
              </w:rPr>
              <w:t>leave</w:t>
            </w:r>
            <w:r w:rsidRPr="00B75FFA">
              <w:rPr>
                <w:rFonts w:cs="Arial"/>
                <w:spacing w:val="1"/>
              </w:rPr>
              <w:t xml:space="preserve"> </w:t>
            </w:r>
            <w:r w:rsidRPr="00B75FFA">
              <w:rPr>
                <w:rFonts w:cs="Arial"/>
              </w:rPr>
              <w:t>the</w:t>
            </w:r>
            <w:r w:rsidRPr="00B75FFA">
              <w:rPr>
                <w:rFonts w:cs="Arial"/>
                <w:spacing w:val="1"/>
              </w:rPr>
              <w:t xml:space="preserve"> </w:t>
            </w:r>
            <w:r w:rsidRPr="00B75FFA">
              <w:rPr>
                <w:rFonts w:cs="Arial"/>
              </w:rPr>
              <w:t>GMCA</w:t>
            </w:r>
            <w:r w:rsidRPr="00B75FFA">
              <w:rPr>
                <w:rFonts w:cs="Arial"/>
                <w:spacing w:val="1"/>
              </w:rPr>
              <w:t xml:space="preserve"> </w:t>
            </w:r>
            <w:r w:rsidRPr="00B75FFA">
              <w:rPr>
                <w:rFonts w:cs="Arial"/>
              </w:rPr>
              <w:t>employment. All employees must maintain confidentiality and abide by the Data Protection</w:t>
            </w:r>
            <w:r w:rsidRPr="00B75FFA">
              <w:rPr>
                <w:rFonts w:cs="Arial"/>
                <w:spacing w:val="1"/>
              </w:rPr>
              <w:t xml:space="preserve"> </w:t>
            </w:r>
            <w:r w:rsidRPr="00B75FFA">
              <w:rPr>
                <w:rFonts w:cs="Arial"/>
              </w:rPr>
              <w:t>Act.</w:t>
            </w:r>
          </w:p>
          <w:p w14:paraId="48F38747" w14:textId="77777777" w:rsidR="00F41C8D" w:rsidRPr="00B75FFA" w:rsidRDefault="00F41C8D" w:rsidP="00F41C8D">
            <w:pPr>
              <w:rPr>
                <w:rFonts w:cs="Arial"/>
              </w:rPr>
            </w:pPr>
            <w:r w:rsidRPr="00B75FFA">
              <w:rPr>
                <w:rFonts w:cs="Arial"/>
                <w:b/>
                <w:bCs/>
              </w:rPr>
              <w:t>Data</w:t>
            </w:r>
            <w:r w:rsidRPr="00B75FFA">
              <w:rPr>
                <w:rFonts w:cs="Arial"/>
                <w:b/>
                <w:bCs/>
                <w:spacing w:val="1"/>
              </w:rPr>
              <w:t xml:space="preserve"> </w:t>
            </w:r>
            <w:r w:rsidRPr="00B75FFA">
              <w:rPr>
                <w:rFonts w:cs="Arial"/>
                <w:b/>
                <w:bCs/>
              </w:rPr>
              <w:t>Quality</w:t>
            </w:r>
            <w:r w:rsidRPr="00B75FFA">
              <w:rPr>
                <w:rFonts w:cs="Arial"/>
                <w:spacing w:val="1"/>
              </w:rPr>
              <w:t xml:space="preserve"> </w:t>
            </w:r>
            <w:r w:rsidRPr="00B75FFA">
              <w:rPr>
                <w:rFonts w:cs="Arial"/>
              </w:rPr>
              <w:t>-</w:t>
            </w:r>
            <w:r w:rsidRPr="00B75FFA">
              <w:rPr>
                <w:rFonts w:cs="Arial"/>
                <w:spacing w:val="1"/>
              </w:rPr>
              <w:t xml:space="preserve"> </w:t>
            </w:r>
            <w:r w:rsidRPr="00B75FFA">
              <w:rPr>
                <w:rFonts w:cs="Arial"/>
              </w:rPr>
              <w:t>All</w:t>
            </w:r>
            <w:r w:rsidRPr="00B75FFA">
              <w:rPr>
                <w:rFonts w:cs="Arial"/>
                <w:spacing w:val="1"/>
              </w:rPr>
              <w:t xml:space="preserve"> </w:t>
            </w:r>
            <w:r w:rsidRPr="00B75FFA">
              <w:rPr>
                <w:rFonts w:cs="Arial"/>
              </w:rPr>
              <w:t>staff</w:t>
            </w:r>
            <w:r w:rsidRPr="00B75FFA">
              <w:rPr>
                <w:rFonts w:cs="Arial"/>
                <w:spacing w:val="1"/>
              </w:rPr>
              <w:t xml:space="preserve"> </w:t>
            </w:r>
            <w:r w:rsidRPr="00B75FFA">
              <w:rPr>
                <w:rFonts w:cs="Arial"/>
              </w:rPr>
              <w:t>are</w:t>
            </w:r>
            <w:r w:rsidRPr="00B75FFA">
              <w:rPr>
                <w:rFonts w:cs="Arial"/>
                <w:spacing w:val="1"/>
              </w:rPr>
              <w:t xml:space="preserve"> </w:t>
            </w:r>
            <w:r w:rsidRPr="00B75FFA">
              <w:rPr>
                <w:rFonts w:cs="Arial"/>
              </w:rPr>
              <w:t>personally</w:t>
            </w:r>
            <w:r w:rsidRPr="00B75FFA">
              <w:rPr>
                <w:rFonts w:cs="Arial"/>
                <w:spacing w:val="1"/>
              </w:rPr>
              <w:t xml:space="preserve"> </w:t>
            </w:r>
            <w:r w:rsidRPr="00B75FFA">
              <w:rPr>
                <w:rFonts w:cs="Arial"/>
              </w:rPr>
              <w:t>responsible</w:t>
            </w:r>
            <w:r w:rsidRPr="00B75FFA">
              <w:rPr>
                <w:rFonts w:cs="Arial"/>
                <w:spacing w:val="1"/>
              </w:rPr>
              <w:t xml:space="preserve"> </w:t>
            </w:r>
            <w:r w:rsidRPr="00B75FFA">
              <w:rPr>
                <w:rFonts w:cs="Arial"/>
              </w:rPr>
              <w:t>for</w:t>
            </w:r>
            <w:r w:rsidRPr="00B75FFA">
              <w:rPr>
                <w:rFonts w:cs="Arial"/>
                <w:spacing w:val="1"/>
              </w:rPr>
              <w:t xml:space="preserve"> </w:t>
            </w:r>
            <w:r w:rsidRPr="00B75FFA">
              <w:rPr>
                <w:rFonts w:cs="Arial"/>
              </w:rPr>
              <w:t>the</w:t>
            </w:r>
            <w:r w:rsidRPr="00B75FFA">
              <w:rPr>
                <w:rFonts w:cs="Arial"/>
                <w:spacing w:val="1"/>
              </w:rPr>
              <w:t xml:space="preserve"> </w:t>
            </w:r>
            <w:r w:rsidRPr="00B75FFA">
              <w:rPr>
                <w:rFonts w:cs="Arial"/>
              </w:rPr>
              <w:t>quality</w:t>
            </w:r>
            <w:r w:rsidRPr="00B75FFA">
              <w:rPr>
                <w:rFonts w:cs="Arial"/>
                <w:spacing w:val="1"/>
              </w:rPr>
              <w:t xml:space="preserve"> </w:t>
            </w:r>
            <w:r w:rsidRPr="00B75FFA">
              <w:rPr>
                <w:rFonts w:cs="Arial"/>
              </w:rPr>
              <w:t>of</w:t>
            </w:r>
            <w:r w:rsidRPr="00B75FFA">
              <w:rPr>
                <w:rFonts w:cs="Arial"/>
                <w:spacing w:val="1"/>
              </w:rPr>
              <w:t xml:space="preserve"> </w:t>
            </w:r>
            <w:r w:rsidRPr="00B75FFA">
              <w:rPr>
                <w:rFonts w:cs="Arial"/>
              </w:rPr>
              <w:t>data</w:t>
            </w:r>
            <w:r w:rsidRPr="00B75FFA">
              <w:rPr>
                <w:rFonts w:cs="Arial"/>
                <w:spacing w:val="1"/>
              </w:rPr>
              <w:t xml:space="preserve"> </w:t>
            </w:r>
            <w:r w:rsidRPr="00B75FFA">
              <w:rPr>
                <w:rFonts w:cs="Arial"/>
              </w:rPr>
              <w:t>entered</w:t>
            </w:r>
            <w:r w:rsidRPr="00B75FFA">
              <w:rPr>
                <w:rFonts w:cs="Arial"/>
                <w:spacing w:val="1"/>
              </w:rPr>
              <w:t xml:space="preserve"> </w:t>
            </w:r>
            <w:r w:rsidRPr="00B75FFA">
              <w:rPr>
                <w:rFonts w:cs="Arial"/>
              </w:rPr>
              <w:t>by</w:t>
            </w:r>
            <w:r w:rsidRPr="00B75FFA">
              <w:rPr>
                <w:rFonts w:cs="Arial"/>
                <w:spacing w:val="1"/>
              </w:rPr>
              <w:t xml:space="preserve"> </w:t>
            </w:r>
            <w:r w:rsidRPr="00B75FFA">
              <w:rPr>
                <w:rFonts w:cs="Arial"/>
              </w:rPr>
              <w:t>themselves, or on their behalf, on GMCAs computerised systems or manual records (paper</w:t>
            </w:r>
            <w:r w:rsidRPr="00B75FFA">
              <w:rPr>
                <w:rFonts w:cs="Arial"/>
                <w:spacing w:val="1"/>
              </w:rPr>
              <w:t xml:space="preserve"> </w:t>
            </w:r>
            <w:r w:rsidRPr="00B75FFA">
              <w:rPr>
                <w:rFonts w:cs="Arial"/>
              </w:rPr>
              <w:t>records) and must ensure that such data is entered accurately and, in a timely manner, to</w:t>
            </w:r>
            <w:r w:rsidRPr="00B75FFA">
              <w:rPr>
                <w:rFonts w:cs="Arial"/>
                <w:spacing w:val="1"/>
              </w:rPr>
              <w:t xml:space="preserve"> </w:t>
            </w:r>
            <w:r w:rsidRPr="00B75FFA">
              <w:rPr>
                <w:rFonts w:cs="Arial"/>
              </w:rPr>
              <w:t>ensure high</w:t>
            </w:r>
            <w:r w:rsidRPr="00B75FFA">
              <w:rPr>
                <w:rFonts w:cs="Arial"/>
                <w:spacing w:val="-3"/>
              </w:rPr>
              <w:t xml:space="preserve"> </w:t>
            </w:r>
            <w:r w:rsidRPr="00B75FFA">
              <w:rPr>
                <w:rFonts w:cs="Arial"/>
              </w:rPr>
              <w:t>standards of data</w:t>
            </w:r>
            <w:r w:rsidRPr="00B75FFA">
              <w:rPr>
                <w:rFonts w:cs="Arial"/>
                <w:spacing w:val="-5"/>
              </w:rPr>
              <w:t xml:space="preserve"> </w:t>
            </w:r>
            <w:r w:rsidRPr="00B75FFA">
              <w:rPr>
                <w:rFonts w:cs="Arial"/>
              </w:rPr>
              <w:t>quality</w:t>
            </w:r>
            <w:r w:rsidRPr="00B75FFA">
              <w:rPr>
                <w:rFonts w:cs="Arial"/>
                <w:spacing w:val="-2"/>
              </w:rPr>
              <w:t xml:space="preserve"> </w:t>
            </w:r>
            <w:r w:rsidRPr="00B75FFA">
              <w:rPr>
                <w:rFonts w:cs="Arial"/>
              </w:rPr>
              <w:t>in accordance with Departmental protocols. To ensure data is handled in a secure manner protecting the confidentiality of any personal</w:t>
            </w:r>
            <w:r w:rsidRPr="00B75FFA">
              <w:rPr>
                <w:rFonts w:cs="Arial"/>
                <w:spacing w:val="1"/>
              </w:rPr>
              <w:t xml:space="preserve"> </w:t>
            </w:r>
            <w:r w:rsidRPr="00B75FFA">
              <w:rPr>
                <w:rFonts w:cs="Arial"/>
              </w:rPr>
              <w:t>data</w:t>
            </w:r>
            <w:r w:rsidRPr="00B75FFA">
              <w:rPr>
                <w:rFonts w:cs="Arial"/>
                <w:spacing w:val="-1"/>
              </w:rPr>
              <w:t xml:space="preserve"> </w:t>
            </w:r>
            <w:r w:rsidRPr="00B75FFA">
              <w:rPr>
                <w:rFonts w:cs="Arial"/>
              </w:rPr>
              <w:t>held in</w:t>
            </w:r>
            <w:r w:rsidRPr="00B75FFA">
              <w:rPr>
                <w:rFonts w:cs="Arial"/>
                <w:spacing w:val="-2"/>
              </w:rPr>
              <w:t xml:space="preserve"> </w:t>
            </w:r>
            <w:r w:rsidRPr="00B75FFA">
              <w:rPr>
                <w:rFonts w:cs="Arial"/>
              </w:rPr>
              <w:t>meeting</w:t>
            </w:r>
            <w:r w:rsidRPr="00B75FFA">
              <w:rPr>
                <w:rFonts w:cs="Arial"/>
                <w:spacing w:val="-1"/>
              </w:rPr>
              <w:t xml:space="preserve"> </w:t>
            </w:r>
            <w:r w:rsidRPr="00B75FFA">
              <w:rPr>
                <w:rFonts w:cs="Arial"/>
              </w:rPr>
              <w:t>the</w:t>
            </w:r>
            <w:r w:rsidRPr="00B75FFA">
              <w:rPr>
                <w:rFonts w:cs="Arial"/>
                <w:spacing w:val="-4"/>
              </w:rPr>
              <w:t xml:space="preserve"> </w:t>
            </w:r>
            <w:r w:rsidRPr="00B75FFA">
              <w:rPr>
                <w:rFonts w:cs="Arial"/>
              </w:rPr>
              <w:t>requirements</w:t>
            </w:r>
            <w:r w:rsidRPr="00B75FFA">
              <w:rPr>
                <w:rFonts w:cs="Arial"/>
                <w:spacing w:val="-1"/>
              </w:rPr>
              <w:t xml:space="preserve"> </w:t>
            </w:r>
            <w:r w:rsidRPr="00B75FFA">
              <w:rPr>
                <w:rFonts w:cs="Arial"/>
              </w:rPr>
              <w:t>of</w:t>
            </w:r>
            <w:r w:rsidRPr="00B75FFA">
              <w:rPr>
                <w:rFonts w:cs="Arial"/>
                <w:spacing w:val="2"/>
              </w:rPr>
              <w:t xml:space="preserve"> </w:t>
            </w:r>
            <w:r w:rsidRPr="00B75FFA">
              <w:rPr>
                <w:rFonts w:cs="Arial"/>
              </w:rPr>
              <w:t>the</w:t>
            </w:r>
            <w:r w:rsidRPr="00B75FFA">
              <w:rPr>
                <w:rFonts w:cs="Arial"/>
                <w:spacing w:val="-3"/>
              </w:rPr>
              <w:t xml:space="preserve"> </w:t>
            </w:r>
            <w:r w:rsidRPr="00B75FFA">
              <w:rPr>
                <w:rFonts w:cs="Arial"/>
              </w:rPr>
              <w:t>Data</w:t>
            </w:r>
            <w:r w:rsidRPr="00B75FFA">
              <w:rPr>
                <w:rFonts w:cs="Arial"/>
                <w:spacing w:val="-1"/>
              </w:rPr>
              <w:t xml:space="preserve"> </w:t>
            </w:r>
            <w:r w:rsidRPr="00B75FFA">
              <w:rPr>
                <w:rFonts w:cs="Arial"/>
              </w:rPr>
              <w:t>Protection</w:t>
            </w:r>
            <w:r w:rsidRPr="00B75FFA">
              <w:rPr>
                <w:rFonts w:cs="Arial"/>
                <w:spacing w:val="1"/>
              </w:rPr>
              <w:t xml:space="preserve"> </w:t>
            </w:r>
            <w:r w:rsidRPr="00B75FFA">
              <w:rPr>
                <w:rFonts w:cs="Arial"/>
              </w:rPr>
              <w:t>Act.</w:t>
            </w:r>
          </w:p>
          <w:p w14:paraId="41998C9A" w14:textId="77777777" w:rsidR="00F41C8D" w:rsidRPr="00B75FFA" w:rsidRDefault="00F41C8D" w:rsidP="00F41C8D">
            <w:pPr>
              <w:rPr>
                <w:rFonts w:cs="Arial"/>
              </w:rPr>
            </w:pPr>
            <w:r w:rsidRPr="00B75FFA">
              <w:rPr>
                <w:rFonts w:cs="Arial"/>
                <w:b/>
                <w:bCs/>
              </w:rPr>
              <w:t>Health and Safety</w:t>
            </w:r>
            <w:r w:rsidRPr="00B75FFA">
              <w:rPr>
                <w:rFonts w:cs="Arial"/>
              </w:rPr>
              <w:t xml:space="preserve"> - All employees of GMCA have a statutory duty of care for their own</w:t>
            </w:r>
            <w:r w:rsidRPr="00B75FFA">
              <w:rPr>
                <w:rFonts w:cs="Arial"/>
                <w:spacing w:val="1"/>
              </w:rPr>
              <w:t xml:space="preserve"> </w:t>
            </w:r>
            <w:r w:rsidRPr="00B75FFA">
              <w:rPr>
                <w:rFonts w:cs="Arial"/>
              </w:rPr>
              <w:t>personal</w:t>
            </w:r>
            <w:r w:rsidRPr="00B75FFA">
              <w:rPr>
                <w:rFonts w:cs="Arial"/>
                <w:spacing w:val="-9"/>
              </w:rPr>
              <w:t xml:space="preserve"> </w:t>
            </w:r>
            <w:r w:rsidRPr="00B75FFA">
              <w:rPr>
                <w:rFonts w:cs="Arial"/>
              </w:rPr>
              <w:t>safety</w:t>
            </w:r>
            <w:r w:rsidRPr="00B75FFA">
              <w:rPr>
                <w:rFonts w:cs="Arial"/>
                <w:spacing w:val="-9"/>
              </w:rPr>
              <w:t xml:space="preserve"> </w:t>
            </w:r>
            <w:r w:rsidRPr="00B75FFA">
              <w:rPr>
                <w:rFonts w:cs="Arial"/>
              </w:rPr>
              <w:t>and</w:t>
            </w:r>
            <w:r w:rsidRPr="00B75FFA">
              <w:rPr>
                <w:rFonts w:cs="Arial"/>
                <w:spacing w:val="-8"/>
              </w:rPr>
              <w:t xml:space="preserve"> </w:t>
            </w:r>
            <w:r w:rsidRPr="00B75FFA">
              <w:rPr>
                <w:rFonts w:cs="Arial"/>
              </w:rPr>
              <w:t>that</w:t>
            </w:r>
            <w:r w:rsidRPr="00B75FFA">
              <w:rPr>
                <w:rFonts w:cs="Arial"/>
                <w:spacing w:val="-9"/>
              </w:rPr>
              <w:t xml:space="preserve"> </w:t>
            </w:r>
            <w:r w:rsidRPr="00B75FFA">
              <w:rPr>
                <w:rFonts w:cs="Arial"/>
              </w:rPr>
              <w:t>of</w:t>
            </w:r>
            <w:r w:rsidRPr="00B75FFA">
              <w:rPr>
                <w:rFonts w:cs="Arial"/>
                <w:spacing w:val="-3"/>
              </w:rPr>
              <w:t xml:space="preserve"> </w:t>
            </w:r>
            <w:r w:rsidRPr="00B75FFA">
              <w:rPr>
                <w:rFonts w:cs="Arial"/>
              </w:rPr>
              <w:t>others</w:t>
            </w:r>
            <w:r w:rsidRPr="00B75FFA">
              <w:rPr>
                <w:rFonts w:cs="Arial"/>
                <w:spacing w:val="-7"/>
              </w:rPr>
              <w:t xml:space="preserve"> </w:t>
            </w:r>
            <w:r w:rsidRPr="00B75FFA">
              <w:rPr>
                <w:rFonts w:cs="Arial"/>
              </w:rPr>
              <w:t>who</w:t>
            </w:r>
            <w:r w:rsidRPr="00B75FFA">
              <w:rPr>
                <w:rFonts w:cs="Arial"/>
                <w:spacing w:val="-7"/>
              </w:rPr>
              <w:t xml:space="preserve"> </w:t>
            </w:r>
            <w:r w:rsidRPr="00B75FFA">
              <w:rPr>
                <w:rFonts w:cs="Arial"/>
              </w:rPr>
              <w:t>may</w:t>
            </w:r>
            <w:r w:rsidRPr="00B75FFA">
              <w:rPr>
                <w:rFonts w:cs="Arial"/>
                <w:spacing w:val="-10"/>
              </w:rPr>
              <w:t xml:space="preserve"> </w:t>
            </w:r>
            <w:r w:rsidRPr="00B75FFA">
              <w:rPr>
                <w:rFonts w:cs="Arial"/>
              </w:rPr>
              <w:t>be</w:t>
            </w:r>
            <w:r w:rsidRPr="00B75FFA">
              <w:rPr>
                <w:rFonts w:cs="Arial"/>
                <w:spacing w:val="-8"/>
              </w:rPr>
              <w:t xml:space="preserve"> </w:t>
            </w:r>
            <w:r w:rsidRPr="00B75FFA">
              <w:rPr>
                <w:rFonts w:cs="Arial"/>
              </w:rPr>
              <w:t>affected</w:t>
            </w:r>
            <w:r w:rsidRPr="00B75FFA">
              <w:rPr>
                <w:rFonts w:cs="Arial"/>
                <w:spacing w:val="-7"/>
              </w:rPr>
              <w:t xml:space="preserve"> </w:t>
            </w:r>
            <w:r w:rsidRPr="00B75FFA">
              <w:rPr>
                <w:rFonts w:cs="Arial"/>
              </w:rPr>
              <w:t>by</w:t>
            </w:r>
            <w:r w:rsidRPr="00B75FFA">
              <w:rPr>
                <w:rFonts w:cs="Arial"/>
                <w:spacing w:val="-10"/>
              </w:rPr>
              <w:t xml:space="preserve"> </w:t>
            </w:r>
            <w:r w:rsidRPr="00B75FFA">
              <w:rPr>
                <w:rFonts w:cs="Arial"/>
              </w:rPr>
              <w:t>their</w:t>
            </w:r>
            <w:r w:rsidRPr="00B75FFA">
              <w:rPr>
                <w:rFonts w:cs="Arial"/>
                <w:spacing w:val="-6"/>
              </w:rPr>
              <w:t xml:space="preserve"> </w:t>
            </w:r>
            <w:r w:rsidRPr="00B75FFA">
              <w:rPr>
                <w:rFonts w:cs="Arial"/>
              </w:rPr>
              <w:t>acts</w:t>
            </w:r>
            <w:r w:rsidRPr="00B75FFA">
              <w:rPr>
                <w:rFonts w:cs="Arial"/>
                <w:spacing w:val="-7"/>
              </w:rPr>
              <w:t xml:space="preserve"> </w:t>
            </w:r>
            <w:r w:rsidRPr="00B75FFA">
              <w:rPr>
                <w:rFonts w:cs="Arial"/>
              </w:rPr>
              <w:t>or</w:t>
            </w:r>
            <w:r w:rsidRPr="00B75FFA">
              <w:rPr>
                <w:rFonts w:cs="Arial"/>
                <w:spacing w:val="-6"/>
              </w:rPr>
              <w:t xml:space="preserve"> </w:t>
            </w:r>
            <w:r w:rsidRPr="00B75FFA">
              <w:rPr>
                <w:rFonts w:cs="Arial"/>
              </w:rPr>
              <w:t>omissions.</w:t>
            </w:r>
            <w:r w:rsidRPr="00B75FFA">
              <w:rPr>
                <w:rFonts w:cs="Arial"/>
                <w:spacing w:val="-5"/>
              </w:rPr>
              <w:t xml:space="preserve"> </w:t>
            </w:r>
            <w:r w:rsidRPr="00B75FFA">
              <w:rPr>
                <w:rFonts w:cs="Arial"/>
              </w:rPr>
              <w:t>Employees</w:t>
            </w:r>
            <w:r w:rsidRPr="00B75FFA">
              <w:rPr>
                <w:rFonts w:cs="Arial"/>
                <w:spacing w:val="-59"/>
              </w:rPr>
              <w:t xml:space="preserve"> </w:t>
            </w:r>
            <w:r w:rsidRPr="00B75FFA">
              <w:rPr>
                <w:rFonts w:cs="Arial"/>
              </w:rPr>
              <w:t>are required to co-operate with management to enable GMCA to meet its own legal duties</w:t>
            </w:r>
            <w:r w:rsidRPr="00B75FFA">
              <w:rPr>
                <w:rFonts w:cs="Arial"/>
                <w:spacing w:val="1"/>
              </w:rPr>
              <w:t xml:space="preserve"> </w:t>
            </w:r>
            <w:r w:rsidRPr="00B75FFA">
              <w:rPr>
                <w:rFonts w:cs="Arial"/>
              </w:rPr>
              <w:t>and</w:t>
            </w:r>
            <w:r w:rsidRPr="00B75FFA">
              <w:rPr>
                <w:rFonts w:cs="Arial"/>
                <w:spacing w:val="-5"/>
              </w:rPr>
              <w:t xml:space="preserve"> </w:t>
            </w:r>
            <w:r w:rsidRPr="00B75FFA">
              <w:rPr>
                <w:rFonts w:cs="Arial"/>
              </w:rPr>
              <w:t>to</w:t>
            </w:r>
            <w:r w:rsidRPr="00B75FFA">
              <w:rPr>
                <w:rFonts w:cs="Arial"/>
                <w:spacing w:val="-5"/>
              </w:rPr>
              <w:t xml:space="preserve"> </w:t>
            </w:r>
            <w:r w:rsidRPr="00B75FFA">
              <w:rPr>
                <w:rFonts w:cs="Arial"/>
              </w:rPr>
              <w:t>report</w:t>
            </w:r>
            <w:r w:rsidRPr="00B75FFA">
              <w:rPr>
                <w:rFonts w:cs="Arial"/>
                <w:spacing w:val="-4"/>
              </w:rPr>
              <w:t xml:space="preserve"> </w:t>
            </w:r>
            <w:r w:rsidRPr="00B75FFA">
              <w:rPr>
                <w:rFonts w:cs="Arial"/>
              </w:rPr>
              <w:t>any</w:t>
            </w:r>
            <w:r w:rsidRPr="00B75FFA">
              <w:rPr>
                <w:rFonts w:cs="Arial"/>
                <w:spacing w:val="-8"/>
              </w:rPr>
              <w:t xml:space="preserve"> </w:t>
            </w:r>
            <w:r w:rsidRPr="00B75FFA">
              <w:rPr>
                <w:rFonts w:cs="Arial"/>
              </w:rPr>
              <w:t>circumstances</w:t>
            </w:r>
            <w:r w:rsidRPr="00B75FFA">
              <w:rPr>
                <w:rFonts w:cs="Arial"/>
                <w:spacing w:val="-7"/>
              </w:rPr>
              <w:t xml:space="preserve"> </w:t>
            </w:r>
            <w:r w:rsidRPr="00B75FFA">
              <w:rPr>
                <w:rFonts w:cs="Arial"/>
              </w:rPr>
              <w:t>that</w:t>
            </w:r>
            <w:r w:rsidRPr="00B75FFA">
              <w:rPr>
                <w:rFonts w:cs="Arial"/>
                <w:spacing w:val="-5"/>
              </w:rPr>
              <w:t xml:space="preserve"> </w:t>
            </w:r>
            <w:r w:rsidRPr="00B75FFA">
              <w:rPr>
                <w:rFonts w:cs="Arial"/>
              </w:rPr>
              <w:t>may</w:t>
            </w:r>
            <w:r w:rsidRPr="00B75FFA">
              <w:rPr>
                <w:rFonts w:cs="Arial"/>
                <w:spacing w:val="-8"/>
              </w:rPr>
              <w:t xml:space="preserve"> </w:t>
            </w:r>
            <w:r w:rsidRPr="00B75FFA">
              <w:rPr>
                <w:rFonts w:cs="Arial"/>
              </w:rPr>
              <w:t>compromise</w:t>
            </w:r>
            <w:r w:rsidRPr="00B75FFA">
              <w:rPr>
                <w:rFonts w:cs="Arial"/>
                <w:spacing w:val="-4"/>
              </w:rPr>
              <w:t xml:space="preserve"> </w:t>
            </w:r>
            <w:r w:rsidRPr="00B75FFA">
              <w:rPr>
                <w:rFonts w:cs="Arial"/>
              </w:rPr>
              <w:t>the</w:t>
            </w:r>
            <w:r w:rsidRPr="00B75FFA">
              <w:rPr>
                <w:rFonts w:cs="Arial"/>
                <w:spacing w:val="-6"/>
              </w:rPr>
              <w:t xml:space="preserve"> </w:t>
            </w:r>
            <w:r w:rsidRPr="00B75FFA">
              <w:rPr>
                <w:rFonts w:cs="Arial"/>
              </w:rPr>
              <w:t>health,</w:t>
            </w:r>
            <w:r w:rsidRPr="00B75FFA">
              <w:rPr>
                <w:rFonts w:cs="Arial"/>
                <w:spacing w:val="-4"/>
              </w:rPr>
              <w:t xml:space="preserve"> </w:t>
            </w:r>
            <w:r w:rsidRPr="00B75FFA">
              <w:rPr>
                <w:rFonts w:cs="Arial"/>
              </w:rPr>
              <w:t>safety</w:t>
            </w:r>
            <w:r w:rsidRPr="00B75FFA">
              <w:rPr>
                <w:rFonts w:cs="Arial"/>
                <w:spacing w:val="-7"/>
              </w:rPr>
              <w:t xml:space="preserve"> </w:t>
            </w:r>
            <w:r w:rsidRPr="00B75FFA">
              <w:rPr>
                <w:rFonts w:cs="Arial"/>
              </w:rPr>
              <w:t>and</w:t>
            </w:r>
            <w:r w:rsidRPr="00B75FFA">
              <w:rPr>
                <w:rFonts w:cs="Arial"/>
                <w:spacing w:val="-5"/>
              </w:rPr>
              <w:t xml:space="preserve"> </w:t>
            </w:r>
            <w:r w:rsidRPr="00B75FFA">
              <w:rPr>
                <w:rFonts w:cs="Arial"/>
              </w:rPr>
              <w:t>welfare</w:t>
            </w:r>
            <w:r w:rsidRPr="00B75FFA">
              <w:rPr>
                <w:rFonts w:cs="Arial"/>
                <w:spacing w:val="-4"/>
              </w:rPr>
              <w:t xml:space="preserve"> </w:t>
            </w:r>
            <w:r w:rsidRPr="00B75FFA">
              <w:rPr>
                <w:rFonts w:cs="Arial"/>
              </w:rPr>
              <w:t>of</w:t>
            </w:r>
            <w:r w:rsidRPr="00B75FFA">
              <w:rPr>
                <w:rFonts w:cs="Arial"/>
                <w:spacing w:val="-4"/>
              </w:rPr>
              <w:t xml:space="preserve"> </w:t>
            </w:r>
            <w:r w:rsidRPr="00B75FFA">
              <w:rPr>
                <w:rFonts w:cs="Arial"/>
              </w:rPr>
              <w:t>those</w:t>
            </w:r>
            <w:r w:rsidRPr="00B75FFA">
              <w:rPr>
                <w:rFonts w:cs="Arial"/>
                <w:spacing w:val="-59"/>
              </w:rPr>
              <w:t xml:space="preserve"> </w:t>
            </w:r>
            <w:r w:rsidRPr="00B75FFA">
              <w:rPr>
                <w:rFonts w:cs="Arial"/>
              </w:rPr>
              <w:t>affected by</w:t>
            </w:r>
            <w:r w:rsidRPr="00B75FFA">
              <w:rPr>
                <w:rFonts w:cs="Arial"/>
                <w:spacing w:val="-4"/>
              </w:rPr>
              <w:t xml:space="preserve"> </w:t>
            </w:r>
            <w:r w:rsidRPr="00B75FFA">
              <w:rPr>
                <w:rFonts w:cs="Arial"/>
              </w:rPr>
              <w:t>the Service’s</w:t>
            </w:r>
            <w:r w:rsidRPr="00B75FFA">
              <w:rPr>
                <w:rFonts w:cs="Arial"/>
                <w:spacing w:val="2"/>
              </w:rPr>
              <w:t xml:space="preserve"> </w:t>
            </w:r>
            <w:r w:rsidRPr="00B75FFA">
              <w:rPr>
                <w:rFonts w:cs="Arial"/>
              </w:rPr>
              <w:t>undertakings.</w:t>
            </w:r>
          </w:p>
          <w:p w14:paraId="3AB3D9AB" w14:textId="77777777" w:rsidR="00F41C8D" w:rsidRPr="00B75FFA" w:rsidRDefault="00F41C8D" w:rsidP="00F41C8D">
            <w:pPr>
              <w:rPr>
                <w:rFonts w:cs="Arial"/>
              </w:rPr>
            </w:pPr>
            <w:r w:rsidRPr="00B75FFA">
              <w:rPr>
                <w:rFonts w:cs="Arial"/>
                <w:b/>
                <w:bCs/>
              </w:rPr>
              <w:t>Service Policies</w:t>
            </w:r>
            <w:r w:rsidRPr="00B75FFA">
              <w:rPr>
                <w:rFonts w:cs="Arial"/>
              </w:rPr>
              <w:t xml:space="preserve"> - All GMCA employees must observe and adhere to the provisions outlined</w:t>
            </w:r>
            <w:r w:rsidRPr="00B75FFA">
              <w:rPr>
                <w:rFonts w:cs="Arial"/>
                <w:spacing w:val="-59"/>
              </w:rPr>
              <w:t xml:space="preserve"> </w:t>
            </w:r>
            <w:r w:rsidRPr="00B75FFA">
              <w:rPr>
                <w:rFonts w:cs="Arial"/>
              </w:rPr>
              <w:t>in</w:t>
            </w:r>
            <w:r w:rsidRPr="00B75FFA">
              <w:rPr>
                <w:rFonts w:cs="Arial"/>
                <w:spacing w:val="-1"/>
              </w:rPr>
              <w:t xml:space="preserve"> </w:t>
            </w:r>
            <w:r w:rsidRPr="00B75FFA">
              <w:rPr>
                <w:rFonts w:cs="Arial"/>
              </w:rPr>
              <w:t>these policies.</w:t>
            </w:r>
          </w:p>
          <w:p w14:paraId="20B25A47" w14:textId="77777777" w:rsidR="00F41C8D" w:rsidRPr="00B75FFA" w:rsidRDefault="00F41C8D" w:rsidP="00F41C8D">
            <w:pPr>
              <w:rPr>
                <w:rFonts w:cs="Arial"/>
              </w:rPr>
            </w:pPr>
            <w:r w:rsidRPr="00B75FFA">
              <w:rPr>
                <w:rFonts w:cs="Arial"/>
                <w:b/>
                <w:bCs/>
              </w:rPr>
              <w:t>Equal Opportunities</w:t>
            </w:r>
            <w:r w:rsidRPr="00B75FFA">
              <w:rPr>
                <w:rFonts w:cs="Arial"/>
              </w:rPr>
              <w:t xml:space="preserve"> - GMCA provides a range of services and employment</w:t>
            </w:r>
            <w:r w:rsidRPr="00B75FFA">
              <w:rPr>
                <w:rFonts w:cs="Arial"/>
                <w:spacing w:val="1"/>
              </w:rPr>
              <w:t xml:space="preserve"> </w:t>
            </w:r>
            <w:r w:rsidRPr="00B75FFA">
              <w:rPr>
                <w:rFonts w:cs="Arial"/>
              </w:rPr>
              <w:t xml:space="preserve">opportunities for a diverse population. As a GMCA employee you are expected to treat </w:t>
            </w:r>
            <w:proofErr w:type="gramStart"/>
            <w:r w:rsidRPr="00B75FFA">
              <w:rPr>
                <w:rFonts w:cs="Arial"/>
              </w:rPr>
              <w:t xml:space="preserve">all </w:t>
            </w:r>
            <w:r w:rsidRPr="00B75FFA">
              <w:rPr>
                <w:rFonts w:cs="Arial"/>
                <w:spacing w:val="-59"/>
              </w:rPr>
              <w:t xml:space="preserve"> </w:t>
            </w:r>
            <w:r w:rsidRPr="00B75FFA">
              <w:rPr>
                <w:rFonts w:cs="Arial"/>
              </w:rPr>
              <w:t>employees</w:t>
            </w:r>
            <w:proofErr w:type="gramEnd"/>
            <w:r w:rsidRPr="00B75FFA">
              <w:rPr>
                <w:rFonts w:cs="Arial"/>
              </w:rPr>
              <w:t xml:space="preserve"> / partners / members of the public and work colleagues with dignity and</w:t>
            </w:r>
            <w:r w:rsidRPr="00B75FFA">
              <w:rPr>
                <w:rFonts w:cs="Arial"/>
                <w:spacing w:val="1"/>
              </w:rPr>
              <w:t xml:space="preserve"> </w:t>
            </w:r>
            <w:r w:rsidRPr="00B75FFA">
              <w:rPr>
                <w:rFonts w:cs="Arial"/>
              </w:rPr>
              <w:t>respect</w:t>
            </w:r>
            <w:r w:rsidRPr="00B75FFA">
              <w:rPr>
                <w:rFonts w:cs="Arial"/>
                <w:spacing w:val="-2"/>
              </w:rPr>
              <w:t xml:space="preserve"> </w:t>
            </w:r>
            <w:r w:rsidRPr="00B75FFA">
              <w:rPr>
                <w:rFonts w:cs="Arial"/>
              </w:rPr>
              <w:t>irrespective</w:t>
            </w:r>
            <w:r w:rsidRPr="00B75FFA">
              <w:rPr>
                <w:rFonts w:cs="Arial"/>
                <w:spacing w:val="1"/>
              </w:rPr>
              <w:t xml:space="preserve"> </w:t>
            </w:r>
            <w:r w:rsidRPr="00B75FFA">
              <w:rPr>
                <w:rFonts w:cs="Arial"/>
              </w:rPr>
              <w:t>of</w:t>
            </w:r>
            <w:r w:rsidRPr="00B75FFA">
              <w:rPr>
                <w:rFonts w:cs="Arial"/>
                <w:spacing w:val="2"/>
              </w:rPr>
              <w:t xml:space="preserve"> </w:t>
            </w:r>
            <w:r w:rsidRPr="00B75FFA">
              <w:rPr>
                <w:rFonts w:cs="Arial"/>
              </w:rPr>
              <w:t>their</w:t>
            </w:r>
            <w:r w:rsidRPr="00B75FFA">
              <w:rPr>
                <w:rFonts w:cs="Arial"/>
                <w:spacing w:val="2"/>
              </w:rPr>
              <w:t xml:space="preserve"> </w:t>
            </w:r>
            <w:r w:rsidRPr="00B75FFA">
              <w:rPr>
                <w:rFonts w:cs="Arial"/>
              </w:rPr>
              <w:t>background.</w:t>
            </w:r>
          </w:p>
          <w:p w14:paraId="6BB5C087" w14:textId="77777777" w:rsidR="005A59EB" w:rsidRPr="00B75FFA" w:rsidRDefault="005A59EB">
            <w:pPr>
              <w:rPr>
                <w:b/>
                <w:bCs/>
                <w:color w:val="FFFFFF" w:themeColor="background1"/>
              </w:rPr>
            </w:pPr>
          </w:p>
        </w:tc>
      </w:tr>
    </w:tbl>
    <w:p w14:paraId="30E520C7" w14:textId="77777777" w:rsidR="00B04D76" w:rsidRDefault="00B04D76" w:rsidP="00F53E32">
      <w:pPr>
        <w:spacing w:after="0" w:line="240" w:lineRule="auto"/>
        <w:contextualSpacing/>
      </w:pPr>
    </w:p>
    <w:sectPr w:rsidR="00B04D76" w:rsidSect="00652E36">
      <w:headerReference w:type="default" r:id="rId7"/>
      <w:pgSz w:w="11906" w:h="16838"/>
      <w:pgMar w:top="1440" w:right="1440" w:bottom="1440" w:left="1440" w:header="90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6BB03" w14:textId="77777777" w:rsidR="00261E58" w:rsidRDefault="00261E58" w:rsidP="0014337A">
      <w:pPr>
        <w:spacing w:after="0" w:line="240" w:lineRule="auto"/>
      </w:pPr>
      <w:r>
        <w:separator/>
      </w:r>
    </w:p>
  </w:endnote>
  <w:endnote w:type="continuationSeparator" w:id="0">
    <w:p w14:paraId="3724E4FC" w14:textId="77777777" w:rsidR="00261E58" w:rsidRDefault="00261E58" w:rsidP="00143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F276E" w14:textId="77777777" w:rsidR="00261E58" w:rsidRDefault="00261E58" w:rsidP="0014337A">
      <w:pPr>
        <w:spacing w:after="0" w:line="240" w:lineRule="auto"/>
      </w:pPr>
      <w:r>
        <w:separator/>
      </w:r>
    </w:p>
  </w:footnote>
  <w:footnote w:type="continuationSeparator" w:id="0">
    <w:p w14:paraId="29FCBC62" w14:textId="77777777" w:rsidR="00261E58" w:rsidRDefault="00261E58" w:rsidP="00143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FBC9A" w14:textId="0766FF81" w:rsidR="00652E36" w:rsidRPr="00145E6A" w:rsidRDefault="00652E36" w:rsidP="00652E36">
    <w:pPr>
      <w:pStyle w:val="Header"/>
    </w:pPr>
    <w:r w:rsidRPr="00145E6A">
      <w:rPr>
        <w:noProof/>
      </w:rPr>
      <w:drawing>
        <wp:anchor distT="0" distB="0" distL="114300" distR="114300" simplePos="0" relativeHeight="251659776" behindDoc="0" locked="0" layoutInCell="1" allowOverlap="1" wp14:anchorId="49CC9367" wp14:editId="682DA0A3">
          <wp:simplePos x="0" y="0"/>
          <wp:positionH relativeFrom="margin">
            <wp:align>right</wp:align>
          </wp:positionH>
          <wp:positionV relativeFrom="paragraph">
            <wp:posOffset>-220345</wp:posOffset>
          </wp:positionV>
          <wp:extent cx="2191077" cy="687070"/>
          <wp:effectExtent l="0" t="0" r="0" b="0"/>
          <wp:wrapSquare wrapText="bothSides"/>
          <wp:docPr id="1760405621" name="Picture 17604056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1077" cy="687070"/>
                  </a:xfrm>
                  <a:prstGeom prst="rect">
                    <a:avLst/>
                  </a:prstGeom>
                </pic:spPr>
              </pic:pic>
            </a:graphicData>
          </a:graphic>
        </wp:anchor>
      </w:drawing>
    </w:r>
    <w:r w:rsidRPr="00652E36">
      <w:t xml:space="preserve"> </w:t>
    </w:r>
    <w:r>
      <w:t>Date of last r</w:t>
    </w:r>
    <w:r w:rsidRPr="00145E6A">
      <w:t xml:space="preserve">eview: </w:t>
    </w:r>
    <w:r>
      <w:t xml:space="preserve">October </w:t>
    </w:r>
    <w:r w:rsidRPr="00145E6A">
      <w:t>202</w:t>
    </w:r>
    <w:r w:rsidR="00C132AE">
      <w:t>5</w:t>
    </w:r>
    <w:r w:rsidRPr="00145E6A">
      <w:t xml:space="preserve"> </w:t>
    </w:r>
  </w:p>
  <w:p w14:paraId="06034B53" w14:textId="77777777" w:rsidR="00652E36" w:rsidRDefault="00652E36" w:rsidP="00652E36">
    <w:pPr>
      <w:pStyle w:val="Header"/>
    </w:pPr>
  </w:p>
  <w:p w14:paraId="7C3AE298" w14:textId="476D5E6F" w:rsidR="0014337A" w:rsidRDefault="00143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F0A8D"/>
    <w:multiLevelType w:val="hybridMultilevel"/>
    <w:tmpl w:val="03D41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613E32"/>
    <w:multiLevelType w:val="multilevel"/>
    <w:tmpl w:val="A9D6F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643CB8"/>
    <w:multiLevelType w:val="multilevel"/>
    <w:tmpl w:val="325EB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A641E1"/>
    <w:multiLevelType w:val="hybridMultilevel"/>
    <w:tmpl w:val="48D44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C701DF"/>
    <w:multiLevelType w:val="multilevel"/>
    <w:tmpl w:val="E9BEA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F84B18"/>
    <w:multiLevelType w:val="multilevel"/>
    <w:tmpl w:val="4E1C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35839A9"/>
    <w:multiLevelType w:val="multilevel"/>
    <w:tmpl w:val="77C8A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F595F29"/>
    <w:multiLevelType w:val="multilevel"/>
    <w:tmpl w:val="008E8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5336930">
    <w:abstractNumId w:val="5"/>
  </w:num>
  <w:num w:numId="2" w16cid:durableId="1587689640">
    <w:abstractNumId w:val="1"/>
  </w:num>
  <w:num w:numId="3" w16cid:durableId="549659469">
    <w:abstractNumId w:val="7"/>
  </w:num>
  <w:num w:numId="4" w16cid:durableId="1968662796">
    <w:abstractNumId w:val="6"/>
  </w:num>
  <w:num w:numId="5" w16cid:durableId="132985966">
    <w:abstractNumId w:val="4"/>
  </w:num>
  <w:num w:numId="6" w16cid:durableId="1577206394">
    <w:abstractNumId w:val="2"/>
  </w:num>
  <w:num w:numId="7" w16cid:durableId="1825588261">
    <w:abstractNumId w:val="0"/>
  </w:num>
  <w:num w:numId="8" w16cid:durableId="2074496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76"/>
    <w:rsid w:val="00011F19"/>
    <w:rsid w:val="000337CD"/>
    <w:rsid w:val="0003641E"/>
    <w:rsid w:val="000632EE"/>
    <w:rsid w:val="00077B45"/>
    <w:rsid w:val="00087C9F"/>
    <w:rsid w:val="000955E1"/>
    <w:rsid w:val="000E3DB9"/>
    <w:rsid w:val="000F0E7E"/>
    <w:rsid w:val="0014337A"/>
    <w:rsid w:val="001708EB"/>
    <w:rsid w:val="00185853"/>
    <w:rsid w:val="0018660B"/>
    <w:rsid w:val="001C7C83"/>
    <w:rsid w:val="001F79F3"/>
    <w:rsid w:val="00232317"/>
    <w:rsid w:val="00233AD3"/>
    <w:rsid w:val="00243471"/>
    <w:rsid w:val="00261E58"/>
    <w:rsid w:val="00271A19"/>
    <w:rsid w:val="002E6AB5"/>
    <w:rsid w:val="002F10CF"/>
    <w:rsid w:val="00335088"/>
    <w:rsid w:val="00341088"/>
    <w:rsid w:val="00346E20"/>
    <w:rsid w:val="00384503"/>
    <w:rsid w:val="003D586E"/>
    <w:rsid w:val="0041563D"/>
    <w:rsid w:val="0042084E"/>
    <w:rsid w:val="004268EF"/>
    <w:rsid w:val="00431CC5"/>
    <w:rsid w:val="0043640F"/>
    <w:rsid w:val="00490480"/>
    <w:rsid w:val="00494A79"/>
    <w:rsid w:val="0052241D"/>
    <w:rsid w:val="00545220"/>
    <w:rsid w:val="0055537B"/>
    <w:rsid w:val="005563AC"/>
    <w:rsid w:val="005A59EB"/>
    <w:rsid w:val="005A7550"/>
    <w:rsid w:val="006043CA"/>
    <w:rsid w:val="00652E36"/>
    <w:rsid w:val="00655795"/>
    <w:rsid w:val="0068285A"/>
    <w:rsid w:val="00683609"/>
    <w:rsid w:val="006849F1"/>
    <w:rsid w:val="006F2B57"/>
    <w:rsid w:val="006F2F8D"/>
    <w:rsid w:val="00713083"/>
    <w:rsid w:val="007163FB"/>
    <w:rsid w:val="00725D63"/>
    <w:rsid w:val="00763358"/>
    <w:rsid w:val="0076439A"/>
    <w:rsid w:val="00793109"/>
    <w:rsid w:val="007C1D0A"/>
    <w:rsid w:val="007E55BD"/>
    <w:rsid w:val="007F4905"/>
    <w:rsid w:val="00811988"/>
    <w:rsid w:val="00815583"/>
    <w:rsid w:val="0089677E"/>
    <w:rsid w:val="008B23CB"/>
    <w:rsid w:val="008F2F08"/>
    <w:rsid w:val="00901974"/>
    <w:rsid w:val="0095331F"/>
    <w:rsid w:val="009C7295"/>
    <w:rsid w:val="009D32BE"/>
    <w:rsid w:val="009E3E2F"/>
    <w:rsid w:val="00A33F65"/>
    <w:rsid w:val="00A47F27"/>
    <w:rsid w:val="00A60313"/>
    <w:rsid w:val="00A76E0E"/>
    <w:rsid w:val="00A87331"/>
    <w:rsid w:val="00AB2108"/>
    <w:rsid w:val="00AC1E39"/>
    <w:rsid w:val="00AE0BDC"/>
    <w:rsid w:val="00AF0A88"/>
    <w:rsid w:val="00B04D76"/>
    <w:rsid w:val="00B24A21"/>
    <w:rsid w:val="00B276CA"/>
    <w:rsid w:val="00B54711"/>
    <w:rsid w:val="00B75FFA"/>
    <w:rsid w:val="00BC5EB0"/>
    <w:rsid w:val="00BD0573"/>
    <w:rsid w:val="00BD3AA7"/>
    <w:rsid w:val="00BE5676"/>
    <w:rsid w:val="00BF0766"/>
    <w:rsid w:val="00C132AE"/>
    <w:rsid w:val="00C40C78"/>
    <w:rsid w:val="00C56F52"/>
    <w:rsid w:val="00CE14E3"/>
    <w:rsid w:val="00D0007F"/>
    <w:rsid w:val="00D35458"/>
    <w:rsid w:val="00D40671"/>
    <w:rsid w:val="00D83444"/>
    <w:rsid w:val="00D90C6A"/>
    <w:rsid w:val="00DA3F0A"/>
    <w:rsid w:val="00DC2CC4"/>
    <w:rsid w:val="00DC4F87"/>
    <w:rsid w:val="00DF0AE8"/>
    <w:rsid w:val="00E6667D"/>
    <w:rsid w:val="00E671BA"/>
    <w:rsid w:val="00EA1CF6"/>
    <w:rsid w:val="00F03BDE"/>
    <w:rsid w:val="00F21552"/>
    <w:rsid w:val="00F324EA"/>
    <w:rsid w:val="00F333A3"/>
    <w:rsid w:val="00F41C8D"/>
    <w:rsid w:val="00F53E32"/>
    <w:rsid w:val="00F95F97"/>
    <w:rsid w:val="00FF5691"/>
    <w:rsid w:val="68E5E8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30FD2"/>
  <w15:chartTrackingRefBased/>
  <w15:docId w15:val="{1E650506-E5F1-43A2-9B8C-8952B5D36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D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4D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4D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4D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4D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4D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4D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4D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4D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D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4D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4D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4D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4D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4D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4D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4D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4D76"/>
    <w:rPr>
      <w:rFonts w:eastAsiaTheme="majorEastAsia" w:cstheme="majorBidi"/>
      <w:color w:val="272727" w:themeColor="text1" w:themeTint="D8"/>
    </w:rPr>
  </w:style>
  <w:style w:type="paragraph" w:styleId="Title">
    <w:name w:val="Title"/>
    <w:basedOn w:val="Normal"/>
    <w:next w:val="Normal"/>
    <w:link w:val="TitleChar"/>
    <w:uiPriority w:val="10"/>
    <w:qFormat/>
    <w:rsid w:val="00B04D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4D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4D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4D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4D76"/>
    <w:pPr>
      <w:spacing w:before="160"/>
      <w:jc w:val="center"/>
    </w:pPr>
    <w:rPr>
      <w:i/>
      <w:iCs/>
      <w:color w:val="404040" w:themeColor="text1" w:themeTint="BF"/>
    </w:rPr>
  </w:style>
  <w:style w:type="character" w:customStyle="1" w:styleId="QuoteChar">
    <w:name w:val="Quote Char"/>
    <w:basedOn w:val="DefaultParagraphFont"/>
    <w:link w:val="Quote"/>
    <w:uiPriority w:val="29"/>
    <w:rsid w:val="00B04D76"/>
    <w:rPr>
      <w:i/>
      <w:iCs/>
      <w:color w:val="404040" w:themeColor="text1" w:themeTint="BF"/>
    </w:rPr>
  </w:style>
  <w:style w:type="paragraph" w:styleId="ListParagraph">
    <w:name w:val="List Paragraph"/>
    <w:basedOn w:val="Normal"/>
    <w:uiPriority w:val="34"/>
    <w:qFormat/>
    <w:rsid w:val="00B04D76"/>
    <w:pPr>
      <w:ind w:left="720"/>
      <w:contextualSpacing/>
    </w:pPr>
  </w:style>
  <w:style w:type="character" w:styleId="IntenseEmphasis">
    <w:name w:val="Intense Emphasis"/>
    <w:basedOn w:val="DefaultParagraphFont"/>
    <w:uiPriority w:val="21"/>
    <w:qFormat/>
    <w:rsid w:val="00B04D76"/>
    <w:rPr>
      <w:i/>
      <w:iCs/>
      <w:color w:val="0F4761" w:themeColor="accent1" w:themeShade="BF"/>
    </w:rPr>
  </w:style>
  <w:style w:type="paragraph" w:styleId="IntenseQuote">
    <w:name w:val="Intense Quote"/>
    <w:basedOn w:val="Normal"/>
    <w:next w:val="Normal"/>
    <w:link w:val="IntenseQuoteChar"/>
    <w:uiPriority w:val="30"/>
    <w:qFormat/>
    <w:rsid w:val="00B04D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4D76"/>
    <w:rPr>
      <w:i/>
      <w:iCs/>
      <w:color w:val="0F4761" w:themeColor="accent1" w:themeShade="BF"/>
    </w:rPr>
  </w:style>
  <w:style w:type="character" w:styleId="IntenseReference">
    <w:name w:val="Intense Reference"/>
    <w:basedOn w:val="DefaultParagraphFont"/>
    <w:uiPriority w:val="32"/>
    <w:qFormat/>
    <w:rsid w:val="00B04D76"/>
    <w:rPr>
      <w:b/>
      <w:bCs/>
      <w:smallCaps/>
      <w:color w:val="0F4761" w:themeColor="accent1" w:themeShade="BF"/>
      <w:spacing w:val="5"/>
    </w:rPr>
  </w:style>
  <w:style w:type="paragraph" w:styleId="Header">
    <w:name w:val="header"/>
    <w:basedOn w:val="Normal"/>
    <w:link w:val="HeaderChar"/>
    <w:uiPriority w:val="99"/>
    <w:unhideWhenUsed/>
    <w:rsid w:val="001433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37A"/>
  </w:style>
  <w:style w:type="paragraph" w:styleId="Footer">
    <w:name w:val="footer"/>
    <w:basedOn w:val="Normal"/>
    <w:link w:val="FooterChar"/>
    <w:uiPriority w:val="99"/>
    <w:unhideWhenUsed/>
    <w:rsid w:val="001433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37A"/>
  </w:style>
  <w:style w:type="table" w:styleId="TableGrid">
    <w:name w:val="Table Grid"/>
    <w:basedOn w:val="TableNormal"/>
    <w:uiPriority w:val="39"/>
    <w:rsid w:val="005A5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836">
      <w:bodyDiv w:val="1"/>
      <w:marLeft w:val="0"/>
      <w:marRight w:val="0"/>
      <w:marTop w:val="0"/>
      <w:marBottom w:val="0"/>
      <w:divBdr>
        <w:top w:val="none" w:sz="0" w:space="0" w:color="auto"/>
        <w:left w:val="none" w:sz="0" w:space="0" w:color="auto"/>
        <w:bottom w:val="none" w:sz="0" w:space="0" w:color="auto"/>
        <w:right w:val="none" w:sz="0" w:space="0" w:color="auto"/>
      </w:divBdr>
    </w:div>
    <w:div w:id="162743827">
      <w:bodyDiv w:val="1"/>
      <w:marLeft w:val="0"/>
      <w:marRight w:val="0"/>
      <w:marTop w:val="0"/>
      <w:marBottom w:val="0"/>
      <w:divBdr>
        <w:top w:val="none" w:sz="0" w:space="0" w:color="auto"/>
        <w:left w:val="none" w:sz="0" w:space="0" w:color="auto"/>
        <w:bottom w:val="none" w:sz="0" w:space="0" w:color="auto"/>
        <w:right w:val="none" w:sz="0" w:space="0" w:color="auto"/>
      </w:divBdr>
      <w:divsChild>
        <w:div w:id="395516257">
          <w:marLeft w:val="0"/>
          <w:marRight w:val="0"/>
          <w:marTop w:val="0"/>
          <w:marBottom w:val="0"/>
          <w:divBdr>
            <w:top w:val="none" w:sz="0" w:space="0" w:color="auto"/>
            <w:left w:val="none" w:sz="0" w:space="0" w:color="auto"/>
            <w:bottom w:val="none" w:sz="0" w:space="0" w:color="auto"/>
            <w:right w:val="none" w:sz="0" w:space="0" w:color="auto"/>
          </w:divBdr>
        </w:div>
        <w:div w:id="798494344">
          <w:marLeft w:val="0"/>
          <w:marRight w:val="0"/>
          <w:marTop w:val="0"/>
          <w:marBottom w:val="0"/>
          <w:divBdr>
            <w:top w:val="none" w:sz="0" w:space="0" w:color="auto"/>
            <w:left w:val="none" w:sz="0" w:space="0" w:color="auto"/>
            <w:bottom w:val="none" w:sz="0" w:space="0" w:color="auto"/>
            <w:right w:val="none" w:sz="0" w:space="0" w:color="auto"/>
          </w:divBdr>
        </w:div>
      </w:divsChild>
    </w:div>
    <w:div w:id="237594458">
      <w:bodyDiv w:val="1"/>
      <w:marLeft w:val="0"/>
      <w:marRight w:val="0"/>
      <w:marTop w:val="0"/>
      <w:marBottom w:val="0"/>
      <w:divBdr>
        <w:top w:val="none" w:sz="0" w:space="0" w:color="auto"/>
        <w:left w:val="none" w:sz="0" w:space="0" w:color="auto"/>
        <w:bottom w:val="none" w:sz="0" w:space="0" w:color="auto"/>
        <w:right w:val="none" w:sz="0" w:space="0" w:color="auto"/>
      </w:divBdr>
    </w:div>
    <w:div w:id="243996836">
      <w:bodyDiv w:val="1"/>
      <w:marLeft w:val="0"/>
      <w:marRight w:val="0"/>
      <w:marTop w:val="0"/>
      <w:marBottom w:val="0"/>
      <w:divBdr>
        <w:top w:val="none" w:sz="0" w:space="0" w:color="auto"/>
        <w:left w:val="none" w:sz="0" w:space="0" w:color="auto"/>
        <w:bottom w:val="none" w:sz="0" w:space="0" w:color="auto"/>
        <w:right w:val="none" w:sz="0" w:space="0" w:color="auto"/>
      </w:divBdr>
    </w:div>
    <w:div w:id="423382167">
      <w:bodyDiv w:val="1"/>
      <w:marLeft w:val="0"/>
      <w:marRight w:val="0"/>
      <w:marTop w:val="0"/>
      <w:marBottom w:val="0"/>
      <w:divBdr>
        <w:top w:val="none" w:sz="0" w:space="0" w:color="auto"/>
        <w:left w:val="none" w:sz="0" w:space="0" w:color="auto"/>
        <w:bottom w:val="none" w:sz="0" w:space="0" w:color="auto"/>
        <w:right w:val="none" w:sz="0" w:space="0" w:color="auto"/>
      </w:divBdr>
    </w:div>
    <w:div w:id="548032662">
      <w:bodyDiv w:val="1"/>
      <w:marLeft w:val="0"/>
      <w:marRight w:val="0"/>
      <w:marTop w:val="0"/>
      <w:marBottom w:val="0"/>
      <w:divBdr>
        <w:top w:val="none" w:sz="0" w:space="0" w:color="auto"/>
        <w:left w:val="none" w:sz="0" w:space="0" w:color="auto"/>
        <w:bottom w:val="none" w:sz="0" w:space="0" w:color="auto"/>
        <w:right w:val="none" w:sz="0" w:space="0" w:color="auto"/>
      </w:divBdr>
    </w:div>
    <w:div w:id="770517938">
      <w:bodyDiv w:val="1"/>
      <w:marLeft w:val="0"/>
      <w:marRight w:val="0"/>
      <w:marTop w:val="0"/>
      <w:marBottom w:val="0"/>
      <w:divBdr>
        <w:top w:val="none" w:sz="0" w:space="0" w:color="auto"/>
        <w:left w:val="none" w:sz="0" w:space="0" w:color="auto"/>
        <w:bottom w:val="none" w:sz="0" w:space="0" w:color="auto"/>
        <w:right w:val="none" w:sz="0" w:space="0" w:color="auto"/>
      </w:divBdr>
      <w:divsChild>
        <w:div w:id="915473878">
          <w:marLeft w:val="0"/>
          <w:marRight w:val="0"/>
          <w:marTop w:val="0"/>
          <w:marBottom w:val="0"/>
          <w:divBdr>
            <w:top w:val="none" w:sz="0" w:space="0" w:color="auto"/>
            <w:left w:val="none" w:sz="0" w:space="0" w:color="auto"/>
            <w:bottom w:val="none" w:sz="0" w:space="0" w:color="auto"/>
            <w:right w:val="none" w:sz="0" w:space="0" w:color="auto"/>
          </w:divBdr>
        </w:div>
        <w:div w:id="2097089311">
          <w:marLeft w:val="0"/>
          <w:marRight w:val="0"/>
          <w:marTop w:val="0"/>
          <w:marBottom w:val="0"/>
          <w:divBdr>
            <w:top w:val="none" w:sz="0" w:space="0" w:color="auto"/>
            <w:left w:val="none" w:sz="0" w:space="0" w:color="auto"/>
            <w:bottom w:val="none" w:sz="0" w:space="0" w:color="auto"/>
            <w:right w:val="none" w:sz="0" w:space="0" w:color="auto"/>
          </w:divBdr>
        </w:div>
      </w:divsChild>
    </w:div>
    <w:div w:id="949051266">
      <w:bodyDiv w:val="1"/>
      <w:marLeft w:val="0"/>
      <w:marRight w:val="0"/>
      <w:marTop w:val="0"/>
      <w:marBottom w:val="0"/>
      <w:divBdr>
        <w:top w:val="none" w:sz="0" w:space="0" w:color="auto"/>
        <w:left w:val="none" w:sz="0" w:space="0" w:color="auto"/>
        <w:bottom w:val="none" w:sz="0" w:space="0" w:color="auto"/>
        <w:right w:val="none" w:sz="0" w:space="0" w:color="auto"/>
      </w:divBdr>
    </w:div>
    <w:div w:id="1075080828">
      <w:bodyDiv w:val="1"/>
      <w:marLeft w:val="0"/>
      <w:marRight w:val="0"/>
      <w:marTop w:val="0"/>
      <w:marBottom w:val="0"/>
      <w:divBdr>
        <w:top w:val="none" w:sz="0" w:space="0" w:color="auto"/>
        <w:left w:val="none" w:sz="0" w:space="0" w:color="auto"/>
        <w:bottom w:val="none" w:sz="0" w:space="0" w:color="auto"/>
        <w:right w:val="none" w:sz="0" w:space="0" w:color="auto"/>
      </w:divBdr>
    </w:div>
    <w:div w:id="204282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8d8036a-b5f9-4f3f-9d36-d7cd740299bb}" enabled="0" method="" siteId="{e8d8036a-b5f9-4f3f-9d36-d7cd740299bb}"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1963</Words>
  <Characters>12551</Characters>
  <Application>Microsoft Office Word</Application>
  <DocSecurity>0</DocSecurity>
  <Lines>229</Lines>
  <Paragraphs>94</Paragraphs>
  <ScaleCrop>false</ScaleCrop>
  <HeadingPairs>
    <vt:vector size="2" baseType="variant">
      <vt:variant>
        <vt:lpstr>Title</vt:lpstr>
      </vt:variant>
      <vt:variant>
        <vt:i4>1</vt:i4>
      </vt:variant>
    </vt:vector>
  </HeadingPairs>
  <TitlesOfParts>
    <vt:vector size="1" baseType="lpstr">
      <vt:lpstr/>
    </vt:vector>
  </TitlesOfParts>
  <Company>Greater Manchester Combined Authority</Company>
  <LinksUpToDate>false</LinksUpToDate>
  <CharactersWithSpaces>14506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Dave</dc:creator>
  <cp:keywords/>
  <dc:description/>
  <cp:lastModifiedBy>Westcott, Jamie</cp:lastModifiedBy>
  <cp:revision>3</cp:revision>
  <dcterms:created xsi:type="dcterms:W3CDTF">2025-11-10T09:58:00Z</dcterms:created>
  <dcterms:modified xsi:type="dcterms:W3CDTF">2025-11-10T09:58:00Z</dcterms:modified>
</cp:coreProperties>
</file>