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
        <w:ind w:hanging="709" w:right="-761"/>
        <w:jc w:val="center"/>
        <w:rPr>
          <w:rFonts w:eastAsia="Calibri"/>
          <w:b/>
          <w:bCs/>
          <w:iCs/>
        </w:rPr>
      </w:pPr>
      <w:r>
        <w:rPr/>
        <w:drawing>
          <wp:inline distT="0" distB="0" distL="0" distR="0">
            <wp:extent cx="6330315" cy="53467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54" r="-5" b="-54"/>
                    <a:stretch>
                      <a:fillRect/>
                    </a:stretch>
                  </pic:blipFill>
                  <pic:spPr bwMode="auto">
                    <a:xfrm>
                      <a:off x="0" y="0"/>
                      <a:ext cx="6330315" cy="534670"/>
                    </a:xfrm>
                    <a:prstGeom prst="rect">
                      <a:avLst/>
                    </a:prstGeom>
                  </pic:spPr>
                </pic:pic>
              </a:graphicData>
            </a:graphic>
          </wp:inline>
        </w:drawing>
      </w:r>
    </w:p>
    <w:p>
      <w:pPr>
        <w:pStyle w:val="Body"/>
        <w:ind w:right="261"/>
        <w:jc w:val="center"/>
        <w:rPr>
          <w:rFonts w:eastAsia="Calibri"/>
          <w:b/>
          <w:bCs/>
          <w:iCs/>
        </w:rPr>
      </w:pPr>
      <w:r>
        <w:rPr>
          <w:rFonts w:eastAsia="Calibri"/>
          <w:b/>
          <w:bCs/>
          <w:iCs/>
        </w:rPr>
      </w:r>
    </w:p>
    <w:p>
      <w:pPr>
        <w:pStyle w:val="Body"/>
        <w:ind w:right="261"/>
        <w:jc w:val="center"/>
        <w:rPr>
          <w:rFonts w:ascii="Calibri" w:hAnsi="Calibri" w:cs="Calibri"/>
          <w:b/>
          <w:sz w:val="32"/>
          <w:szCs w:val="32"/>
        </w:rPr>
      </w:pPr>
      <w:r>
        <w:rPr>
          <w:rFonts w:cs="Calibri" w:ascii="Calibri" w:hAnsi="Calibri"/>
          <w:b/>
          <w:sz w:val="32"/>
          <w:szCs w:val="32"/>
        </w:rPr>
        <w:t>Construction Quality Inspector (Clerk of Works)</w:t>
      </w:r>
    </w:p>
    <w:tbl>
      <w:tblPr>
        <w:tblW w:w="10347" w:type="dxa"/>
        <w:jc w:val="left"/>
        <w:tblInd w:w="-493" w:type="dxa"/>
        <w:tblLayout w:type="fixed"/>
        <w:tblCellMar>
          <w:top w:w="0" w:type="dxa"/>
          <w:left w:w="108" w:type="dxa"/>
          <w:bottom w:w="0" w:type="dxa"/>
          <w:right w:w="108" w:type="dxa"/>
        </w:tblCellMar>
      </w:tblPr>
      <w:tblGrid>
        <w:gridCol w:w="2127"/>
        <w:gridCol w:w="3092"/>
        <w:gridCol w:w="2309"/>
        <w:gridCol w:w="2819"/>
      </w:tblGrid>
      <w:tr>
        <w:trPr/>
        <w:tc>
          <w:tcPr>
            <w:tcW w:w="2127" w:type="dxa"/>
            <w:tcBorders>
              <w:top w:val="single" w:sz="4" w:space="0" w:color="000000"/>
              <w:left w:val="single" w:sz="4" w:space="0" w:color="000000"/>
              <w:bottom w:val="single" w:sz="4" w:space="0" w:color="000000"/>
              <w:right w:val="single" w:sz="4" w:space="0" w:color="000000"/>
            </w:tcBorders>
            <w:vAlign w:val="center"/>
          </w:tcPr>
          <w:p>
            <w:pPr>
              <w:pStyle w:val="Body"/>
              <w:pBdr/>
              <w:spacing w:lineRule="auto" w:line="240" w:before="120" w:after="120"/>
              <w:ind w:right="261"/>
              <w:rPr>
                <w:rFonts w:ascii="Calibri" w:hAnsi="Calibri" w:eastAsia="Calibri" w:cs="Calibri"/>
                <w:b/>
                <w:bCs/>
                <w:iCs/>
                <w:color w:val="auto"/>
                <w:sz w:val="24"/>
                <w:szCs w:val="24"/>
              </w:rPr>
            </w:pPr>
            <w:r>
              <w:rPr>
                <w:rFonts w:eastAsia="Calibri" w:cs="Calibri" w:ascii="Calibri" w:hAnsi="Calibri"/>
                <w:b/>
                <w:bCs/>
                <w:iCs/>
                <w:color w:val="auto"/>
                <w:sz w:val="24"/>
                <w:szCs w:val="24"/>
              </w:rPr>
              <w:t>Job Title:</w:t>
            </w:r>
          </w:p>
        </w:tc>
        <w:tc>
          <w:tcPr>
            <w:tcW w:w="3092" w:type="dxa"/>
            <w:tcBorders>
              <w:top w:val="single" w:sz="4" w:space="0" w:color="000000"/>
              <w:left w:val="single" w:sz="4" w:space="0" w:color="000000"/>
              <w:bottom w:val="single" w:sz="4" w:space="0" w:color="000000"/>
              <w:right w:val="single" w:sz="4" w:space="0" w:color="000000"/>
            </w:tcBorders>
            <w:vAlign w:val="center"/>
          </w:tcPr>
          <w:p>
            <w:pPr>
              <w:pStyle w:val="Body"/>
              <w:spacing w:lineRule="auto" w:line="240" w:before="120" w:after="120"/>
              <w:ind w:right="261"/>
              <w:rPr>
                <w:rFonts w:ascii="Calibri" w:hAnsi="Calibri" w:cs="Calibri"/>
                <w:bCs/>
              </w:rPr>
            </w:pPr>
            <w:r>
              <w:rPr>
                <w:rFonts w:cs="Calibri" w:ascii="Calibri" w:hAnsi="Calibri"/>
                <w:bCs/>
              </w:rPr>
              <w:t>Construction Quality Inspector (Clerk of Works)</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Body"/>
              <w:pBdr/>
              <w:spacing w:lineRule="auto" w:line="240" w:before="120" w:after="120"/>
              <w:ind w:right="261"/>
              <w:rPr>
                <w:rFonts w:ascii="Calibri" w:hAnsi="Calibri" w:eastAsia="Calibri" w:cs="Calibri"/>
                <w:b/>
                <w:bCs/>
                <w:iCs/>
                <w:color w:val="auto"/>
                <w:sz w:val="24"/>
                <w:szCs w:val="24"/>
              </w:rPr>
            </w:pPr>
            <w:r>
              <w:rPr>
                <w:rFonts w:eastAsia="Calibri" w:cs="Calibri" w:ascii="Calibri" w:hAnsi="Calibri"/>
                <w:b/>
                <w:bCs/>
                <w:iCs/>
                <w:color w:val="auto"/>
                <w:sz w:val="24"/>
                <w:szCs w:val="24"/>
              </w:rPr>
              <w:t>Date:</w:t>
            </w:r>
          </w:p>
        </w:tc>
        <w:tc>
          <w:tcPr>
            <w:tcW w:w="2819" w:type="dxa"/>
            <w:tcBorders>
              <w:top w:val="single" w:sz="4" w:space="0" w:color="000000"/>
              <w:left w:val="single" w:sz="4" w:space="0" w:color="000000"/>
              <w:bottom w:val="single" w:sz="4" w:space="0" w:color="000000"/>
              <w:right w:val="single" w:sz="4" w:space="0" w:color="000000"/>
            </w:tcBorders>
            <w:vAlign w:val="center"/>
          </w:tcPr>
          <w:p>
            <w:pPr>
              <w:pStyle w:val="Body"/>
              <w:pBdr/>
              <w:spacing w:lineRule="auto" w:line="240" w:before="120" w:after="120"/>
              <w:ind w:right="261"/>
              <w:rPr>
                <w:rFonts w:ascii="Calibri" w:hAnsi="Calibri" w:eastAsia="Calibri" w:cs="Calibri"/>
                <w:bCs/>
                <w:iCs/>
                <w:color w:val="auto"/>
                <w:sz w:val="24"/>
                <w:szCs w:val="24"/>
              </w:rPr>
            </w:pPr>
            <w:r>
              <w:rPr>
                <w:rFonts w:eastAsia="Calibri" w:cs="Calibri" w:ascii="Calibri" w:hAnsi="Calibri"/>
                <w:bCs/>
                <w:iCs/>
                <w:color w:val="auto"/>
                <w:sz w:val="24"/>
                <w:szCs w:val="24"/>
              </w:rPr>
              <w:t>August 2026</w:t>
            </w:r>
          </w:p>
        </w:tc>
      </w:tr>
      <w:tr>
        <w:trPr/>
        <w:tc>
          <w:tcPr>
            <w:tcW w:w="2127" w:type="dxa"/>
            <w:tcBorders>
              <w:top w:val="single" w:sz="4" w:space="0" w:color="000000"/>
              <w:left w:val="single" w:sz="4" w:space="0" w:color="000000"/>
              <w:bottom w:val="single" w:sz="4" w:space="0" w:color="000000"/>
              <w:right w:val="single" w:sz="4" w:space="0" w:color="000000"/>
            </w:tcBorders>
            <w:vAlign w:val="center"/>
          </w:tcPr>
          <w:p>
            <w:pPr>
              <w:pStyle w:val="Body"/>
              <w:pBdr/>
              <w:spacing w:lineRule="auto" w:line="240" w:before="120" w:after="120"/>
              <w:ind w:right="261"/>
              <w:rPr>
                <w:rFonts w:ascii="Calibri" w:hAnsi="Calibri" w:eastAsia="Calibri" w:cs="Calibri"/>
                <w:b/>
                <w:bCs/>
                <w:iCs/>
                <w:color w:val="auto"/>
                <w:sz w:val="24"/>
                <w:szCs w:val="24"/>
              </w:rPr>
            </w:pPr>
            <w:r>
              <w:rPr>
                <w:rFonts w:eastAsia="Calibri" w:cs="Calibri" w:ascii="Calibri" w:hAnsi="Calibri"/>
                <w:b/>
                <w:bCs/>
                <w:iCs/>
                <w:color w:val="auto"/>
                <w:sz w:val="24"/>
                <w:szCs w:val="24"/>
              </w:rPr>
              <w:t>Reporting Line:</w:t>
            </w:r>
          </w:p>
        </w:tc>
        <w:tc>
          <w:tcPr>
            <w:tcW w:w="3092" w:type="dxa"/>
            <w:tcBorders>
              <w:top w:val="single" w:sz="4" w:space="0" w:color="000000"/>
              <w:left w:val="single" w:sz="4" w:space="0" w:color="000000"/>
              <w:bottom w:val="single" w:sz="4" w:space="0" w:color="000000"/>
              <w:right w:val="single" w:sz="4" w:space="0" w:color="000000"/>
            </w:tcBorders>
            <w:vAlign w:val="center"/>
          </w:tcPr>
          <w:p>
            <w:pPr>
              <w:pStyle w:val="Body"/>
              <w:pBdr/>
              <w:spacing w:lineRule="auto" w:line="240" w:before="120" w:after="120"/>
              <w:ind w:right="261"/>
              <w:rPr>
                <w:rFonts w:ascii="Calibri" w:hAnsi="Calibri" w:eastAsia="Calibri" w:cs="Calibri"/>
                <w:bCs/>
                <w:iCs/>
                <w:color w:val="auto"/>
                <w:sz w:val="24"/>
                <w:szCs w:val="24"/>
              </w:rPr>
            </w:pPr>
            <w:r>
              <w:rPr>
                <w:rFonts w:eastAsia="Calibri" w:cs="Calibri" w:ascii="Calibri" w:hAnsi="Calibri"/>
                <w:bCs/>
                <w:iCs/>
                <w:color w:val="auto"/>
                <w:sz w:val="24"/>
                <w:szCs w:val="24"/>
              </w:rPr>
              <w:t>Strategic Transformation Lead</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Body"/>
              <w:pBdr/>
              <w:spacing w:lineRule="auto" w:line="240" w:before="120" w:after="120"/>
              <w:ind w:right="261"/>
              <w:rPr>
                <w:rFonts w:ascii="Calibri" w:hAnsi="Calibri" w:eastAsia="Calibri" w:cs="Calibri"/>
                <w:b/>
                <w:bCs/>
                <w:iCs/>
                <w:color w:val="auto"/>
                <w:sz w:val="24"/>
                <w:szCs w:val="24"/>
              </w:rPr>
            </w:pPr>
            <w:r>
              <w:rPr>
                <w:rFonts w:eastAsia="Calibri" w:cs="Calibri" w:ascii="Calibri" w:hAnsi="Calibri"/>
                <w:b/>
                <w:bCs/>
                <w:iCs/>
                <w:color w:val="auto"/>
                <w:sz w:val="24"/>
                <w:szCs w:val="24"/>
              </w:rPr>
              <w:t>Salary:</w:t>
            </w:r>
          </w:p>
        </w:tc>
        <w:tc>
          <w:tcPr>
            <w:tcW w:w="2819" w:type="dxa"/>
            <w:tcBorders>
              <w:top w:val="single" w:sz="4" w:space="0" w:color="000000"/>
              <w:left w:val="single" w:sz="4" w:space="0" w:color="000000"/>
              <w:bottom w:val="single" w:sz="4" w:space="0" w:color="000000"/>
              <w:right w:val="single" w:sz="4" w:space="0" w:color="000000"/>
            </w:tcBorders>
            <w:vAlign w:val="center"/>
          </w:tcPr>
          <w:p>
            <w:pPr>
              <w:pStyle w:val="Body"/>
              <w:pBdr/>
              <w:spacing w:lineRule="auto" w:line="240" w:before="120" w:after="120"/>
              <w:ind w:right="261"/>
              <w:rPr>
                <w:rFonts w:ascii="Calibri" w:hAnsi="Calibri" w:eastAsia="Calibri" w:cs="Calibri"/>
                <w:bCs/>
                <w:iCs/>
                <w:color w:val="auto"/>
                <w:sz w:val="24"/>
                <w:szCs w:val="24"/>
              </w:rPr>
            </w:pPr>
            <w:r>
              <w:rPr>
                <w:rFonts w:eastAsia="Calibri" w:cs="Calibri" w:ascii="Calibri" w:hAnsi="Calibri"/>
                <w:bCs/>
                <w:iCs/>
                <w:color w:val="auto"/>
                <w:sz w:val="24"/>
                <w:szCs w:val="24"/>
              </w:rPr>
              <w:t xml:space="preserve">Grade 8 </w:t>
            </w:r>
          </w:p>
        </w:tc>
      </w:tr>
      <w:tr>
        <w:trPr/>
        <w:tc>
          <w:tcPr>
            <w:tcW w:w="2127" w:type="dxa"/>
            <w:tcBorders>
              <w:top w:val="single" w:sz="4" w:space="0" w:color="000000"/>
              <w:left w:val="single" w:sz="4" w:space="0" w:color="000000"/>
              <w:bottom w:val="single" w:sz="4" w:space="0" w:color="000000"/>
              <w:right w:val="single" w:sz="4" w:space="0" w:color="000000"/>
            </w:tcBorders>
            <w:vAlign w:val="center"/>
          </w:tcPr>
          <w:p>
            <w:pPr>
              <w:pStyle w:val="Body"/>
              <w:pBdr/>
              <w:spacing w:lineRule="auto" w:line="240" w:before="120" w:after="120"/>
              <w:ind w:right="261"/>
              <w:rPr>
                <w:rFonts w:ascii="Calibri" w:hAnsi="Calibri" w:eastAsia="Calibri" w:cs="Calibri"/>
                <w:b/>
                <w:bCs/>
                <w:iCs/>
                <w:color w:val="auto"/>
                <w:sz w:val="24"/>
                <w:szCs w:val="24"/>
              </w:rPr>
            </w:pPr>
            <w:r>
              <w:rPr>
                <w:rFonts w:eastAsia="Calibri" w:cs="Calibri" w:ascii="Calibri" w:hAnsi="Calibri"/>
                <w:b/>
                <w:bCs/>
                <w:iCs/>
                <w:color w:val="auto"/>
                <w:sz w:val="24"/>
                <w:szCs w:val="24"/>
              </w:rPr>
              <w:t>Team:</w:t>
            </w:r>
          </w:p>
        </w:tc>
        <w:tc>
          <w:tcPr>
            <w:tcW w:w="3092" w:type="dxa"/>
            <w:tcBorders>
              <w:top w:val="single" w:sz="4" w:space="0" w:color="000000"/>
              <w:left w:val="single" w:sz="4" w:space="0" w:color="000000"/>
              <w:bottom w:val="single" w:sz="4" w:space="0" w:color="000000"/>
              <w:right w:val="single" w:sz="4" w:space="0" w:color="000000"/>
            </w:tcBorders>
            <w:vAlign w:val="center"/>
          </w:tcPr>
          <w:p>
            <w:pPr>
              <w:pStyle w:val="Body"/>
              <w:pBdr/>
              <w:spacing w:lineRule="auto" w:line="240" w:before="120" w:after="120"/>
              <w:ind w:right="261"/>
              <w:rPr>
                <w:rFonts w:ascii="Calibri" w:hAnsi="Calibri" w:eastAsia="Calibri" w:cs="Calibri"/>
                <w:color w:val="auto"/>
                <w:sz w:val="24"/>
                <w:szCs w:val="24"/>
                <w:lang w:val="en-US"/>
              </w:rPr>
            </w:pPr>
            <w:r>
              <w:rPr>
                <w:rFonts w:eastAsia="Calibri" w:cs="Calibri" w:ascii="Calibri" w:hAnsi="Calibri"/>
                <w:color w:val="auto"/>
                <w:sz w:val="24"/>
                <w:szCs w:val="24"/>
                <w:lang w:val="en-US"/>
              </w:rPr>
              <w:t>Estates and Facilities Capital Programmes</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Body"/>
              <w:pBdr/>
              <w:spacing w:lineRule="auto" w:line="240" w:before="120" w:after="120"/>
              <w:ind w:right="261"/>
              <w:rPr>
                <w:rFonts w:ascii="Calibri" w:hAnsi="Calibri" w:eastAsia="Calibri" w:cs="Calibri"/>
                <w:b/>
                <w:bCs/>
                <w:iCs/>
                <w:color w:val="auto"/>
                <w:sz w:val="24"/>
                <w:szCs w:val="24"/>
              </w:rPr>
            </w:pPr>
            <w:r>
              <w:rPr>
                <w:rFonts w:eastAsia="Calibri" w:cs="Calibri" w:ascii="Calibri" w:hAnsi="Calibri"/>
                <w:b/>
                <w:bCs/>
                <w:iCs/>
                <w:color w:val="auto"/>
                <w:sz w:val="24"/>
                <w:szCs w:val="24"/>
              </w:rPr>
              <w:t>Business Area:</w:t>
            </w:r>
          </w:p>
        </w:tc>
        <w:tc>
          <w:tcPr>
            <w:tcW w:w="2819" w:type="dxa"/>
            <w:tcBorders>
              <w:top w:val="single" w:sz="4" w:space="0" w:color="000000"/>
              <w:left w:val="single" w:sz="4" w:space="0" w:color="000000"/>
              <w:bottom w:val="single" w:sz="4" w:space="0" w:color="000000"/>
              <w:right w:val="single" w:sz="4" w:space="0" w:color="000000"/>
            </w:tcBorders>
            <w:vAlign w:val="center"/>
          </w:tcPr>
          <w:p>
            <w:pPr>
              <w:pStyle w:val="Body"/>
              <w:pBdr/>
              <w:spacing w:lineRule="auto" w:line="240" w:before="120" w:after="120"/>
              <w:ind w:right="261"/>
              <w:rPr>
                <w:rFonts w:ascii="Calibri" w:hAnsi="Calibri" w:eastAsia="Calibri" w:cs="Calibri"/>
                <w:bCs/>
                <w:iCs/>
                <w:color w:val="auto"/>
                <w:sz w:val="24"/>
                <w:szCs w:val="24"/>
              </w:rPr>
            </w:pPr>
            <w:r>
              <w:rPr>
                <w:rFonts w:eastAsia="Calibri" w:cs="Calibri" w:ascii="Calibri" w:hAnsi="Calibri"/>
                <w:bCs/>
                <w:iCs/>
                <w:color w:val="auto"/>
                <w:sz w:val="24"/>
                <w:szCs w:val="24"/>
              </w:rPr>
              <w:t>Land and Property</w:t>
            </w:r>
          </w:p>
        </w:tc>
      </w:tr>
    </w:tbl>
    <w:p>
      <w:pPr>
        <w:pStyle w:val="Body"/>
        <w:ind w:right="261"/>
        <w:jc w:val="both"/>
        <w:rPr>
          <w:rFonts w:ascii="Calibri" w:hAnsi="Calibri" w:eastAsia="Calibri" w:cs="Calibri"/>
          <w:b/>
          <w:bCs/>
          <w:iCs/>
        </w:rPr>
      </w:pPr>
      <w:r>
        <w:rPr>
          <w:rFonts w:eastAsia="Calibri" w:cs="Calibri" w:ascii="Calibri" w:hAnsi="Calibri"/>
          <w:b/>
          <w:bCs/>
          <w:iCs/>
        </w:rPr>
      </w:r>
    </w:p>
    <w:tbl>
      <w:tblPr>
        <w:tblW w:w="10356" w:type="dxa"/>
        <w:jc w:val="center"/>
        <w:tblInd w:w="0" w:type="dxa"/>
        <w:tblLayout w:type="fixed"/>
        <w:tblCellMar>
          <w:top w:w="80" w:type="dxa"/>
          <w:left w:w="80" w:type="dxa"/>
          <w:bottom w:w="80" w:type="dxa"/>
          <w:right w:w="80" w:type="dxa"/>
        </w:tblCellMar>
      </w:tblPr>
      <w:tblGrid>
        <w:gridCol w:w="10356"/>
      </w:tblGrid>
      <w:tr>
        <w:trPr>
          <w:trHeight w:val="180" w:hRule="atLeast"/>
        </w:trPr>
        <w:tc>
          <w:tcPr>
            <w:tcW w:w="10356" w:type="dxa"/>
            <w:tcBorders>
              <w:top w:val="single" w:sz="6" w:space="0" w:color="000000"/>
              <w:left w:val="single" w:sz="6" w:space="0" w:color="0000FF"/>
              <w:right w:val="single" w:sz="6" w:space="0" w:color="0000FF"/>
            </w:tcBorders>
            <w:shd w:fill="000000" w:val="clear"/>
            <w:vAlign w:val="center"/>
          </w:tcPr>
          <w:p>
            <w:pPr>
              <w:pStyle w:val="Heading3"/>
              <w:ind w:hanging="0" w:left="0" w:right="261"/>
              <w:rPr>
                <w:rFonts w:ascii="Calibri" w:hAnsi="Calibri" w:eastAsia="Calibri" w:cs="Calibri"/>
                <w:sz w:val="22"/>
                <w:szCs w:val="22"/>
                <w:lang w:val="en-GB"/>
              </w:rPr>
            </w:pPr>
            <w:r>
              <w:rPr>
                <w:rFonts w:eastAsia="Calibri" w:cs="Calibri" w:ascii="Calibri" w:hAnsi="Calibri"/>
                <w:sz w:val="22"/>
                <w:szCs w:val="22"/>
                <w:lang w:val="en-GB"/>
              </w:rPr>
              <w:t>JOB PURPOSE</w:t>
            </w:r>
          </w:p>
        </w:tc>
      </w:tr>
      <w:tr>
        <w:trPr>
          <w:trHeight w:val="793" w:hRule="atLeast"/>
        </w:trPr>
        <w:tc>
          <w:tcPr>
            <w:tcW w:w="10356" w:type="dxa"/>
            <w:tcBorders>
              <w:left w:val="single" w:sz="6" w:space="0" w:color="000000"/>
              <w:bottom w:val="single" w:sz="4" w:space="0" w:color="000000"/>
              <w:right w:val="single" w:sz="6" w:space="0" w:color="000000"/>
            </w:tcBorders>
            <w:vAlign w:val="center"/>
          </w:tcPr>
          <w:p>
            <w:pPr>
              <w:pStyle w:val="Normal"/>
              <w:spacing w:lineRule="auto" w:line="276"/>
              <w:jc w:val="both"/>
              <w:rPr>
                <w:rFonts w:ascii="Calibri" w:hAnsi="Calibri" w:cs="Calibri"/>
                <w:lang w:val="en-GB"/>
              </w:rPr>
            </w:pPr>
            <w:r>
              <w:rPr>
                <w:rFonts w:cs="Calibri" w:ascii="Calibri" w:hAnsi="Calibri"/>
                <w:lang w:val="en-GB"/>
              </w:rPr>
              <w:t>GMCA is seeking an experienced Construction Quality Inspector (Clerk of Works) to provide independent quality assurance across capital projects within the GMFRS estate. Acting as the client's representative on site, the postholder will inspect construction, mechanical, electrical and civil engineering works, ensuring projects are delivered in accordance with approved designs, specifications, statutory requirements, and industry standards.</w:t>
            </w:r>
          </w:p>
          <w:p>
            <w:pPr>
              <w:pStyle w:val="Normal"/>
              <w:spacing w:lineRule="auto" w:line="276"/>
              <w:jc w:val="both"/>
              <w:rPr>
                <w:rFonts w:ascii="Calibri" w:hAnsi="Calibri" w:cs="Calibri"/>
                <w:szCs w:val="22"/>
                <w:lang w:val="en-GB"/>
              </w:rPr>
            </w:pPr>
            <w:r>
              <w:rPr>
                <w:rFonts w:cs="Calibri" w:ascii="Calibri" w:hAnsi="Calibri"/>
                <w:szCs w:val="22"/>
                <w:lang w:val="en-GB"/>
              </w:rPr>
            </w:r>
          </w:p>
          <w:p>
            <w:pPr>
              <w:pStyle w:val="Normal"/>
              <w:spacing w:lineRule="auto" w:line="276"/>
              <w:jc w:val="both"/>
              <w:rPr>
                <w:rFonts w:ascii="Calibri" w:hAnsi="Calibri" w:cs="Calibri"/>
                <w:szCs w:val="22"/>
                <w:lang w:val="en-GB"/>
              </w:rPr>
            </w:pPr>
            <w:r>
              <w:rPr>
                <w:rFonts w:cs="Calibri" w:ascii="Calibri" w:hAnsi="Calibri"/>
                <w:szCs w:val="22"/>
                <w:lang w:val="en-GB"/>
              </w:rPr>
              <w:t>The Construction Quality Inspector (Clerk of Works) will provide independent, professional site inspection and quality assurance across GMFRS capital projects, including new build, refurbishment and decarbonisation works.</w:t>
            </w:r>
          </w:p>
          <w:p>
            <w:pPr>
              <w:pStyle w:val="Normal"/>
              <w:spacing w:lineRule="auto" w:line="276"/>
              <w:jc w:val="both"/>
              <w:rPr>
                <w:rFonts w:ascii="Calibri" w:hAnsi="Calibri" w:cs="Calibri"/>
                <w:szCs w:val="22"/>
                <w:lang w:val="en-GB"/>
              </w:rPr>
            </w:pPr>
            <w:r>
              <w:rPr>
                <w:rFonts w:cs="Calibri" w:ascii="Calibri" w:hAnsi="Calibri"/>
                <w:szCs w:val="22"/>
                <w:lang w:val="en-GB"/>
              </w:rPr>
              <w:t>The role will:</w:t>
            </w:r>
          </w:p>
          <w:p>
            <w:pPr>
              <w:pStyle w:val="Normal"/>
              <w:numPr>
                <w:ilvl w:val="0"/>
                <w:numId w:val="4"/>
              </w:numPr>
              <w:spacing w:lineRule="auto" w:line="276"/>
              <w:jc w:val="both"/>
              <w:rPr/>
            </w:pPr>
            <w:r>
              <w:rPr>
                <w:rFonts w:cs="Calibri" w:ascii="Calibri" w:hAnsi="Calibri"/>
                <w:szCs w:val="22"/>
                <w:lang w:val="en-GB"/>
              </w:rPr>
              <w:t>Inspect construction, mechanical, electrical and civil engineering works</w:t>
            </w:r>
          </w:p>
          <w:p>
            <w:pPr>
              <w:pStyle w:val="Normal"/>
              <w:numPr>
                <w:ilvl w:val="0"/>
                <w:numId w:val="4"/>
              </w:numPr>
              <w:spacing w:lineRule="auto" w:line="276"/>
              <w:jc w:val="both"/>
              <w:rPr/>
            </w:pPr>
            <w:r>
              <w:rPr>
                <w:rFonts w:cs="Calibri" w:ascii="Calibri" w:hAnsi="Calibri"/>
                <w:szCs w:val="22"/>
                <w:lang w:val="en-GB"/>
              </w:rPr>
              <w:t>Monitor compliance with specifications, drawings and statutory requirements</w:t>
            </w:r>
          </w:p>
          <w:p>
            <w:pPr>
              <w:pStyle w:val="Normal"/>
              <w:numPr>
                <w:ilvl w:val="0"/>
                <w:numId w:val="4"/>
              </w:numPr>
              <w:spacing w:lineRule="auto" w:line="276"/>
              <w:jc w:val="both"/>
              <w:rPr/>
            </w:pPr>
            <w:r>
              <w:rPr>
                <w:rFonts w:cs="Calibri" w:ascii="Calibri" w:hAnsi="Calibri"/>
                <w:szCs w:val="22"/>
                <w:lang w:val="en-GB"/>
              </w:rPr>
              <w:t>Ensure standards of workmanship, materials and installation meet contract requirements</w:t>
            </w:r>
          </w:p>
          <w:p>
            <w:pPr>
              <w:pStyle w:val="Normal"/>
              <w:numPr>
                <w:ilvl w:val="0"/>
                <w:numId w:val="4"/>
              </w:numPr>
              <w:spacing w:lineRule="auto" w:line="276"/>
              <w:jc w:val="both"/>
              <w:rPr>
                <w:rFonts w:ascii="Calibri" w:hAnsi="Calibri" w:cs="Calibri"/>
                <w:szCs w:val="22"/>
                <w:lang w:val="en-GB"/>
              </w:rPr>
            </w:pPr>
            <w:r>
              <w:rPr>
                <w:rFonts w:cs="Calibri" w:ascii="Calibri" w:hAnsi="Calibri"/>
                <w:szCs w:val="22"/>
                <w:lang w:val="en-GB"/>
              </w:rPr>
              <w:t>Support Project Managers in delivering projects on time, within budget, and to required quality standards</w:t>
            </w:r>
          </w:p>
        </w:tc>
      </w:tr>
    </w:tbl>
    <w:p>
      <w:pPr>
        <w:pStyle w:val="Body"/>
        <w:ind w:right="261"/>
        <w:rPr>
          <w:rFonts w:eastAsia="Calibri"/>
          <w:b/>
          <w:bCs/>
          <w:iCs/>
        </w:rPr>
      </w:pPr>
      <w:r>
        <w:rPr>
          <w:rFonts w:eastAsia="Calibri"/>
          <w:b/>
          <w:bCs/>
          <w:iCs/>
        </w:rPr>
      </w:r>
    </w:p>
    <w:p>
      <w:pPr>
        <w:pStyle w:val="Body"/>
        <w:ind w:right="261"/>
        <w:rPr>
          <w:rFonts w:eastAsia="Calibri"/>
          <w:b/>
          <w:bCs/>
          <w:iCs/>
        </w:rPr>
      </w:pPr>
      <w:r>
        <w:rPr>
          <w:rFonts w:eastAsia="Calibri"/>
          <w:b/>
          <w:bCs/>
          <w:iCs/>
        </w:rPr>
      </w:r>
    </w:p>
    <w:tbl>
      <w:tblPr>
        <w:tblW w:w="10356" w:type="dxa"/>
        <w:jc w:val="center"/>
        <w:tblInd w:w="0" w:type="dxa"/>
        <w:tblLayout w:type="fixed"/>
        <w:tblCellMar>
          <w:top w:w="80" w:type="dxa"/>
          <w:left w:w="363" w:type="dxa"/>
          <w:bottom w:w="80" w:type="dxa"/>
          <w:right w:w="80" w:type="dxa"/>
        </w:tblCellMar>
      </w:tblPr>
      <w:tblGrid>
        <w:gridCol w:w="10356"/>
      </w:tblGrid>
      <w:tr>
        <w:trPr>
          <w:trHeight w:val="478" w:hRule="atLeast"/>
        </w:trPr>
        <w:tc>
          <w:tcPr>
            <w:tcW w:w="10356" w:type="dxa"/>
            <w:tcBorders>
              <w:top w:val="single" w:sz="4" w:space="0" w:color="000000"/>
              <w:left w:val="single" w:sz="4" w:space="0" w:color="000000"/>
              <w:bottom w:val="single" w:sz="4" w:space="0" w:color="000000"/>
              <w:right w:val="single" w:sz="4" w:space="0" w:color="000000"/>
            </w:tcBorders>
            <w:shd w:fill="000000" w:val="clear"/>
            <w:vAlign w:val="center"/>
          </w:tcPr>
          <w:p>
            <w:pPr>
              <w:pStyle w:val="Normal"/>
              <w:pBdr/>
              <w:ind w:right="261"/>
              <w:rPr>
                <w:rFonts w:ascii="Calibri" w:hAnsi="Calibri" w:cs="Calibri"/>
                <w:b/>
                <w:bCs/>
                <w:color w:val="FFFFFF"/>
                <w:lang w:val="en-GB"/>
              </w:rPr>
            </w:pPr>
            <w:r>
              <w:rPr>
                <w:rFonts w:cs="Calibri" w:ascii="Calibri" w:hAnsi="Calibri"/>
                <w:b/>
                <w:bCs/>
                <w:color w:val="FFFFFF"/>
                <w:lang w:val="en-GB"/>
              </w:rPr>
              <w:t>KEY WORKING RELATIONSHIPS</w:t>
            </w:r>
          </w:p>
        </w:tc>
      </w:tr>
      <w:tr>
        <w:trPr>
          <w:trHeight w:val="1201" w:hRule="atLeast"/>
        </w:trPr>
        <w:tc>
          <w:tcPr>
            <w:tcW w:w="10356"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2"/>
              </w:numPr>
              <w:pBdr/>
              <w:ind w:hanging="360" w:left="360" w:right="261"/>
              <w:rPr/>
            </w:pPr>
            <w:r>
              <w:rPr>
                <w:rFonts w:cs="Calibri" w:ascii="Calibri" w:hAnsi="Calibri"/>
                <w:color w:val="auto"/>
                <w:sz w:val="24"/>
                <w:szCs w:val="24"/>
                <w:lang w:val="en-GB"/>
              </w:rPr>
              <w:t>Estates, FM and Strategic Transformation senior leadership</w:t>
            </w:r>
          </w:p>
          <w:p>
            <w:pPr>
              <w:pStyle w:val="ListParagraph"/>
              <w:numPr>
                <w:ilvl w:val="0"/>
                <w:numId w:val="2"/>
              </w:numPr>
              <w:pBdr/>
              <w:ind w:hanging="360" w:left="360" w:right="261"/>
              <w:rPr/>
            </w:pPr>
            <w:r>
              <w:rPr>
                <w:rFonts w:cs="Calibri" w:ascii="Calibri" w:hAnsi="Calibri"/>
                <w:color w:val="auto"/>
                <w:sz w:val="24"/>
                <w:szCs w:val="24"/>
                <w:lang w:val="en-GB"/>
              </w:rPr>
              <w:t>Project Managers and Programme Delivery Teams</w:t>
            </w:r>
          </w:p>
          <w:p>
            <w:pPr>
              <w:pStyle w:val="ListParagraph"/>
              <w:numPr>
                <w:ilvl w:val="0"/>
                <w:numId w:val="2"/>
              </w:numPr>
              <w:pBdr/>
              <w:ind w:hanging="360" w:left="360" w:right="261"/>
              <w:rPr/>
            </w:pPr>
            <w:r>
              <w:rPr>
                <w:rFonts w:cs="Calibri" w:ascii="Calibri" w:hAnsi="Calibri"/>
                <w:color w:val="auto"/>
                <w:sz w:val="24"/>
                <w:szCs w:val="24"/>
                <w:lang w:val="en-GB"/>
              </w:rPr>
              <w:t>Seniors Officers, Service Managers and staff within GMCA</w:t>
            </w:r>
          </w:p>
          <w:p>
            <w:pPr>
              <w:pStyle w:val="ListParagraph"/>
              <w:numPr>
                <w:ilvl w:val="0"/>
                <w:numId w:val="2"/>
              </w:numPr>
              <w:pBdr/>
              <w:ind w:hanging="360" w:left="360" w:right="261"/>
              <w:rPr/>
            </w:pPr>
            <w:r>
              <w:rPr>
                <w:rFonts w:cs="Calibri" w:ascii="Calibri" w:hAnsi="Calibri"/>
                <w:color w:val="auto"/>
                <w:sz w:val="24"/>
                <w:szCs w:val="24"/>
                <w:lang w:val="en-GB"/>
              </w:rPr>
              <w:t>Land and Property function</w:t>
            </w:r>
          </w:p>
          <w:p>
            <w:pPr>
              <w:pStyle w:val="ListParagraph"/>
              <w:numPr>
                <w:ilvl w:val="0"/>
                <w:numId w:val="2"/>
              </w:numPr>
              <w:pBdr/>
              <w:ind w:hanging="360" w:left="360" w:right="261"/>
              <w:rPr/>
            </w:pPr>
            <w:r>
              <w:rPr>
                <w:rFonts w:cs="Calibri" w:ascii="Calibri" w:hAnsi="Calibri"/>
                <w:color w:val="auto"/>
                <w:sz w:val="24"/>
                <w:szCs w:val="24"/>
                <w:lang w:val="en-GB"/>
              </w:rPr>
              <w:t>Greater Manchester Fire and Rescue Service and its stakeholders</w:t>
            </w:r>
          </w:p>
          <w:p>
            <w:pPr>
              <w:pStyle w:val="ListParagraph"/>
              <w:numPr>
                <w:ilvl w:val="0"/>
                <w:numId w:val="2"/>
              </w:numPr>
              <w:pBdr/>
              <w:ind w:hanging="360" w:left="360" w:right="261"/>
              <w:rPr/>
            </w:pPr>
            <w:r>
              <w:rPr>
                <w:rFonts w:cs="Calibri" w:ascii="Calibri" w:hAnsi="Calibri"/>
                <w:color w:val="auto"/>
                <w:sz w:val="24"/>
                <w:szCs w:val="24"/>
                <w:lang w:val="en-GB"/>
              </w:rPr>
              <w:t xml:space="preserve">External contractors, sub-contractor partners and suppliers </w:t>
            </w:r>
          </w:p>
          <w:p>
            <w:pPr>
              <w:pStyle w:val="ListParagraph"/>
              <w:numPr>
                <w:ilvl w:val="0"/>
                <w:numId w:val="2"/>
              </w:numPr>
              <w:pBdr/>
              <w:ind w:hanging="360" w:left="360" w:right="261"/>
              <w:rPr/>
            </w:pPr>
            <w:r>
              <w:rPr>
                <w:rFonts w:cs="Calibri" w:ascii="Calibri" w:hAnsi="Calibri"/>
                <w:color w:val="auto"/>
                <w:sz w:val="24"/>
                <w:szCs w:val="24"/>
                <w:lang w:val="en-GB"/>
              </w:rPr>
              <w:t>External design teams</w:t>
            </w:r>
          </w:p>
          <w:p>
            <w:pPr>
              <w:pStyle w:val="ListParagraph"/>
              <w:numPr>
                <w:ilvl w:val="0"/>
                <w:numId w:val="2"/>
              </w:numPr>
              <w:pBdr/>
              <w:ind w:hanging="360" w:left="360" w:right="261"/>
              <w:rPr/>
            </w:pPr>
            <w:r>
              <w:rPr>
                <w:rFonts w:cs="Calibri" w:ascii="Calibri" w:hAnsi="Calibri"/>
                <w:color w:val="auto"/>
                <w:sz w:val="24"/>
                <w:szCs w:val="24"/>
                <w:lang w:val="en-GB"/>
              </w:rPr>
              <w:t>Contract Administrators /Employers Agents</w:t>
            </w:r>
          </w:p>
          <w:p>
            <w:pPr>
              <w:pStyle w:val="ListParagraph"/>
              <w:pBdr/>
              <w:ind w:left="360" w:right="261"/>
              <w:rPr>
                <w:rFonts w:ascii="Calibri" w:hAnsi="Calibri" w:cs="Calibri"/>
                <w:sz w:val="24"/>
                <w:szCs w:val="24"/>
                <w:lang w:val="en-GB"/>
              </w:rPr>
            </w:pPr>
            <w:r>
              <w:rPr>
                <w:rFonts w:cs="Calibri" w:ascii="Calibri" w:hAnsi="Calibri"/>
                <w:sz w:val="24"/>
                <w:szCs w:val="24"/>
                <w:lang w:val="en-GB"/>
              </w:rPr>
            </w:r>
          </w:p>
        </w:tc>
      </w:tr>
    </w:tbl>
    <w:p>
      <w:pPr>
        <w:pStyle w:val="Body"/>
        <w:ind w:left="-567" w:right="261"/>
        <w:rPr>
          <w:rFonts w:eastAsia="Calibri"/>
          <w:b/>
          <w:bCs/>
          <w:iCs/>
        </w:rPr>
      </w:pPr>
      <w:r>
        <w:rPr>
          <w:rFonts w:eastAsia="Calibri"/>
          <w:b/>
          <w:bCs/>
          <w:iCs/>
        </w:rPr>
      </w:r>
    </w:p>
    <w:p>
      <w:pPr>
        <w:pStyle w:val="Body"/>
        <w:ind w:left="-567" w:right="261"/>
        <w:rPr>
          <w:rFonts w:eastAsia="Calibri"/>
          <w:b/>
          <w:bCs/>
          <w:iCs/>
        </w:rPr>
      </w:pPr>
      <w:r>
        <w:rPr>
          <w:rFonts w:eastAsia="Calibri"/>
          <w:b/>
          <w:bCs/>
          <w:iCs/>
        </w:rPr>
      </w:r>
    </w:p>
    <w:tbl>
      <w:tblPr>
        <w:tblW w:w="10386" w:type="dxa"/>
        <w:jc w:val="center"/>
        <w:tblInd w:w="0" w:type="dxa"/>
        <w:tblLayout w:type="fixed"/>
        <w:tblCellMar>
          <w:top w:w="80" w:type="dxa"/>
          <w:left w:w="80" w:type="dxa"/>
          <w:bottom w:w="80" w:type="dxa"/>
          <w:right w:w="80" w:type="dxa"/>
        </w:tblCellMar>
      </w:tblPr>
      <w:tblGrid>
        <w:gridCol w:w="10386"/>
      </w:tblGrid>
      <w:tr>
        <w:trPr>
          <w:trHeight w:val="479" w:hRule="atLeast"/>
        </w:trPr>
        <w:tc>
          <w:tcPr>
            <w:tcW w:w="10386" w:type="dxa"/>
            <w:tcBorders>
              <w:top w:val="single" w:sz="6" w:space="0" w:color="000000"/>
              <w:left w:val="single" w:sz="6" w:space="0" w:color="000000"/>
              <w:right w:val="single" w:sz="6" w:space="0" w:color="000000"/>
            </w:tcBorders>
            <w:shd w:fill="000000" w:val="clear"/>
            <w:vAlign w:val="center"/>
          </w:tcPr>
          <w:p>
            <w:pPr>
              <w:pStyle w:val="Body"/>
              <w:ind w:right="261"/>
              <w:rPr>
                <w:rFonts w:ascii="Calibri" w:hAnsi="Calibri" w:eastAsia="Calibri" w:cs="Calibri"/>
                <w:b/>
                <w:bCs/>
                <w:color w:val="FFFFFF"/>
                <w:sz w:val="24"/>
                <w:szCs w:val="24"/>
                <w:u w:val="none" w:color="FFFFFF"/>
              </w:rPr>
            </w:pPr>
            <w:r>
              <w:rPr>
                <w:rFonts w:eastAsia="Calibri" w:cs="Calibri" w:ascii="Calibri" w:hAnsi="Calibri"/>
                <w:b/>
                <w:bCs/>
                <w:color w:val="FFFFFF"/>
                <w:sz w:val="24"/>
                <w:szCs w:val="24"/>
                <w:u w:val="none" w:color="FFFFFF"/>
              </w:rPr>
              <w:t xml:space="preserve">KEY RESPONSIBILITIES </w:t>
            </w:r>
          </w:p>
        </w:tc>
      </w:tr>
      <w:tr>
        <w:trPr>
          <w:trHeight w:val="739" w:hRule="atLeast"/>
        </w:trPr>
        <w:tc>
          <w:tcPr>
            <w:tcW w:w="10386" w:type="dxa"/>
            <w:tcBorders>
              <w:left w:val="single" w:sz="4" w:space="0" w:color="000000"/>
              <w:right w:val="single" w:sz="6" w:space="0" w:color="000000"/>
            </w:tcBorders>
            <w:vAlign w:val="center"/>
          </w:tcPr>
          <w:p>
            <w:pPr>
              <w:pStyle w:val="Normal"/>
              <w:tabs>
                <w:tab w:val="clear" w:pos="720"/>
                <w:tab w:val="left" w:pos="-720" w:leader="none"/>
              </w:tabs>
              <w:snapToGrid w:val="false"/>
              <w:spacing w:lineRule="auto" w:line="276"/>
              <w:jc w:val="both"/>
              <w:rPr>
                <w:rFonts w:ascii="Calibri" w:hAnsi="Calibri" w:cs="Calibri"/>
                <w:lang w:val="en-GB" w:eastAsia="en-GB"/>
              </w:rPr>
            </w:pPr>
            <w:r>
              <w:rPr>
                <w:rFonts w:cs="Calibri" w:ascii="Calibri" w:hAnsi="Calibri"/>
                <w:lang w:val="en-GB" w:eastAsia="en-GB"/>
              </w:rPr>
            </w:r>
          </w:p>
          <w:p>
            <w:pPr>
              <w:pStyle w:val="Normal"/>
              <w:tabs>
                <w:tab w:val="clear" w:pos="720"/>
                <w:tab w:val="left" w:pos="-720" w:leader="none"/>
              </w:tabs>
              <w:snapToGrid w:val="false"/>
              <w:spacing w:lineRule="auto" w:line="276"/>
              <w:jc w:val="both"/>
              <w:rPr>
                <w:rFonts w:ascii="Calibri" w:hAnsi="Calibri" w:cs="Calibri"/>
                <w:b/>
                <w:bCs/>
                <w:lang w:val="en-GB" w:eastAsia="en-GB"/>
              </w:rPr>
            </w:pPr>
            <w:r>
              <w:rPr>
                <w:rFonts w:cs="Calibri" w:ascii="Calibri" w:hAnsi="Calibri"/>
                <w:b/>
                <w:bCs/>
                <w:lang w:val="en-GB" w:eastAsia="en-GB"/>
              </w:rPr>
              <w:t>Construction Quality Assurance</w:t>
            </w:r>
          </w:p>
          <w:p>
            <w:pPr>
              <w:pStyle w:val="Normal"/>
              <w:numPr>
                <w:ilvl w:val="0"/>
                <w:numId w:val="6"/>
              </w:numPr>
              <w:tabs>
                <w:tab w:val="clear" w:pos="720"/>
                <w:tab w:val="left" w:pos="-720" w:leader="none"/>
              </w:tabs>
              <w:snapToGrid w:val="false"/>
              <w:spacing w:lineRule="auto" w:line="276"/>
              <w:jc w:val="both"/>
              <w:rPr/>
            </w:pPr>
            <w:r>
              <w:rPr>
                <w:rFonts w:cs="Calibri" w:ascii="Calibri" w:hAnsi="Calibri"/>
                <w:lang w:val="en-GB" w:eastAsia="en-GB"/>
              </w:rPr>
              <w:t>Undertake regular inspections of construction, M&amp;E and civil engineering works.</w:t>
            </w:r>
          </w:p>
          <w:p>
            <w:pPr>
              <w:pStyle w:val="Normal"/>
              <w:numPr>
                <w:ilvl w:val="0"/>
                <w:numId w:val="6"/>
              </w:numPr>
              <w:tabs>
                <w:tab w:val="clear" w:pos="720"/>
                <w:tab w:val="left" w:pos="-720" w:leader="none"/>
              </w:tabs>
              <w:snapToGrid w:val="false"/>
              <w:spacing w:lineRule="auto" w:line="276"/>
              <w:jc w:val="both"/>
              <w:rPr/>
            </w:pPr>
            <w:r>
              <w:rPr>
                <w:rFonts w:cs="Calibri" w:ascii="Calibri" w:hAnsi="Calibri"/>
                <w:lang w:val="en-GB" w:eastAsia="en-GB"/>
              </w:rPr>
              <w:t>Ensure workmanship, materials and installations meet required specifications and standards.</w:t>
            </w:r>
          </w:p>
          <w:p>
            <w:pPr>
              <w:pStyle w:val="Normal"/>
              <w:numPr>
                <w:ilvl w:val="0"/>
                <w:numId w:val="6"/>
              </w:numPr>
              <w:tabs>
                <w:tab w:val="clear" w:pos="720"/>
                <w:tab w:val="left" w:pos="-720" w:leader="none"/>
              </w:tabs>
              <w:snapToGrid w:val="false"/>
              <w:spacing w:lineRule="auto" w:line="276"/>
              <w:jc w:val="both"/>
              <w:rPr/>
            </w:pPr>
            <w:r>
              <w:rPr>
                <w:rFonts w:cs="Calibri" w:ascii="Calibri" w:hAnsi="Calibri"/>
                <w:lang w:val="en-GB" w:eastAsia="en-GB"/>
              </w:rPr>
              <w:t>Identify defects, quality concerns and non-compliant work, escalating issues where required.</w:t>
            </w:r>
          </w:p>
          <w:p>
            <w:pPr>
              <w:pStyle w:val="Normal"/>
              <w:numPr>
                <w:ilvl w:val="0"/>
                <w:numId w:val="6"/>
              </w:numPr>
              <w:tabs>
                <w:tab w:val="clear" w:pos="720"/>
                <w:tab w:val="left" w:pos="-720" w:leader="none"/>
              </w:tabs>
              <w:snapToGrid w:val="false"/>
              <w:spacing w:lineRule="auto" w:line="276"/>
              <w:jc w:val="both"/>
              <w:rPr/>
            </w:pPr>
            <w:r>
              <w:rPr>
                <w:rFonts w:cs="Calibri" w:ascii="Calibri" w:hAnsi="Calibri"/>
                <w:lang w:val="en-GB" w:eastAsia="en-GB"/>
              </w:rPr>
              <w:t xml:space="preserve">Monitor corrective actions and verify completion of remedial works. </w:t>
            </w:r>
          </w:p>
          <w:p>
            <w:pPr>
              <w:pStyle w:val="Normal"/>
              <w:tabs>
                <w:tab w:val="clear" w:pos="720"/>
                <w:tab w:val="left" w:pos="-720" w:leader="none"/>
              </w:tabs>
              <w:snapToGrid w:val="false"/>
              <w:spacing w:lineRule="auto" w:line="276"/>
              <w:ind w:left="360" w:right="0"/>
              <w:jc w:val="both"/>
              <w:rPr>
                <w:rFonts w:ascii="Calibri" w:hAnsi="Calibri" w:cs="Calibri"/>
                <w:lang w:val="en-GB" w:eastAsia="en-GB"/>
              </w:rPr>
            </w:pPr>
            <w:r>
              <w:rPr>
                <w:rFonts w:cs="Calibri" w:ascii="Calibri" w:hAnsi="Calibri"/>
                <w:lang w:val="en-GB" w:eastAsia="en-GB"/>
              </w:rPr>
            </w:r>
          </w:p>
          <w:p>
            <w:pPr>
              <w:pStyle w:val="Normal"/>
              <w:tabs>
                <w:tab w:val="clear" w:pos="720"/>
                <w:tab w:val="left" w:pos="-720" w:leader="none"/>
              </w:tabs>
              <w:snapToGrid w:val="false"/>
              <w:spacing w:lineRule="auto" w:line="276"/>
              <w:jc w:val="both"/>
              <w:rPr>
                <w:rFonts w:ascii="Calibri" w:hAnsi="Calibri" w:cs="Calibri"/>
                <w:b/>
                <w:bCs/>
                <w:lang w:val="en-GB" w:eastAsia="en-GB"/>
              </w:rPr>
            </w:pPr>
            <w:r>
              <w:rPr>
                <w:rFonts w:cs="Calibri" w:ascii="Calibri" w:hAnsi="Calibri"/>
                <w:b/>
                <w:bCs/>
                <w:lang w:val="en-GB" w:eastAsia="en-GB"/>
              </w:rPr>
              <w:t>Compliance &amp; Technical Assurance</w:t>
            </w:r>
          </w:p>
          <w:p>
            <w:pPr>
              <w:pStyle w:val="Normal"/>
              <w:numPr>
                <w:ilvl w:val="0"/>
                <w:numId w:val="7"/>
              </w:numPr>
              <w:snapToGrid w:val="false"/>
              <w:spacing w:lineRule="auto" w:line="276"/>
              <w:jc w:val="both"/>
              <w:rPr/>
            </w:pPr>
            <w:r>
              <w:rPr>
                <w:rFonts w:cs="Calibri" w:ascii="Calibri" w:hAnsi="Calibri"/>
                <w:lang w:val="en-GB" w:eastAsia="en-GB"/>
              </w:rPr>
              <w:t>Review drawings, specifications and contract information throughout all construction stages.</w:t>
            </w:r>
          </w:p>
          <w:p>
            <w:pPr>
              <w:pStyle w:val="Normal"/>
              <w:numPr>
                <w:ilvl w:val="0"/>
                <w:numId w:val="7"/>
              </w:numPr>
              <w:tabs>
                <w:tab w:val="clear" w:pos="720"/>
                <w:tab w:val="left" w:pos="-720" w:leader="none"/>
              </w:tabs>
              <w:snapToGrid w:val="false"/>
              <w:spacing w:lineRule="auto" w:line="276"/>
              <w:jc w:val="both"/>
              <w:rPr/>
            </w:pPr>
            <w:r>
              <w:rPr>
                <w:rFonts w:cs="Calibri" w:ascii="Calibri" w:hAnsi="Calibri"/>
                <w:lang w:val="en-GB" w:eastAsia="en-GB"/>
              </w:rPr>
              <w:t>Witness testing, commissioning and handover activities.</w:t>
            </w:r>
          </w:p>
          <w:p>
            <w:pPr>
              <w:pStyle w:val="Normal"/>
              <w:numPr>
                <w:ilvl w:val="0"/>
                <w:numId w:val="7"/>
              </w:numPr>
              <w:tabs>
                <w:tab w:val="clear" w:pos="720"/>
                <w:tab w:val="left" w:pos="-720" w:leader="none"/>
              </w:tabs>
              <w:snapToGrid w:val="false"/>
              <w:spacing w:lineRule="auto" w:line="276"/>
              <w:jc w:val="both"/>
              <w:rPr/>
            </w:pPr>
            <w:r>
              <w:rPr>
                <w:rFonts w:cs="Calibri" w:ascii="Calibri" w:hAnsi="Calibri"/>
                <w:lang w:val="en-GB" w:eastAsia="en-GB"/>
              </w:rPr>
              <w:t>Verify compliance with Building Regulations, CDM requirements and relevant industry standards.</w:t>
            </w:r>
          </w:p>
          <w:p>
            <w:pPr>
              <w:pStyle w:val="Normal"/>
              <w:numPr>
                <w:ilvl w:val="0"/>
                <w:numId w:val="7"/>
              </w:numPr>
              <w:tabs>
                <w:tab w:val="clear" w:pos="720"/>
                <w:tab w:val="left" w:pos="-720" w:leader="none"/>
              </w:tabs>
              <w:snapToGrid w:val="false"/>
              <w:spacing w:lineRule="auto" w:line="276"/>
              <w:jc w:val="both"/>
              <w:rPr/>
            </w:pPr>
            <w:r>
              <w:rPr>
                <w:rFonts w:cs="Calibri" w:ascii="Calibri" w:hAnsi="Calibri"/>
                <w:lang w:val="en-GB" w:eastAsia="en-GB"/>
              </w:rPr>
              <w:t xml:space="preserve">Review certification and quality records provided by contractors. </w:t>
            </w:r>
          </w:p>
          <w:p>
            <w:pPr>
              <w:pStyle w:val="Normal"/>
              <w:tabs>
                <w:tab w:val="clear" w:pos="720"/>
                <w:tab w:val="left" w:pos="-720" w:leader="none"/>
              </w:tabs>
              <w:snapToGrid w:val="false"/>
              <w:spacing w:lineRule="auto" w:line="276"/>
              <w:jc w:val="both"/>
              <w:rPr>
                <w:rFonts w:ascii="Calibri" w:hAnsi="Calibri" w:cs="Calibri"/>
                <w:lang w:val="en-GB" w:eastAsia="en-GB"/>
              </w:rPr>
            </w:pPr>
            <w:r>
              <w:rPr>
                <w:rFonts w:cs="Calibri" w:ascii="Calibri" w:hAnsi="Calibri"/>
                <w:lang w:val="en-GB" w:eastAsia="en-GB"/>
              </w:rPr>
            </w:r>
          </w:p>
          <w:p>
            <w:pPr>
              <w:pStyle w:val="Normal"/>
              <w:tabs>
                <w:tab w:val="clear" w:pos="720"/>
                <w:tab w:val="left" w:pos="-720" w:leader="none"/>
              </w:tabs>
              <w:snapToGrid w:val="false"/>
              <w:spacing w:lineRule="auto" w:line="276"/>
              <w:jc w:val="both"/>
              <w:rPr>
                <w:rFonts w:ascii="Calibri" w:hAnsi="Calibri" w:cs="Calibri"/>
                <w:b/>
                <w:bCs/>
                <w:lang w:val="en-GB" w:eastAsia="en-GB"/>
              </w:rPr>
            </w:pPr>
            <w:r>
              <w:rPr>
                <w:rFonts w:cs="Calibri" w:ascii="Calibri" w:hAnsi="Calibri"/>
                <w:b/>
                <w:bCs/>
                <w:lang w:val="en-GB" w:eastAsia="en-GB"/>
              </w:rPr>
              <w:t>Reporting &amp; Stakeholder Management</w:t>
            </w:r>
          </w:p>
          <w:p>
            <w:pPr>
              <w:pStyle w:val="Normal"/>
              <w:numPr>
                <w:ilvl w:val="0"/>
                <w:numId w:val="8"/>
              </w:numPr>
              <w:tabs>
                <w:tab w:val="clear" w:pos="720"/>
                <w:tab w:val="left" w:pos="-720" w:leader="none"/>
              </w:tabs>
              <w:snapToGrid w:val="false"/>
              <w:spacing w:lineRule="auto" w:line="276"/>
              <w:jc w:val="both"/>
              <w:rPr/>
            </w:pPr>
            <w:r>
              <w:rPr>
                <w:rFonts w:cs="Calibri" w:ascii="Calibri" w:hAnsi="Calibri"/>
                <w:lang w:val="en-GB" w:eastAsia="en-GB"/>
              </w:rPr>
              <w:t>Maintain site diaries, inspection records and photographic evidence.</w:t>
            </w:r>
          </w:p>
          <w:p>
            <w:pPr>
              <w:pStyle w:val="Normal"/>
              <w:numPr>
                <w:ilvl w:val="0"/>
                <w:numId w:val="8"/>
              </w:numPr>
              <w:tabs>
                <w:tab w:val="clear" w:pos="720"/>
                <w:tab w:val="left" w:pos="-720" w:leader="none"/>
              </w:tabs>
              <w:snapToGrid w:val="false"/>
              <w:spacing w:lineRule="auto" w:line="276"/>
              <w:jc w:val="both"/>
              <w:rPr/>
            </w:pPr>
            <w:r>
              <w:rPr>
                <w:rFonts w:cs="Calibri" w:ascii="Calibri" w:hAnsi="Calibri"/>
                <w:lang w:val="en-GB" w:eastAsia="en-GB"/>
              </w:rPr>
              <w:t>Produce regular progress, quality and defect reports.</w:t>
            </w:r>
          </w:p>
          <w:p>
            <w:pPr>
              <w:pStyle w:val="Normal"/>
              <w:numPr>
                <w:ilvl w:val="0"/>
                <w:numId w:val="8"/>
              </w:numPr>
              <w:tabs>
                <w:tab w:val="clear" w:pos="720"/>
                <w:tab w:val="left" w:pos="-720" w:leader="none"/>
              </w:tabs>
              <w:snapToGrid w:val="false"/>
              <w:spacing w:lineRule="auto" w:line="276"/>
              <w:jc w:val="both"/>
              <w:rPr/>
            </w:pPr>
            <w:r>
              <w:rPr>
                <w:rFonts w:cs="Calibri" w:ascii="Calibri" w:hAnsi="Calibri"/>
                <w:lang w:val="en-GB" w:eastAsia="en-GB"/>
              </w:rPr>
              <w:t>Provide technical advice and assurance to Project Managers and key stakeholders.</w:t>
            </w:r>
          </w:p>
          <w:p>
            <w:pPr>
              <w:pStyle w:val="Normal"/>
              <w:numPr>
                <w:ilvl w:val="0"/>
                <w:numId w:val="8"/>
              </w:numPr>
              <w:tabs>
                <w:tab w:val="clear" w:pos="720"/>
                <w:tab w:val="left" w:pos="-720" w:leader="none"/>
              </w:tabs>
              <w:snapToGrid w:val="false"/>
              <w:spacing w:lineRule="auto" w:line="276"/>
              <w:jc w:val="both"/>
              <w:rPr/>
            </w:pPr>
            <w:r>
              <w:rPr>
                <w:rFonts w:cs="Calibri" w:ascii="Calibri" w:hAnsi="Calibri"/>
                <w:lang w:val="en-GB" w:eastAsia="en-GB"/>
              </w:rPr>
              <w:t xml:space="preserve">Develop effective working relationships with contractors, consultants and operational teams. </w:t>
            </w:r>
          </w:p>
          <w:p>
            <w:pPr>
              <w:pStyle w:val="Normal"/>
              <w:tabs>
                <w:tab w:val="clear" w:pos="720"/>
                <w:tab w:val="left" w:pos="-720" w:leader="none"/>
              </w:tabs>
              <w:snapToGrid w:val="false"/>
              <w:spacing w:lineRule="auto" w:line="276"/>
              <w:ind w:left="720" w:right="0"/>
              <w:jc w:val="both"/>
              <w:rPr>
                <w:rFonts w:ascii="Calibri" w:hAnsi="Calibri" w:cs="Calibri"/>
                <w:lang w:val="en-GB" w:eastAsia="en-GB"/>
              </w:rPr>
            </w:pPr>
            <w:r>
              <w:rPr>
                <w:rFonts w:cs="Calibri" w:ascii="Calibri" w:hAnsi="Calibri"/>
                <w:lang w:val="en-GB" w:eastAsia="en-GB"/>
              </w:rPr>
            </w:r>
          </w:p>
          <w:p>
            <w:pPr>
              <w:pStyle w:val="Normal"/>
              <w:tabs>
                <w:tab w:val="clear" w:pos="720"/>
                <w:tab w:val="left" w:pos="-720" w:leader="none"/>
              </w:tabs>
              <w:snapToGrid w:val="false"/>
              <w:spacing w:lineRule="auto" w:line="276"/>
              <w:jc w:val="both"/>
              <w:rPr>
                <w:rFonts w:ascii="Calibri" w:hAnsi="Calibri" w:cs="Calibri"/>
                <w:b/>
                <w:bCs/>
                <w:lang w:val="en-GB" w:eastAsia="en-GB"/>
              </w:rPr>
            </w:pPr>
            <w:r>
              <w:rPr>
                <w:rFonts w:cs="Calibri" w:ascii="Calibri" w:hAnsi="Calibri"/>
                <w:b/>
                <w:bCs/>
                <w:lang w:val="en-GB" w:eastAsia="en-GB"/>
              </w:rPr>
              <w:t>Completion &amp; Defects</w:t>
            </w:r>
          </w:p>
          <w:p>
            <w:pPr>
              <w:pStyle w:val="Normal"/>
              <w:numPr>
                <w:ilvl w:val="0"/>
                <w:numId w:val="9"/>
              </w:numPr>
              <w:tabs>
                <w:tab w:val="clear" w:pos="720"/>
                <w:tab w:val="left" w:pos="-720" w:leader="none"/>
              </w:tabs>
              <w:snapToGrid w:val="false"/>
              <w:spacing w:lineRule="auto" w:line="276"/>
              <w:jc w:val="both"/>
              <w:rPr/>
            </w:pPr>
            <w:r>
              <w:rPr>
                <w:rFonts w:cs="Calibri" w:ascii="Calibri" w:hAnsi="Calibri"/>
                <w:lang w:val="en-GB" w:eastAsia="en-GB"/>
              </w:rPr>
              <w:t>Undertake snagging and practical completion inspections.</w:t>
            </w:r>
          </w:p>
          <w:p>
            <w:pPr>
              <w:pStyle w:val="Normal"/>
              <w:numPr>
                <w:ilvl w:val="0"/>
                <w:numId w:val="9"/>
              </w:numPr>
              <w:tabs>
                <w:tab w:val="clear" w:pos="720"/>
                <w:tab w:val="left" w:pos="-720" w:leader="none"/>
              </w:tabs>
              <w:snapToGrid w:val="false"/>
              <w:spacing w:lineRule="auto" w:line="276"/>
              <w:jc w:val="both"/>
              <w:rPr/>
            </w:pPr>
            <w:r>
              <w:rPr>
                <w:rFonts w:cs="Calibri" w:ascii="Calibri" w:hAnsi="Calibri"/>
                <w:lang w:val="en-GB" w:eastAsia="en-GB"/>
              </w:rPr>
              <w:t>Prepare and monitor defect schedules.</w:t>
            </w:r>
          </w:p>
          <w:p>
            <w:pPr>
              <w:pStyle w:val="Normal"/>
              <w:numPr>
                <w:ilvl w:val="0"/>
                <w:numId w:val="9"/>
              </w:numPr>
              <w:tabs>
                <w:tab w:val="clear" w:pos="720"/>
                <w:tab w:val="left" w:pos="-720" w:leader="none"/>
              </w:tabs>
              <w:snapToGrid w:val="false"/>
              <w:spacing w:lineRule="auto" w:line="276"/>
              <w:jc w:val="both"/>
              <w:rPr/>
            </w:pPr>
            <w:r>
              <w:rPr>
                <w:rFonts w:cs="Calibri" w:ascii="Calibri" w:hAnsi="Calibri"/>
                <w:lang w:val="en-GB" w:eastAsia="en-GB"/>
              </w:rPr>
              <w:t>Support project handover and inspect remedial works during the defects liability period.</w:t>
            </w:r>
          </w:p>
          <w:p>
            <w:pPr>
              <w:pStyle w:val="Normal"/>
              <w:tabs>
                <w:tab w:val="clear" w:pos="720"/>
                <w:tab w:val="left" w:pos="-720" w:leader="none"/>
              </w:tabs>
              <w:snapToGrid w:val="false"/>
              <w:spacing w:lineRule="auto" w:line="276"/>
              <w:jc w:val="both"/>
              <w:rPr>
                <w:rFonts w:ascii="Calibri" w:hAnsi="Calibri" w:cs="Calibri"/>
                <w:lang w:val="en-GB" w:eastAsia="en-GB"/>
              </w:rPr>
            </w:pPr>
            <w:r>
              <w:rPr>
                <w:rFonts w:cs="Calibri" w:ascii="Calibri" w:hAnsi="Calibri"/>
                <w:lang w:val="en-GB" w:eastAsia="en-GB"/>
              </w:rPr>
            </w:r>
          </w:p>
        </w:tc>
      </w:tr>
      <w:tr>
        <w:trPr>
          <w:trHeight w:val="23" w:hRule="atLeast"/>
        </w:trPr>
        <w:tc>
          <w:tcPr>
            <w:tcW w:w="10386" w:type="dxa"/>
            <w:tcBorders>
              <w:left w:val="single" w:sz="4" w:space="0" w:color="000000"/>
              <w:bottom w:val="single" w:sz="4" w:space="0" w:color="000000"/>
              <w:right w:val="single" w:sz="6" w:space="0" w:color="000000"/>
            </w:tcBorders>
            <w:vAlign w:val="center"/>
          </w:tcPr>
          <w:p>
            <w:pPr>
              <w:pStyle w:val="Normal"/>
              <w:pBdr/>
              <w:spacing w:lineRule="auto" w:line="276"/>
              <w:rPr>
                <w:rFonts w:ascii="Calibri" w:hAnsi="Calibri" w:cs="Calibri"/>
                <w:b/>
                <w:bCs/>
                <w:lang w:val="en-GB"/>
              </w:rPr>
            </w:pPr>
            <w:r>
              <w:rPr>
                <w:rFonts w:cs="Calibri" w:ascii="Calibri" w:hAnsi="Calibri"/>
                <w:b/>
                <w:bCs/>
                <w:lang w:val="en-GB"/>
              </w:rPr>
              <w:t>The Construction Quality Inspector (Clerk of Works) shall not:</w:t>
            </w:r>
          </w:p>
          <w:p>
            <w:pPr>
              <w:pStyle w:val="Normal"/>
              <w:numPr>
                <w:ilvl w:val="0"/>
                <w:numId w:val="10"/>
              </w:numPr>
              <w:pBdr/>
              <w:spacing w:lineRule="auto" w:line="276"/>
              <w:rPr/>
            </w:pPr>
            <w:r>
              <w:rPr>
                <w:rFonts w:cs="Calibri" w:ascii="Calibri" w:hAnsi="Calibri"/>
                <w:lang w:val="en-GB"/>
              </w:rPr>
              <w:t>Approve design changes.</w:t>
            </w:r>
          </w:p>
          <w:p>
            <w:pPr>
              <w:pStyle w:val="Normal"/>
              <w:numPr>
                <w:ilvl w:val="0"/>
                <w:numId w:val="10"/>
              </w:numPr>
              <w:pBdr/>
              <w:spacing w:lineRule="auto" w:line="276"/>
              <w:rPr/>
            </w:pPr>
            <w:r>
              <w:rPr>
                <w:rFonts w:cs="Calibri" w:ascii="Calibri" w:hAnsi="Calibri"/>
                <w:lang w:val="en-GB"/>
              </w:rPr>
              <w:t xml:space="preserve">Instruct contractors on methods of working, except where immediate health and </w:t>
            </w:r>
          </w:p>
          <w:p>
            <w:pPr>
              <w:pStyle w:val="Normal"/>
              <w:pBdr/>
              <w:spacing w:lineRule="auto" w:line="276"/>
              <w:ind w:left="720" w:right="0"/>
              <w:rPr>
                <w:rFonts w:ascii="Calibri" w:hAnsi="Calibri" w:cs="Calibri"/>
                <w:lang w:val="en-GB"/>
              </w:rPr>
            </w:pPr>
            <w:r>
              <w:rPr>
                <w:rFonts w:cs="Calibri" w:ascii="Calibri" w:hAnsi="Calibri"/>
                <w:lang w:val="en-GB"/>
              </w:rPr>
              <w:t>safety concerns exist.</w:t>
            </w:r>
          </w:p>
          <w:p>
            <w:pPr>
              <w:pStyle w:val="Normal"/>
              <w:numPr>
                <w:ilvl w:val="0"/>
                <w:numId w:val="10"/>
              </w:numPr>
              <w:pBdr/>
              <w:spacing w:lineRule="auto" w:line="276"/>
              <w:rPr/>
            </w:pPr>
            <w:r>
              <w:rPr>
                <w:rFonts w:cs="Calibri" w:ascii="Calibri" w:hAnsi="Calibri"/>
                <w:lang w:val="en-GB"/>
              </w:rPr>
              <w:t>Commit the organisation financially or contractually.</w:t>
            </w:r>
          </w:p>
          <w:p>
            <w:pPr>
              <w:pStyle w:val="Normal"/>
              <w:numPr>
                <w:ilvl w:val="0"/>
                <w:numId w:val="10"/>
              </w:numPr>
              <w:pBdr/>
              <w:spacing w:lineRule="auto" w:line="276"/>
              <w:rPr/>
            </w:pPr>
            <w:r>
              <w:rPr>
                <w:rFonts w:cs="Calibri" w:ascii="Calibri" w:hAnsi="Calibri"/>
                <w:lang w:val="en-GB"/>
              </w:rPr>
              <w:t>Act as Contract Administrator, Principal Designer or Principal Contractor.</w:t>
            </w:r>
          </w:p>
          <w:p>
            <w:pPr>
              <w:pStyle w:val="Normal"/>
              <w:pBdr/>
              <w:spacing w:lineRule="auto" w:line="276"/>
              <w:rPr>
                <w:rFonts w:ascii="Calibri" w:hAnsi="Calibri" w:cs="Calibri"/>
                <w:sz w:val="26"/>
                <w:szCs w:val="26"/>
              </w:rPr>
            </w:pPr>
            <w:r>
              <w:rPr>
                <w:rFonts w:cs="Calibri" w:ascii="Calibri" w:hAnsi="Calibri"/>
                <w:sz w:val="26"/>
                <w:szCs w:val="26"/>
              </w:rPr>
            </w:r>
          </w:p>
        </w:tc>
      </w:tr>
    </w:tbl>
    <w:p>
      <w:pPr>
        <w:pStyle w:val="Body"/>
        <w:spacing w:lineRule="auto" w:line="276"/>
        <w:ind w:left="-567" w:right="261"/>
        <w:rPr>
          <w:rFonts w:eastAsia="Calibri"/>
          <w:b/>
          <w:bCs/>
          <w:iCs/>
        </w:rPr>
      </w:pPr>
      <w:r>
        <w:rPr>
          <w:rFonts w:eastAsia="Calibri"/>
          <w:b/>
          <w:bCs/>
          <w:iCs/>
        </w:rPr>
      </w:r>
    </w:p>
    <w:p>
      <w:pPr>
        <w:pStyle w:val="Body"/>
        <w:spacing w:lineRule="auto" w:line="276"/>
        <w:ind w:left="-567" w:right="261"/>
        <w:rPr>
          <w:rFonts w:eastAsia="Calibri"/>
          <w:b/>
          <w:bCs/>
          <w:iCs/>
        </w:rPr>
      </w:pPr>
      <w:r>
        <w:rPr>
          <w:rFonts w:eastAsia="Calibri"/>
          <w:b/>
          <w:bCs/>
          <w:iCs/>
        </w:rPr>
      </w:r>
    </w:p>
    <w:p>
      <w:pPr>
        <w:pStyle w:val="Body"/>
        <w:spacing w:lineRule="auto" w:line="276"/>
        <w:ind w:left="-567" w:right="261"/>
        <w:rPr>
          <w:rFonts w:eastAsia="Calibri"/>
          <w:b/>
          <w:bCs/>
          <w:iCs/>
        </w:rPr>
      </w:pPr>
      <w:r>
        <w:rPr>
          <w:rFonts w:eastAsia="Calibri"/>
          <w:b/>
          <w:bCs/>
          <w:iCs/>
        </w:rPr>
      </w:r>
    </w:p>
    <w:p>
      <w:pPr>
        <w:pStyle w:val="Body"/>
        <w:spacing w:lineRule="auto" w:line="276"/>
        <w:ind w:left="-567" w:right="261"/>
        <w:rPr>
          <w:rFonts w:eastAsia="Calibri"/>
          <w:b/>
          <w:bCs/>
          <w:iCs/>
        </w:rPr>
      </w:pPr>
      <w:r>
        <w:rPr>
          <w:rFonts w:eastAsia="Calibri"/>
          <w:b/>
          <w:bCs/>
          <w:iCs/>
        </w:rPr>
      </w:r>
    </w:p>
    <w:p>
      <w:pPr>
        <w:pStyle w:val="Body"/>
        <w:spacing w:lineRule="auto" w:line="276"/>
        <w:ind w:left="-567" w:right="261"/>
        <w:rPr>
          <w:rFonts w:eastAsia="Calibri"/>
          <w:b/>
          <w:bCs/>
          <w:iCs/>
        </w:rPr>
      </w:pPr>
      <w:r>
        <w:rPr>
          <w:rFonts w:eastAsia="Calibri"/>
          <w:b/>
          <w:bCs/>
          <w:iCs/>
        </w:rPr>
      </w:r>
    </w:p>
    <w:p>
      <w:pPr>
        <w:pStyle w:val="Body"/>
        <w:spacing w:lineRule="auto" w:line="276"/>
        <w:ind w:left="-567" w:right="261"/>
        <w:rPr>
          <w:rFonts w:eastAsia="Calibri"/>
          <w:b/>
          <w:bCs/>
          <w:iCs/>
        </w:rPr>
      </w:pPr>
      <w:r>
        <w:rPr>
          <w:rFonts w:eastAsia="Calibri"/>
          <w:b/>
          <w:bCs/>
          <w:iCs/>
        </w:rPr>
      </w:r>
    </w:p>
    <w:p>
      <w:pPr>
        <w:pStyle w:val="Body"/>
        <w:spacing w:lineRule="auto" w:line="276"/>
        <w:ind w:left="-567" w:right="261"/>
        <w:rPr>
          <w:rFonts w:eastAsia="Calibri"/>
          <w:b/>
          <w:bCs/>
          <w:iCs/>
        </w:rPr>
      </w:pPr>
      <w:r>
        <w:rPr>
          <w:rFonts w:eastAsia="Calibri"/>
          <w:b/>
          <w:bCs/>
          <w:iCs/>
        </w:rPr>
      </w:r>
    </w:p>
    <w:p>
      <w:pPr>
        <w:pStyle w:val="Body"/>
        <w:spacing w:lineRule="auto" w:line="276"/>
        <w:ind w:left="-567" w:right="261"/>
        <w:rPr>
          <w:rFonts w:eastAsia="Calibri"/>
          <w:b/>
          <w:bCs/>
          <w:iCs/>
        </w:rPr>
      </w:pPr>
      <w:r>
        <w:rPr>
          <w:rFonts w:eastAsia="Calibri"/>
          <w:b/>
          <w:bCs/>
          <w:iCs/>
        </w:rPr>
      </w:r>
    </w:p>
    <w:p>
      <w:pPr>
        <w:pStyle w:val="Body"/>
        <w:spacing w:lineRule="auto" w:line="276"/>
        <w:ind w:left="-567" w:right="261"/>
        <w:rPr>
          <w:rFonts w:eastAsia="Calibri"/>
          <w:b/>
          <w:bCs/>
          <w:iCs/>
        </w:rPr>
      </w:pPr>
      <w:r>
        <w:rPr>
          <w:rFonts w:eastAsia="Calibri"/>
          <w:b/>
          <w:bCs/>
          <w:iCs/>
        </w:rPr>
      </w:r>
    </w:p>
    <w:p>
      <w:pPr>
        <w:pStyle w:val="Body"/>
        <w:spacing w:lineRule="auto" w:line="276"/>
        <w:ind w:left="-567" w:right="261"/>
        <w:rPr>
          <w:rFonts w:eastAsia="Calibri"/>
          <w:b/>
          <w:bCs/>
          <w:iCs/>
        </w:rPr>
      </w:pPr>
      <w:r>
        <w:rPr>
          <w:rFonts w:eastAsia="Calibri"/>
          <w:b/>
          <w:bCs/>
          <w:iCs/>
        </w:rPr>
      </w:r>
    </w:p>
    <w:p>
      <w:pPr>
        <w:pStyle w:val="Body"/>
        <w:spacing w:lineRule="auto" w:line="276"/>
        <w:ind w:left="-567" w:right="261"/>
        <w:rPr>
          <w:rFonts w:eastAsia="Calibri"/>
          <w:b/>
          <w:bCs/>
          <w:iCs/>
        </w:rPr>
      </w:pPr>
      <w:r>
        <w:rPr>
          <w:rFonts w:eastAsia="Calibri"/>
          <w:b/>
          <w:bCs/>
          <w:iCs/>
        </w:rPr>
      </w:r>
    </w:p>
    <w:tbl>
      <w:tblPr>
        <w:tblW w:w="10627" w:type="dxa"/>
        <w:jc w:val="center"/>
        <w:tblInd w:w="0" w:type="dxa"/>
        <w:tblLayout w:type="fixed"/>
        <w:tblCellMar>
          <w:top w:w="80" w:type="dxa"/>
          <w:left w:w="80" w:type="dxa"/>
          <w:bottom w:w="80" w:type="dxa"/>
          <w:right w:w="80" w:type="dxa"/>
        </w:tblCellMar>
      </w:tblPr>
      <w:tblGrid>
        <w:gridCol w:w="10627"/>
      </w:tblGrid>
      <w:tr>
        <w:trPr>
          <w:trHeight w:val="180" w:hRule="atLeast"/>
        </w:trPr>
        <w:tc>
          <w:tcPr>
            <w:tcW w:w="10627" w:type="dxa"/>
            <w:tcBorders>
              <w:top w:val="single" w:sz="4" w:space="0" w:color="000000"/>
              <w:left w:val="single" w:sz="4" w:space="0" w:color="000000"/>
              <w:bottom w:val="single" w:sz="4" w:space="0" w:color="000000"/>
              <w:right w:val="single" w:sz="4" w:space="0" w:color="000000"/>
            </w:tcBorders>
            <w:shd w:fill="000000" w:val="clear"/>
            <w:vAlign w:val="center"/>
          </w:tcPr>
          <w:p>
            <w:pPr>
              <w:pStyle w:val="Body"/>
              <w:spacing w:lineRule="auto" w:line="276"/>
              <w:ind w:left="18" w:right="261"/>
              <w:rPr>
                <w:rFonts w:eastAsia="Calibri"/>
                <w:b/>
                <w:bCs/>
                <w:color w:val="FFFFFF"/>
                <w:u w:val="none" w:color="FFFFFF"/>
              </w:rPr>
            </w:pPr>
            <w:r>
              <w:rPr>
                <w:rFonts w:eastAsia="Calibri"/>
                <w:b/>
                <w:bCs/>
                <w:color w:val="FFFFFF"/>
                <w:u w:val="none" w:color="FFFFFF"/>
              </w:rPr>
              <w:t>KNOWLEDGE, SKILLS AND EXPERIENCE</w:t>
            </w:r>
          </w:p>
        </w:tc>
      </w:tr>
      <w:tr>
        <w:trPr>
          <w:trHeight w:val="3467" w:hRule="atLeast"/>
        </w:trPr>
        <w:tc>
          <w:tcPr>
            <w:tcW w:w="10627" w:type="dxa"/>
            <w:tcBorders>
              <w:top w:val="single" w:sz="4" w:space="0" w:color="000000"/>
              <w:left w:val="single" w:sz="4" w:space="0" w:color="000000"/>
              <w:bottom w:val="single" w:sz="4" w:space="0" w:color="000000"/>
              <w:right w:val="single" w:sz="4" w:space="0" w:color="000000"/>
            </w:tcBorders>
            <w:tcMar>
              <w:left w:w="363" w:type="dxa"/>
            </w:tcMar>
            <w:vAlign w:val="center"/>
          </w:tcPr>
          <w:p>
            <w:pPr>
              <w:pStyle w:val="Default"/>
              <w:spacing w:lineRule="auto" w:line="276"/>
              <w:rPr>
                <w:rFonts w:ascii="Calibri" w:hAnsi="Calibri" w:cs="Calibri"/>
                <w:b/>
              </w:rPr>
            </w:pPr>
            <w:r>
              <w:rPr>
                <w:rFonts w:cs="Calibri" w:ascii="Calibri" w:hAnsi="Calibri"/>
                <w:b/>
              </w:rPr>
              <w:t>Qualifications</w:t>
            </w:r>
          </w:p>
          <w:p>
            <w:pPr>
              <w:pStyle w:val="Normal"/>
              <w:numPr>
                <w:ilvl w:val="0"/>
                <w:numId w:val="3"/>
              </w:numPr>
              <w:tabs>
                <w:tab w:val="left" w:pos="720" w:leader="none"/>
              </w:tabs>
              <w:spacing w:lineRule="auto" w:line="276" w:before="0" w:after="0"/>
              <w:contextualSpacing/>
              <w:jc w:val="both"/>
              <w:rPr/>
            </w:pPr>
            <w:r>
              <w:rPr>
                <w:rFonts w:cs="Calibri" w:ascii="Calibri" w:hAnsi="Calibri"/>
                <w:szCs w:val="22"/>
                <w:lang w:val="en-GB"/>
              </w:rPr>
              <w:t xml:space="preserve">HNC/HND, NVQ Level 4 or equivalent qualification in Construction, Building Surveying, </w:t>
            </w:r>
          </w:p>
          <w:p>
            <w:pPr>
              <w:pStyle w:val="Normal"/>
              <w:tabs>
                <w:tab w:val="left" w:pos="720" w:leader="none"/>
              </w:tabs>
              <w:spacing w:lineRule="auto" w:line="276" w:before="0" w:after="0"/>
              <w:ind w:left="720" w:right="0"/>
              <w:contextualSpacing/>
              <w:jc w:val="both"/>
              <w:rPr>
                <w:rFonts w:ascii="Calibri" w:hAnsi="Calibri" w:cs="Calibri"/>
                <w:szCs w:val="22"/>
                <w:lang w:val="en-GB"/>
              </w:rPr>
            </w:pPr>
            <w:r>
              <w:rPr>
                <w:rFonts w:cs="Calibri" w:ascii="Calibri" w:hAnsi="Calibri"/>
                <w:szCs w:val="22"/>
                <w:lang w:val="en-GB"/>
              </w:rPr>
              <w:t>Engineering or a related discipline.</w:t>
            </w:r>
          </w:p>
          <w:p>
            <w:pPr>
              <w:pStyle w:val="Normal"/>
              <w:numPr>
                <w:ilvl w:val="0"/>
                <w:numId w:val="3"/>
              </w:numPr>
              <w:tabs>
                <w:tab w:val="left" w:pos="720" w:leader="none"/>
              </w:tabs>
              <w:spacing w:lineRule="auto" w:line="276" w:before="0" w:after="0"/>
              <w:contextualSpacing/>
              <w:jc w:val="both"/>
              <w:rPr/>
            </w:pPr>
            <w:r>
              <w:rPr>
                <w:rFonts w:cs="Calibri" w:ascii="Calibri" w:hAnsi="Calibri"/>
                <w:szCs w:val="22"/>
                <w:lang w:val="en-GB"/>
              </w:rPr>
              <w:t xml:space="preserve">Experience as a Clerk of Works, Site Inspector, Building Inspector or similar construction </w:t>
            </w:r>
          </w:p>
          <w:p>
            <w:pPr>
              <w:pStyle w:val="Normal"/>
              <w:spacing w:lineRule="auto" w:line="276" w:before="0" w:after="0"/>
              <w:ind w:left="720" w:right="0"/>
              <w:contextualSpacing/>
              <w:jc w:val="both"/>
              <w:rPr>
                <w:rFonts w:ascii="Calibri" w:hAnsi="Calibri" w:cs="Calibri"/>
                <w:szCs w:val="22"/>
                <w:lang w:val="en-GB"/>
              </w:rPr>
            </w:pPr>
            <w:r>
              <w:rPr>
                <w:rFonts w:cs="Calibri" w:ascii="Calibri" w:hAnsi="Calibri"/>
                <w:szCs w:val="22"/>
                <w:lang w:val="en-GB"/>
              </w:rPr>
              <w:t>quality role.</w:t>
            </w:r>
          </w:p>
          <w:p>
            <w:pPr>
              <w:pStyle w:val="Normal"/>
              <w:numPr>
                <w:ilvl w:val="0"/>
                <w:numId w:val="3"/>
              </w:numPr>
              <w:tabs>
                <w:tab w:val="left" w:pos="720" w:leader="none"/>
              </w:tabs>
              <w:spacing w:lineRule="auto" w:line="276" w:before="0" w:after="0"/>
              <w:contextualSpacing/>
              <w:jc w:val="both"/>
              <w:rPr/>
            </w:pPr>
            <w:r>
              <w:rPr>
                <w:rFonts w:cs="Calibri" w:ascii="Calibri" w:hAnsi="Calibri"/>
                <w:szCs w:val="22"/>
                <w:lang w:val="en-GB"/>
              </w:rPr>
              <w:t>Strong understanding of construction methods, quality standards and statutory compliance.</w:t>
            </w:r>
          </w:p>
          <w:p>
            <w:pPr>
              <w:pStyle w:val="Normal"/>
              <w:numPr>
                <w:ilvl w:val="0"/>
                <w:numId w:val="3"/>
              </w:numPr>
              <w:tabs>
                <w:tab w:val="left" w:pos="720" w:leader="none"/>
              </w:tabs>
              <w:spacing w:lineRule="auto" w:line="276" w:before="0" w:after="0"/>
              <w:contextualSpacing/>
              <w:jc w:val="both"/>
              <w:rPr/>
            </w:pPr>
            <w:r>
              <w:rPr>
                <w:rFonts w:cs="Calibri" w:ascii="Calibri" w:hAnsi="Calibri"/>
                <w:szCs w:val="22"/>
                <w:lang w:val="en-GB"/>
              </w:rPr>
              <w:t>Ability to interpret technical drawings, specifications and construction documentation.</w:t>
            </w:r>
          </w:p>
          <w:p>
            <w:pPr>
              <w:pStyle w:val="Normal"/>
              <w:numPr>
                <w:ilvl w:val="0"/>
                <w:numId w:val="3"/>
              </w:numPr>
              <w:tabs>
                <w:tab w:val="left" w:pos="720" w:leader="none"/>
              </w:tabs>
              <w:spacing w:lineRule="auto" w:line="276" w:before="0" w:after="0"/>
              <w:contextualSpacing/>
              <w:jc w:val="both"/>
              <w:rPr/>
            </w:pPr>
            <w:r>
              <w:rPr>
                <w:rFonts w:cs="Calibri" w:ascii="Calibri" w:hAnsi="Calibri"/>
                <w:szCs w:val="22"/>
                <w:lang w:val="en-GB"/>
              </w:rPr>
              <w:t>Experience of defect identification, inspection and reporting.</w:t>
            </w:r>
          </w:p>
          <w:p>
            <w:pPr>
              <w:pStyle w:val="Normal"/>
              <w:numPr>
                <w:ilvl w:val="0"/>
                <w:numId w:val="3"/>
              </w:numPr>
              <w:tabs>
                <w:tab w:val="left" w:pos="720" w:leader="none"/>
              </w:tabs>
              <w:spacing w:lineRule="auto" w:line="276" w:before="0" w:after="0"/>
              <w:contextualSpacing/>
              <w:jc w:val="both"/>
              <w:rPr/>
            </w:pPr>
            <w:r>
              <w:rPr>
                <w:rFonts w:cs="Calibri" w:ascii="Calibri" w:hAnsi="Calibri"/>
                <w:szCs w:val="22"/>
                <w:lang w:val="en-GB"/>
              </w:rPr>
              <w:t>Excellent communication and stakeholder management skills.</w:t>
            </w:r>
          </w:p>
          <w:p>
            <w:pPr>
              <w:pStyle w:val="Normal"/>
              <w:numPr>
                <w:ilvl w:val="0"/>
                <w:numId w:val="3"/>
              </w:numPr>
              <w:tabs>
                <w:tab w:val="left" w:pos="720" w:leader="none"/>
              </w:tabs>
              <w:spacing w:lineRule="auto" w:line="276" w:before="0" w:after="0"/>
              <w:contextualSpacing/>
              <w:jc w:val="both"/>
              <w:rPr/>
            </w:pPr>
            <w:r>
              <w:rPr>
                <w:rFonts w:cs="Calibri" w:ascii="Calibri" w:hAnsi="Calibri"/>
                <w:szCs w:val="22"/>
                <w:lang w:val="en-GB"/>
              </w:rPr>
              <w:t xml:space="preserve">Ability to work independently across multiple live projects. </w:t>
            </w:r>
          </w:p>
          <w:p>
            <w:pPr>
              <w:pStyle w:val="Normal"/>
              <w:spacing w:lineRule="auto" w:line="276" w:before="0" w:after="0"/>
              <w:ind w:left="720" w:right="0"/>
              <w:contextualSpacing/>
              <w:jc w:val="both"/>
              <w:rPr>
                <w:rFonts w:ascii="Calibri" w:hAnsi="Calibri" w:cs="Calibri"/>
                <w:szCs w:val="22"/>
                <w:lang w:val="en-GB"/>
              </w:rPr>
            </w:pPr>
            <w:r>
              <w:rPr>
                <w:rFonts w:cs="Calibri" w:ascii="Calibri" w:hAnsi="Calibri"/>
                <w:szCs w:val="22"/>
                <w:lang w:val="en-GB"/>
              </w:rPr>
            </w:r>
          </w:p>
          <w:p>
            <w:pPr>
              <w:pStyle w:val="Normal"/>
              <w:spacing w:lineRule="auto" w:line="276" w:before="0" w:after="0"/>
              <w:contextualSpacing/>
              <w:jc w:val="both"/>
              <w:rPr>
                <w:rFonts w:ascii="Calibri" w:hAnsi="Calibri" w:cs="Calibri"/>
                <w:b/>
                <w:bCs/>
                <w:szCs w:val="22"/>
                <w:lang w:val="en-GB"/>
              </w:rPr>
            </w:pPr>
            <w:r>
              <w:rPr>
                <w:rFonts w:cs="Calibri" w:ascii="Calibri" w:hAnsi="Calibri"/>
                <w:b/>
                <w:bCs/>
                <w:szCs w:val="22"/>
                <w:lang w:val="en-GB"/>
              </w:rPr>
              <w:t>Desirable</w:t>
            </w:r>
          </w:p>
          <w:p>
            <w:pPr>
              <w:pStyle w:val="Normal"/>
              <w:numPr>
                <w:ilvl w:val="0"/>
                <w:numId w:val="3"/>
              </w:numPr>
              <w:tabs>
                <w:tab w:val="left" w:pos="720" w:leader="none"/>
              </w:tabs>
              <w:spacing w:lineRule="auto" w:line="276" w:before="0" w:after="0"/>
              <w:contextualSpacing/>
              <w:jc w:val="both"/>
              <w:rPr/>
            </w:pPr>
            <w:r>
              <w:rPr>
                <w:rFonts w:cs="Calibri" w:ascii="Calibri" w:hAnsi="Calibri"/>
                <w:szCs w:val="22"/>
                <w:lang w:val="en-GB"/>
              </w:rPr>
              <w:t>Experience within the public sector or operational estate environment.</w:t>
            </w:r>
          </w:p>
          <w:p>
            <w:pPr>
              <w:pStyle w:val="Normal"/>
              <w:numPr>
                <w:ilvl w:val="0"/>
                <w:numId w:val="3"/>
              </w:numPr>
              <w:tabs>
                <w:tab w:val="left" w:pos="720" w:leader="none"/>
              </w:tabs>
              <w:spacing w:lineRule="auto" w:line="276" w:before="0" w:after="0"/>
              <w:contextualSpacing/>
              <w:jc w:val="both"/>
              <w:rPr/>
            </w:pPr>
            <w:r>
              <w:rPr>
                <w:rFonts w:cs="Calibri" w:ascii="Calibri" w:hAnsi="Calibri"/>
                <w:szCs w:val="22"/>
                <w:lang w:val="en-GB"/>
              </w:rPr>
              <w:t>Knowledge of JCT and NEC contracts.</w:t>
            </w:r>
          </w:p>
          <w:p>
            <w:pPr>
              <w:pStyle w:val="Normal"/>
              <w:numPr>
                <w:ilvl w:val="0"/>
                <w:numId w:val="3"/>
              </w:numPr>
              <w:tabs>
                <w:tab w:val="left" w:pos="720" w:leader="none"/>
              </w:tabs>
              <w:spacing w:lineRule="auto" w:line="276" w:before="0" w:after="0"/>
              <w:contextualSpacing/>
              <w:jc w:val="both"/>
              <w:rPr/>
            </w:pPr>
            <w:r>
              <w:rPr>
                <w:rFonts w:cs="Calibri" w:ascii="Calibri" w:hAnsi="Calibri"/>
                <w:szCs w:val="22"/>
                <w:lang w:val="en-GB"/>
              </w:rPr>
              <w:t>Knowledge of the RIBA Plan of Work.</w:t>
            </w:r>
          </w:p>
          <w:p>
            <w:pPr>
              <w:pStyle w:val="Normal"/>
              <w:numPr>
                <w:ilvl w:val="0"/>
                <w:numId w:val="3"/>
              </w:numPr>
              <w:tabs>
                <w:tab w:val="left" w:pos="720" w:leader="none"/>
              </w:tabs>
              <w:spacing w:lineRule="auto" w:line="276" w:before="0" w:after="0"/>
              <w:contextualSpacing/>
              <w:jc w:val="both"/>
              <w:rPr/>
            </w:pPr>
            <w:r>
              <w:rPr>
                <w:rFonts w:cs="Calibri" w:ascii="Calibri" w:hAnsi="Calibri"/>
                <w:szCs w:val="22"/>
                <w:lang w:val="en-GB"/>
              </w:rPr>
              <w:t>Membership of ICWCI, CIOB, RICS or a similar professional body.</w:t>
            </w:r>
          </w:p>
          <w:p>
            <w:pPr>
              <w:pStyle w:val="Normal"/>
              <w:numPr>
                <w:ilvl w:val="0"/>
                <w:numId w:val="3"/>
              </w:numPr>
              <w:tabs>
                <w:tab w:val="left" w:pos="720" w:leader="none"/>
              </w:tabs>
              <w:spacing w:lineRule="auto" w:line="276" w:before="0" w:after="0"/>
              <w:contextualSpacing/>
              <w:jc w:val="both"/>
              <w:rPr/>
            </w:pPr>
            <w:r>
              <w:rPr>
                <w:rFonts w:cs="Calibri" w:ascii="Calibri" w:hAnsi="Calibri"/>
                <w:szCs w:val="22"/>
                <w:lang w:val="en-GB"/>
              </w:rPr>
              <w:t>IOSH Managing Safely or equivalent qualification</w:t>
            </w:r>
          </w:p>
          <w:p>
            <w:pPr>
              <w:pStyle w:val="Normal"/>
              <w:spacing w:lineRule="auto" w:line="276" w:before="0" w:after="0"/>
              <w:ind w:left="720" w:right="0"/>
              <w:contextualSpacing/>
              <w:jc w:val="both"/>
              <w:rPr>
                <w:rFonts w:ascii="Calibri" w:hAnsi="Calibri" w:cs="Calibri"/>
                <w:szCs w:val="22"/>
                <w:lang w:val="en-GB"/>
              </w:rPr>
            </w:pPr>
            <w:r>
              <w:rPr>
                <w:rFonts w:cs="Calibri" w:ascii="Calibri" w:hAnsi="Calibri"/>
                <w:szCs w:val="22"/>
                <w:lang w:val="en-GB"/>
              </w:rPr>
            </w:r>
          </w:p>
          <w:p>
            <w:pPr>
              <w:pStyle w:val="Normal"/>
              <w:spacing w:lineRule="auto" w:line="276"/>
              <w:rPr>
                <w:rFonts w:ascii="Calibri" w:hAnsi="Calibri" w:cs="Calibri"/>
              </w:rPr>
            </w:pPr>
            <w:r>
              <w:rPr>
                <w:rFonts w:cs="Calibri" w:ascii="Calibri" w:hAnsi="Calibri"/>
              </w:rPr>
              <w:t xml:space="preserve">GMCA requires candidates to demonstrate the following: </w:t>
            </w:r>
          </w:p>
          <w:p>
            <w:pPr>
              <w:pStyle w:val="ListParagraph"/>
              <w:numPr>
                <w:ilvl w:val="0"/>
                <w:numId w:val="5"/>
              </w:numPr>
              <w:pBdr/>
              <w:spacing w:lineRule="auto" w:line="276" w:before="0" w:after="151"/>
              <w:contextualSpacing/>
              <w:rPr/>
            </w:pPr>
            <w:r>
              <w:rPr>
                <w:rFonts w:cs="Calibri" w:ascii="Calibri" w:hAnsi="Calibri"/>
                <w:sz w:val="24"/>
                <w:szCs w:val="24"/>
              </w:rPr>
              <w:t xml:space="preserve">Extensive experience in working on simultaneous multi-site capital works projects construction programmes, particularly in the public or emergency services sector. </w:t>
            </w:r>
          </w:p>
          <w:p>
            <w:pPr>
              <w:pStyle w:val="ListParagraph"/>
              <w:numPr>
                <w:ilvl w:val="0"/>
                <w:numId w:val="5"/>
              </w:numPr>
              <w:pBdr/>
              <w:spacing w:lineRule="auto" w:line="276" w:before="0" w:after="151"/>
              <w:contextualSpacing/>
              <w:rPr/>
            </w:pPr>
            <w:r>
              <w:rPr>
                <w:rFonts w:cs="Calibri" w:ascii="Calibri" w:hAnsi="Calibri"/>
                <w:sz w:val="24"/>
                <w:szCs w:val="24"/>
              </w:rPr>
              <w:t xml:space="preserve">Strong understanding of RIBA Plan of Work stages, including design, procurement, and construction phases. </w:t>
            </w:r>
          </w:p>
          <w:p>
            <w:pPr>
              <w:pStyle w:val="ListParagraph"/>
              <w:numPr>
                <w:ilvl w:val="0"/>
                <w:numId w:val="5"/>
              </w:numPr>
              <w:pBdr/>
              <w:spacing w:lineRule="auto" w:line="276" w:before="0" w:after="151"/>
              <w:contextualSpacing/>
              <w:rPr/>
            </w:pPr>
            <w:r>
              <w:rPr>
                <w:rFonts w:cs="Calibri" w:ascii="Calibri" w:hAnsi="Calibri"/>
                <w:sz w:val="24"/>
                <w:szCs w:val="24"/>
              </w:rPr>
              <w:t xml:space="preserve">Proven ability to deliver high-quality outcomes within time and budget constraints. </w:t>
            </w:r>
          </w:p>
          <w:p>
            <w:pPr>
              <w:pStyle w:val="ListParagraph"/>
              <w:numPr>
                <w:ilvl w:val="0"/>
                <w:numId w:val="5"/>
              </w:numPr>
              <w:pBdr/>
              <w:spacing w:lineRule="auto" w:line="276" w:before="0" w:after="151"/>
              <w:contextualSpacing/>
              <w:rPr/>
            </w:pPr>
            <w:r>
              <w:rPr>
                <w:rFonts w:cs="Calibri" w:ascii="Calibri" w:hAnsi="Calibri"/>
                <w:sz w:val="24"/>
                <w:szCs w:val="24"/>
              </w:rPr>
              <w:t xml:space="preserve">Awareness of JCT and NEC forms of contracts. </w:t>
            </w:r>
          </w:p>
          <w:p>
            <w:pPr>
              <w:pStyle w:val="ListParagraph"/>
              <w:numPr>
                <w:ilvl w:val="0"/>
                <w:numId w:val="5"/>
              </w:numPr>
              <w:pBdr/>
              <w:spacing w:lineRule="auto" w:line="276" w:before="0" w:after="151"/>
              <w:contextualSpacing/>
              <w:rPr/>
            </w:pPr>
            <w:r>
              <w:rPr>
                <w:rFonts w:cs="Calibri" w:ascii="Calibri" w:hAnsi="Calibri"/>
                <w:sz w:val="24"/>
                <w:szCs w:val="24"/>
              </w:rPr>
              <w:t xml:space="preserve">Excellent stakeholder management skills, with the ability to facilitate collaboration and gather meaningful feedback from diverse groups. </w:t>
            </w:r>
          </w:p>
          <w:p>
            <w:pPr>
              <w:pStyle w:val="ListParagraph"/>
              <w:spacing w:lineRule="auto" w:line="276"/>
              <w:ind w:left="360" w:right="0"/>
              <w:jc w:val="both"/>
              <w:rPr>
                <w:rFonts w:ascii="Calibri" w:hAnsi="Calibri" w:cs="Calibri"/>
                <w:bCs/>
                <w:sz w:val="24"/>
                <w:szCs w:val="24"/>
                <w:lang w:val="en-GB"/>
              </w:rPr>
            </w:pPr>
            <w:r>
              <w:rPr>
                <w:rFonts w:cs="Calibri" w:ascii="Calibri" w:hAnsi="Calibri"/>
                <w:bCs/>
                <w:sz w:val="24"/>
                <w:szCs w:val="24"/>
                <w:lang w:val="en-GB"/>
              </w:rPr>
            </w:r>
          </w:p>
        </w:tc>
      </w:tr>
    </w:tbl>
    <w:p>
      <w:pPr>
        <w:pStyle w:val="Normal"/>
        <w:shd w:fill="FFFFFF" w:val="clear"/>
        <w:jc w:val="both"/>
        <w:rPr>
          <w:rFonts w:ascii="Arial" w:hAnsi="Arial" w:cs="Arial"/>
          <w:b/>
          <w:color w:val="595959"/>
          <w:sz w:val="22"/>
          <w:szCs w:val="22"/>
        </w:rPr>
      </w:pPr>
      <w:r>
        <w:rPr>
          <w:rFonts w:cs="Arial" w:ascii="Arial" w:hAnsi="Arial"/>
          <w:b/>
          <w:color w:val="595959"/>
          <w:sz w:val="22"/>
          <w:szCs w:val="22"/>
        </w:rPr>
      </w:r>
    </w:p>
    <w:p>
      <w:pPr>
        <w:pStyle w:val="Normal"/>
        <w:shd w:fill="FFFFFF" w:val="clear"/>
        <w:jc w:val="both"/>
        <w:rPr>
          <w:rFonts w:ascii="Arial" w:hAnsi="Arial" w:cs="Arial"/>
          <w:b/>
          <w:color w:val="595959"/>
          <w:sz w:val="22"/>
          <w:szCs w:val="22"/>
        </w:rPr>
      </w:pPr>
      <w:r>
        <w:rPr>
          <w:rFonts w:cs="Arial" w:ascii="Arial" w:hAnsi="Arial"/>
          <w:b/>
          <w:color w:val="595959"/>
          <w:sz w:val="22"/>
          <w:szCs w:val="22"/>
        </w:rPr>
      </w:r>
    </w:p>
    <w:p>
      <w:pPr>
        <w:pStyle w:val="Normal"/>
        <w:shd w:fill="FFFFFF" w:val="clear"/>
        <w:jc w:val="both"/>
        <w:rPr>
          <w:rFonts w:ascii="Arial" w:hAnsi="Arial" w:cs="Arial"/>
          <w:b/>
          <w:color w:val="595959"/>
          <w:sz w:val="22"/>
          <w:szCs w:val="22"/>
        </w:rPr>
      </w:pPr>
      <w:r>
        <w:rPr>
          <w:rFonts w:cs="Arial" w:ascii="Arial" w:hAnsi="Arial"/>
          <w:b/>
          <w:color w:val="595959"/>
          <w:sz w:val="22"/>
          <w:szCs w:val="22"/>
        </w:rPr>
        <w:t>Corporate Duties</w:t>
      </w:r>
    </w:p>
    <w:p>
      <w:pPr>
        <w:pStyle w:val="BodyText"/>
        <w:widowControl w:val="false"/>
        <w:tabs>
          <w:tab w:val="clear" w:pos="720"/>
          <w:tab w:val="left" w:pos="-720" w:leader="none"/>
        </w:tabs>
        <w:suppressAutoHyphens w:val="true"/>
        <w:rPr>
          <w:rFonts w:cs="Arial"/>
          <w:color w:val="595959"/>
          <w:sz w:val="22"/>
          <w:szCs w:val="22"/>
        </w:rPr>
      </w:pPr>
      <w:r>
        <w:rPr>
          <w:rFonts w:cs="Arial"/>
          <w:color w:val="595959"/>
          <w:sz w:val="22"/>
          <w:szCs w:val="22"/>
        </w:rPr>
      </w:r>
    </w:p>
    <w:p>
      <w:pPr>
        <w:pStyle w:val="BodyText"/>
        <w:widowControl w:val="false"/>
        <w:tabs>
          <w:tab w:val="clear" w:pos="720"/>
          <w:tab w:val="left" w:pos="-720" w:leader="none"/>
        </w:tabs>
        <w:suppressAutoHyphens w:val="true"/>
        <w:rPr>
          <w:rFonts w:ascii="Calibri" w:hAnsi="Calibri" w:cs="Calibri"/>
          <w:color w:val="595959"/>
          <w:sz w:val="22"/>
          <w:szCs w:val="22"/>
        </w:rPr>
      </w:pPr>
      <w:r>
        <w:rPr>
          <w:rFonts w:cs="Calibri" w:ascii="Calibri" w:hAnsi="Calibri"/>
          <w:color w:val="595959"/>
          <w:sz w:val="22"/>
          <w:szCs w:val="22"/>
        </w:rPr>
        <w:t>Avoid any behaviour which discriminates against your fellow employees, or potential employees on the grounds of their sex, sexual orientation, marital status, race, religion, creed, colour, nationality, ethnic origin or disability.</w:t>
      </w:r>
    </w:p>
    <w:p>
      <w:pPr>
        <w:pStyle w:val="BodyText"/>
        <w:widowControl w:val="false"/>
        <w:tabs>
          <w:tab w:val="clear" w:pos="720"/>
          <w:tab w:val="left" w:pos="-720" w:leader="none"/>
        </w:tabs>
        <w:suppressAutoHyphens w:val="true"/>
        <w:rPr>
          <w:rFonts w:ascii="Calibri" w:hAnsi="Calibri" w:cs="Calibri"/>
          <w:color w:val="595959"/>
          <w:sz w:val="22"/>
          <w:szCs w:val="22"/>
        </w:rPr>
      </w:pPr>
      <w:r>
        <w:rPr>
          <w:rFonts w:cs="Calibri" w:ascii="Calibri" w:hAnsi="Calibri"/>
          <w:color w:val="595959"/>
          <w:sz w:val="22"/>
          <w:szCs w:val="22"/>
        </w:rPr>
      </w:r>
    </w:p>
    <w:p>
      <w:pPr>
        <w:pStyle w:val="Normal"/>
        <w:widowControl w:val="false"/>
        <w:tabs>
          <w:tab w:val="clear" w:pos="720"/>
          <w:tab w:val="left" w:pos="-720" w:leader="none"/>
        </w:tabs>
        <w:suppressAutoHyphens w:val="true"/>
        <w:jc w:val="both"/>
        <w:rPr>
          <w:rFonts w:ascii="Calibri" w:hAnsi="Calibri" w:cs="Calibri"/>
          <w:color w:val="595959"/>
          <w:sz w:val="22"/>
          <w:szCs w:val="22"/>
        </w:rPr>
      </w:pPr>
      <w:r>
        <w:rPr>
          <w:rFonts w:cs="Calibri" w:ascii="Calibri" w:hAnsi="Calibri"/>
          <w:color w:val="595959"/>
          <w:sz w:val="22"/>
          <w:szCs w:val="22"/>
        </w:rPr>
        <w:t>Safeguard at all times confidentiality of information relating to staff and pensioners.</w:t>
      </w:r>
    </w:p>
    <w:p>
      <w:pPr>
        <w:pStyle w:val="Normal"/>
        <w:widowControl w:val="false"/>
        <w:tabs>
          <w:tab w:val="clear" w:pos="720"/>
          <w:tab w:val="left" w:pos="-720" w:leader="none"/>
        </w:tabs>
        <w:suppressAutoHyphens w:val="true"/>
        <w:jc w:val="both"/>
        <w:rPr>
          <w:rFonts w:ascii="Calibri" w:hAnsi="Calibri" w:cs="Calibri"/>
          <w:color w:val="595959"/>
          <w:sz w:val="22"/>
          <w:szCs w:val="22"/>
        </w:rPr>
      </w:pPr>
      <w:r>
        <w:rPr>
          <w:rFonts w:cs="Calibri" w:ascii="Calibri" w:hAnsi="Calibri"/>
          <w:color w:val="595959"/>
          <w:sz w:val="22"/>
          <w:szCs w:val="22"/>
        </w:rPr>
        <w:t>Refrain from smoking in any areas of Service premises.</w:t>
      </w:r>
    </w:p>
    <w:p>
      <w:pPr>
        <w:pStyle w:val="Normal"/>
        <w:widowControl w:val="false"/>
        <w:tabs>
          <w:tab w:val="clear" w:pos="720"/>
          <w:tab w:val="left" w:pos="-720" w:leader="none"/>
        </w:tabs>
        <w:suppressAutoHyphens w:val="true"/>
        <w:jc w:val="both"/>
        <w:rPr>
          <w:rFonts w:ascii="Calibri" w:hAnsi="Calibri" w:cs="Calibri"/>
          <w:color w:val="595959"/>
          <w:sz w:val="22"/>
          <w:szCs w:val="22"/>
        </w:rPr>
      </w:pPr>
      <w:r>
        <w:rPr>
          <w:rFonts w:cs="Calibri" w:ascii="Calibri" w:hAnsi="Calibri"/>
          <w:color w:val="595959"/>
          <w:sz w:val="22"/>
          <w:szCs w:val="22"/>
        </w:rPr>
        <w:t>Behave in a manner that ensures the security of property and resources.</w:t>
      </w:r>
    </w:p>
    <w:p>
      <w:pPr>
        <w:pStyle w:val="Normal"/>
        <w:widowControl w:val="false"/>
        <w:tabs>
          <w:tab w:val="clear" w:pos="720"/>
          <w:tab w:val="left" w:pos="-720" w:leader="none"/>
        </w:tabs>
        <w:suppressAutoHyphens w:val="true"/>
        <w:jc w:val="both"/>
        <w:rPr>
          <w:rFonts w:ascii="Calibri" w:hAnsi="Calibri" w:cs="Calibri"/>
          <w:color w:val="595959"/>
          <w:sz w:val="22"/>
          <w:szCs w:val="22"/>
        </w:rPr>
      </w:pPr>
      <w:r>
        <w:rPr>
          <w:rFonts w:cs="Calibri" w:ascii="Calibri" w:hAnsi="Calibri"/>
          <w:color w:val="595959"/>
          <w:sz w:val="22"/>
          <w:szCs w:val="22"/>
        </w:rPr>
        <w:t>Abide by all relevant Service Policies and Procedures.</w:t>
      </w:r>
    </w:p>
    <w:p>
      <w:pPr>
        <w:pStyle w:val="ListParagraph"/>
        <w:ind w:left="0" w:right="0"/>
        <w:jc w:val="both"/>
        <w:rPr>
          <w:rFonts w:ascii="Calibri" w:hAnsi="Calibri" w:cs="Calibri"/>
          <w:color w:val="595959"/>
        </w:rPr>
      </w:pPr>
      <w:r>
        <w:rPr>
          <w:rFonts w:cs="Calibri" w:ascii="Calibri" w:hAnsi="Calibri"/>
          <w:color w:val="595959"/>
        </w:rPr>
      </w:r>
    </w:p>
    <w:p>
      <w:pPr>
        <w:pStyle w:val="Normal"/>
        <w:tabs>
          <w:tab w:val="clear" w:pos="720"/>
          <w:tab w:val="left" w:pos="1134" w:leader="none"/>
        </w:tabs>
        <w:spacing w:before="0" w:after="0"/>
        <w:contextualSpacing/>
        <w:jc w:val="both"/>
        <w:rPr/>
      </w:pPr>
      <w:r>
        <w:rPr>
          <w:rFonts w:cs="Calibri" w:ascii="Calibri" w:hAnsi="Calibri"/>
          <w:b/>
          <w:color w:val="595959"/>
          <w:sz w:val="22"/>
          <w:szCs w:val="22"/>
        </w:rPr>
        <w:t xml:space="preserve">Records Management/ Data Protection - </w:t>
      </w:r>
      <w:r>
        <w:rPr>
          <w:rFonts w:cs="Calibri" w:ascii="Calibri" w:hAnsi="Calibri"/>
          <w:color w:val="595959"/>
          <w:sz w:val="22"/>
          <w:szCs w:val="22"/>
        </w:rPr>
        <w:t>As an employee of the GMCA, you have a legal responsibility for all records (including employee health, financial, personal and administrative) that you gather or use as part of your work with the Service. The records may be paper, electronic, audio or videotapes. You must consult your manager if you have any doubt as to the correct management of the records with which you work.</w:t>
      </w:r>
    </w:p>
    <w:p>
      <w:pPr>
        <w:pStyle w:val="BodyTextIndent3"/>
        <w:tabs>
          <w:tab w:val="clear" w:pos="720"/>
          <w:tab w:val="left" w:pos="1134" w:leader="none"/>
        </w:tabs>
        <w:spacing w:before="0" w:after="0"/>
        <w:ind w:left="0" w:right="0"/>
        <w:contextualSpacing/>
        <w:jc w:val="both"/>
        <w:rPr>
          <w:rFonts w:ascii="Calibri" w:hAnsi="Calibri" w:cs="Calibri"/>
          <w:color w:val="595959"/>
          <w:sz w:val="22"/>
          <w:szCs w:val="22"/>
        </w:rPr>
      </w:pPr>
      <w:r>
        <w:rPr>
          <w:rFonts w:cs="Calibri" w:ascii="Calibri" w:hAnsi="Calibri"/>
          <w:color w:val="595959"/>
          <w:sz w:val="22"/>
          <w:szCs w:val="22"/>
        </w:rPr>
      </w:r>
    </w:p>
    <w:p>
      <w:pPr>
        <w:pStyle w:val="Normal"/>
        <w:tabs>
          <w:tab w:val="clear" w:pos="720"/>
          <w:tab w:val="left" w:pos="1134" w:leader="none"/>
        </w:tabs>
        <w:spacing w:before="0" w:after="0"/>
        <w:contextualSpacing/>
        <w:jc w:val="both"/>
        <w:rPr/>
      </w:pPr>
      <w:r>
        <w:rPr>
          <w:rFonts w:cs="Calibri" w:ascii="Calibri" w:hAnsi="Calibri"/>
          <w:b/>
          <w:color w:val="595959"/>
          <w:sz w:val="22"/>
          <w:szCs w:val="22"/>
        </w:rPr>
        <w:t xml:space="preserve">Confidentiality and Information Security - </w:t>
      </w:r>
      <w:r>
        <w:rPr>
          <w:rFonts w:cs="Calibri" w:ascii="Calibri" w:hAnsi="Calibri"/>
          <w:color w:val="595959"/>
          <w:sz w:val="22"/>
          <w:szCs w:val="22"/>
        </w:rPr>
        <w:t>As a GMCA employee you are required to uphold the confidentiality of all records held by the GMCA, whether employee records or GMCA information. This duty lasts indefinitely and will continue after you leave the GMCA employment. All employees must maintain confidentiality and abide by the Data Protection Act.</w:t>
      </w:r>
    </w:p>
    <w:p>
      <w:pPr>
        <w:pStyle w:val="Normal"/>
        <w:spacing w:before="0" w:after="0"/>
        <w:contextualSpacing/>
        <w:jc w:val="both"/>
        <w:rPr>
          <w:rFonts w:ascii="Calibri" w:hAnsi="Calibri" w:eastAsia="Calibri" w:cs="Calibri"/>
          <w:color w:val="595959"/>
          <w:sz w:val="22"/>
          <w:szCs w:val="22"/>
        </w:rPr>
      </w:pPr>
      <w:r>
        <w:rPr>
          <w:rFonts w:eastAsia="Calibri" w:cs="Calibri" w:ascii="Calibri" w:hAnsi="Calibri"/>
          <w:color w:val="595959"/>
          <w:sz w:val="22"/>
          <w:szCs w:val="22"/>
        </w:rPr>
        <w:t xml:space="preserve"> </w:t>
      </w:r>
    </w:p>
    <w:p>
      <w:pPr>
        <w:pStyle w:val="Normal"/>
        <w:spacing w:before="0" w:after="0"/>
        <w:contextualSpacing/>
        <w:jc w:val="both"/>
        <w:rPr/>
      </w:pPr>
      <w:r>
        <w:rPr>
          <w:rFonts w:cs="Calibri" w:ascii="Calibri" w:hAnsi="Calibri"/>
          <w:b/>
          <w:color w:val="595959"/>
          <w:sz w:val="22"/>
          <w:szCs w:val="22"/>
        </w:rPr>
        <w:t xml:space="preserve">Data Quality - </w:t>
      </w:r>
      <w:r>
        <w:rPr>
          <w:rFonts w:cs="Calibri" w:ascii="Calibri" w:hAnsi="Calibri"/>
          <w:color w:val="595959"/>
          <w:sz w:val="22"/>
          <w:szCs w:val="22"/>
        </w:rPr>
        <w:t>All staff are personally responsible</w:t>
      </w:r>
      <w:r>
        <w:rPr>
          <w:rFonts w:cs="Calibri" w:ascii="Calibri" w:hAnsi="Calibri"/>
          <w:b/>
          <w:bCs/>
          <w:color w:val="595959"/>
          <w:sz w:val="22"/>
          <w:szCs w:val="22"/>
        </w:rPr>
        <w:t xml:space="preserve"> </w:t>
      </w:r>
      <w:r>
        <w:rPr>
          <w:rFonts w:cs="Calibri" w:ascii="Calibri" w:hAnsi="Calibri"/>
          <w:color w:val="595959"/>
          <w:sz w:val="22"/>
          <w:szCs w:val="22"/>
        </w:rPr>
        <w:t>for the quality of data entered by themselves, or on their behalf, on GMCAs computerised systems or manual records (paper records) and must ensure that such data is entered accurately and, in a timely manner, to ensure high standards of data quality in accordance with Departmental protocols.</w:t>
      </w:r>
    </w:p>
    <w:p>
      <w:pPr>
        <w:pStyle w:val="Normal"/>
        <w:jc w:val="both"/>
        <w:rPr>
          <w:rFonts w:ascii="Calibri" w:hAnsi="Calibri" w:cs="Calibri"/>
          <w:color w:val="595959"/>
          <w:sz w:val="22"/>
          <w:szCs w:val="22"/>
        </w:rPr>
      </w:pPr>
      <w:r>
        <w:rPr>
          <w:rFonts w:cs="Calibri" w:ascii="Calibri" w:hAnsi="Calibri"/>
          <w:color w:val="595959"/>
          <w:sz w:val="22"/>
          <w:szCs w:val="22"/>
        </w:rPr>
        <w:t>  </w:t>
      </w:r>
    </w:p>
    <w:p>
      <w:pPr>
        <w:pStyle w:val="Normal"/>
        <w:jc w:val="both"/>
        <w:rPr>
          <w:rFonts w:ascii="Calibri" w:hAnsi="Calibri" w:cs="Calibri"/>
          <w:color w:val="595959"/>
          <w:sz w:val="22"/>
          <w:szCs w:val="22"/>
        </w:rPr>
      </w:pPr>
      <w:r>
        <w:rPr>
          <w:rFonts w:cs="Calibri" w:ascii="Calibri" w:hAnsi="Calibri"/>
          <w:color w:val="595959"/>
          <w:sz w:val="22"/>
          <w:szCs w:val="22"/>
        </w:rPr>
        <w:t xml:space="preserve">To ensure data is handled in a secure manner protecting the confidentiality of any personal data held in meeting the requirements of the Data Protection Act. </w:t>
      </w:r>
    </w:p>
    <w:p>
      <w:pPr>
        <w:pStyle w:val="Normal"/>
        <w:tabs>
          <w:tab w:val="clear" w:pos="720"/>
          <w:tab w:val="left" w:pos="1134" w:leader="none"/>
        </w:tabs>
        <w:spacing w:before="0" w:after="0"/>
        <w:contextualSpacing/>
        <w:jc w:val="both"/>
        <w:rPr>
          <w:rFonts w:ascii="Calibri" w:hAnsi="Calibri" w:cs="Calibri"/>
          <w:color w:val="595959"/>
          <w:sz w:val="22"/>
          <w:szCs w:val="22"/>
        </w:rPr>
      </w:pPr>
      <w:r>
        <w:rPr>
          <w:rFonts w:cs="Calibri" w:ascii="Calibri" w:hAnsi="Calibri"/>
          <w:color w:val="595959"/>
          <w:sz w:val="22"/>
          <w:szCs w:val="22"/>
        </w:rPr>
      </w:r>
    </w:p>
    <w:p>
      <w:pPr>
        <w:pStyle w:val="Normal"/>
        <w:tabs>
          <w:tab w:val="clear" w:pos="720"/>
          <w:tab w:val="left" w:pos="1134" w:leader="none"/>
        </w:tabs>
        <w:spacing w:before="0" w:after="0"/>
        <w:contextualSpacing/>
        <w:jc w:val="both"/>
        <w:rPr/>
      </w:pPr>
      <w:r>
        <w:rPr>
          <w:rFonts w:cs="Calibri" w:ascii="Calibri" w:hAnsi="Calibri"/>
          <w:b/>
          <w:color w:val="595959"/>
          <w:sz w:val="22"/>
          <w:szCs w:val="22"/>
        </w:rPr>
        <w:t xml:space="preserve">Health and Safety - </w:t>
      </w:r>
      <w:r>
        <w:rPr>
          <w:rFonts w:cs="Calibri" w:ascii="Calibri" w:hAnsi="Calibri"/>
          <w:color w:val="595959"/>
          <w:sz w:val="22"/>
          <w:szCs w:val="22"/>
        </w:rPr>
        <w:t>All employees of GMCA have a statutory duty of care for their own personal safety and that of others who may be affected by their acts or omissions. Employees are required to co-operate with management to enable GMCA to meet its own legal duties and to report any circumstances that may compromise the health, safety and welfare of those affected by the Service’s undertakings.</w:t>
      </w:r>
    </w:p>
    <w:p>
      <w:pPr>
        <w:pStyle w:val="Normal"/>
        <w:tabs>
          <w:tab w:val="clear" w:pos="720"/>
          <w:tab w:val="left" w:pos="1134" w:leader="none"/>
        </w:tabs>
        <w:spacing w:before="0" w:after="0"/>
        <w:contextualSpacing/>
        <w:jc w:val="both"/>
        <w:rPr>
          <w:rFonts w:ascii="Calibri" w:hAnsi="Calibri" w:cs="Calibri"/>
          <w:color w:val="595959"/>
          <w:sz w:val="22"/>
          <w:szCs w:val="22"/>
        </w:rPr>
      </w:pPr>
      <w:r>
        <w:rPr>
          <w:rFonts w:cs="Calibri" w:ascii="Calibri" w:hAnsi="Calibri"/>
          <w:color w:val="595959"/>
          <w:sz w:val="22"/>
          <w:szCs w:val="22"/>
        </w:rPr>
      </w:r>
    </w:p>
    <w:p>
      <w:pPr>
        <w:pStyle w:val="Normal"/>
        <w:tabs>
          <w:tab w:val="clear" w:pos="720"/>
          <w:tab w:val="left" w:pos="1134" w:leader="none"/>
        </w:tabs>
        <w:spacing w:before="0" w:after="0"/>
        <w:contextualSpacing/>
        <w:jc w:val="both"/>
        <w:rPr/>
      </w:pPr>
      <w:r>
        <w:rPr>
          <w:rFonts w:cs="Calibri" w:ascii="Calibri" w:hAnsi="Calibri"/>
          <w:b/>
          <w:color w:val="595959"/>
          <w:sz w:val="22"/>
          <w:szCs w:val="22"/>
        </w:rPr>
        <w:t xml:space="preserve">Service Policies - </w:t>
      </w:r>
      <w:r>
        <w:rPr>
          <w:rFonts w:cs="Calibri" w:ascii="Calibri" w:hAnsi="Calibri"/>
          <w:color w:val="595959"/>
          <w:sz w:val="22"/>
          <w:szCs w:val="22"/>
        </w:rPr>
        <w:t>All GMCA employees must observe and adhere to the provisions outlined in these policies.</w:t>
      </w:r>
    </w:p>
    <w:p>
      <w:pPr>
        <w:pStyle w:val="Normal"/>
        <w:spacing w:before="0" w:after="0"/>
        <w:contextualSpacing/>
        <w:jc w:val="both"/>
        <w:rPr>
          <w:rFonts w:ascii="Calibri" w:hAnsi="Calibri" w:cs="Calibri"/>
          <w:color w:val="595959"/>
          <w:sz w:val="22"/>
          <w:szCs w:val="22"/>
        </w:rPr>
      </w:pPr>
      <w:r>
        <w:rPr>
          <w:rFonts w:cs="Calibri" w:ascii="Calibri" w:hAnsi="Calibri"/>
          <w:color w:val="595959"/>
          <w:sz w:val="22"/>
          <w:szCs w:val="22"/>
        </w:rPr>
      </w:r>
    </w:p>
    <w:p>
      <w:pPr>
        <w:pStyle w:val="Body"/>
        <w:ind w:right="261"/>
        <w:rPr/>
      </w:pPr>
      <w:r>
        <w:rPr>
          <w:rFonts w:cs="Calibri" w:ascii="Calibri" w:hAnsi="Calibri"/>
          <w:b/>
          <w:color w:val="595959"/>
        </w:rPr>
        <w:t xml:space="preserve">Equal Opportunities - </w:t>
      </w:r>
      <w:r>
        <w:rPr>
          <w:rFonts w:cs="Calibri" w:ascii="Calibri" w:hAnsi="Calibri"/>
          <w:color w:val="595959"/>
        </w:rPr>
        <w:t>GMCA provides a range of services and employment opportunities for a diverse population. As a GMCA employee you are expected to treat all employees / partners / members of the public and work colleagues with dignity and respect irrespective of their background</w:t>
      </w:r>
    </w:p>
    <w:sectPr>
      <w:headerReference w:type="default" r:id="rId3"/>
      <w:headerReference w:type="first" r:id="rId4"/>
      <w:footerReference w:type="default" r:id="rId5"/>
      <w:footerReference w:type="first" r:id="rId6"/>
      <w:type w:val="nextPage"/>
      <w:pgSz w:w="11906" w:h="16838"/>
      <w:pgMar w:left="1440" w:right="1440" w:gutter="0" w:header="426" w:top="993" w:footer="144" w:bottom="851"/>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Courier New">
    <w:charset w:val="00"/>
    <w:family w:val="roman"/>
    <w:pitch w:val="variable"/>
  </w:font>
  <w:font w:name="Liberation Sans">
    <w:altName w:val="Arial"/>
    <w:charset w:val="00"/>
    <w:family w:val="swiss"/>
    <w:pitch w:val="variable"/>
  </w:font>
  <w:font w:name="Verdana">
    <w:charset w:val="00"/>
    <w:family w:val="roman"/>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4</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458" w:hanging="360"/>
      </w:pPr>
      <w:rPr>
        <w:rFonts w:ascii="Symbol" w:hAnsi="Symbol" w:cs="Symbol" w:hint="default"/>
      </w:rPr>
    </w:lvl>
    <w:lvl w:ilvl="1">
      <w:start w:val="1"/>
      <w:numFmt w:val="bullet"/>
      <w:lvlText w:val="o"/>
      <w:lvlJc w:val="left"/>
      <w:pPr>
        <w:tabs>
          <w:tab w:val="num" w:pos="0"/>
        </w:tabs>
        <w:ind w:left="1178" w:hanging="360"/>
      </w:pPr>
      <w:rPr>
        <w:rFonts w:ascii="Courier New" w:hAnsi="Courier New" w:cs="Courier New" w:hint="default"/>
      </w:rPr>
    </w:lvl>
    <w:lvl w:ilvl="2">
      <w:start w:val="1"/>
      <w:numFmt w:val="bullet"/>
      <w:lvlText w:val=""/>
      <w:lvlJc w:val="left"/>
      <w:pPr>
        <w:tabs>
          <w:tab w:val="num" w:pos="0"/>
        </w:tabs>
        <w:ind w:left="1898" w:hanging="360"/>
      </w:pPr>
      <w:rPr>
        <w:rFonts w:ascii="Wingdings" w:hAnsi="Wingdings" w:cs="Wingdings" w:hint="default"/>
      </w:rPr>
    </w:lvl>
    <w:lvl w:ilvl="3">
      <w:start w:val="1"/>
      <w:numFmt w:val="bullet"/>
      <w:lvlText w:val=""/>
      <w:lvlJc w:val="left"/>
      <w:pPr>
        <w:tabs>
          <w:tab w:val="num" w:pos="0"/>
        </w:tabs>
        <w:ind w:left="2618" w:hanging="360"/>
      </w:pPr>
      <w:rPr>
        <w:rFonts w:ascii="Symbol" w:hAnsi="Symbol" w:cs="Symbol" w:hint="default"/>
      </w:rPr>
    </w:lvl>
    <w:lvl w:ilvl="4">
      <w:start w:val="1"/>
      <w:numFmt w:val="bullet"/>
      <w:lvlText w:val="o"/>
      <w:lvlJc w:val="left"/>
      <w:pPr>
        <w:tabs>
          <w:tab w:val="num" w:pos="0"/>
        </w:tabs>
        <w:ind w:left="3338" w:hanging="360"/>
      </w:pPr>
      <w:rPr>
        <w:rFonts w:ascii="Courier New" w:hAnsi="Courier New" w:cs="Courier New" w:hint="default"/>
      </w:rPr>
    </w:lvl>
    <w:lvl w:ilvl="5">
      <w:start w:val="1"/>
      <w:numFmt w:val="bullet"/>
      <w:lvlText w:val=""/>
      <w:lvlJc w:val="left"/>
      <w:pPr>
        <w:tabs>
          <w:tab w:val="num" w:pos="0"/>
        </w:tabs>
        <w:ind w:left="4058" w:hanging="360"/>
      </w:pPr>
      <w:rPr>
        <w:rFonts w:ascii="Wingdings" w:hAnsi="Wingdings" w:cs="Wingdings" w:hint="default"/>
      </w:rPr>
    </w:lvl>
    <w:lvl w:ilvl="6">
      <w:start w:val="1"/>
      <w:numFmt w:val="bullet"/>
      <w:lvlText w:val=""/>
      <w:lvlJc w:val="left"/>
      <w:pPr>
        <w:tabs>
          <w:tab w:val="num" w:pos="0"/>
        </w:tabs>
        <w:ind w:left="4778" w:hanging="360"/>
      </w:pPr>
      <w:rPr>
        <w:rFonts w:ascii="Symbol" w:hAnsi="Symbol" w:cs="Symbol" w:hint="default"/>
      </w:rPr>
    </w:lvl>
    <w:lvl w:ilvl="7">
      <w:start w:val="1"/>
      <w:numFmt w:val="bullet"/>
      <w:lvlText w:val="o"/>
      <w:lvlJc w:val="left"/>
      <w:pPr>
        <w:tabs>
          <w:tab w:val="num" w:pos="0"/>
        </w:tabs>
        <w:ind w:left="5498" w:hanging="360"/>
      </w:pPr>
      <w:rPr>
        <w:rFonts w:ascii="Courier New" w:hAnsi="Courier New" w:cs="Courier New" w:hint="default"/>
      </w:rPr>
    </w:lvl>
    <w:lvl w:ilvl="8">
      <w:start w:val="1"/>
      <w:numFmt w:val="bullet"/>
      <w:lvlText w:val=""/>
      <w:lvlJc w:val="left"/>
      <w:pPr>
        <w:tabs>
          <w:tab w:val="num" w:pos="0"/>
        </w:tabs>
        <w:ind w:left="6218"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Symbol" w:hAnsi="Symbol" w:cs="Symbol" w:hint="default"/>
        <w:sz w:val="26"/>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pBdr/>
      <w:suppressAutoHyphens w:val="true"/>
      <w:bidi w:val="0"/>
      <w:spacing w:lineRule="auto" w:line="240" w:before="0" w:after="0"/>
      <w:jc w:val="left"/>
    </w:pPr>
    <w:rPr>
      <w:rFonts w:ascii="Times New Roman" w:hAnsi="Times New Roman" w:eastAsia="Arial Unicode MS" w:cs="Times New Roman"/>
      <w:color w:val="auto"/>
      <w:kern w:val="0"/>
      <w:sz w:val="24"/>
      <w:szCs w:val="24"/>
      <w:lang w:val="en-US" w:eastAsia="en-US" w:bidi="ar-SA"/>
    </w:rPr>
  </w:style>
  <w:style w:type="paragraph" w:styleId="Heading1">
    <w:name w:val="Heading 1"/>
    <w:basedOn w:val="Normal"/>
    <w:next w:val="Normal"/>
    <w:qFormat/>
    <w:pPr>
      <w:keepNext w:val="true"/>
      <w:keepLines/>
      <w:numPr>
        <w:ilvl w:val="0"/>
        <w:numId w:val="1"/>
      </w:numPr>
      <w:spacing w:before="480" w:after="0"/>
      <w:outlineLvl w:val="0"/>
    </w:pPr>
    <w:rPr>
      <w:rFonts w:ascii="Cambria" w:hAnsi="Cambria" w:eastAsia="" w:cs=""/>
      <w:b/>
      <w:bCs/>
      <w:color w:val="365F91"/>
      <w:sz w:val="28"/>
      <w:szCs w:val="28"/>
    </w:rPr>
  </w:style>
  <w:style w:type="paragraph" w:styleId="Heading2">
    <w:name w:val="Heading 2"/>
    <w:basedOn w:val="Normal"/>
    <w:next w:val="Normal"/>
    <w:qFormat/>
    <w:pPr>
      <w:keepNext w:val="true"/>
      <w:keepLines/>
      <w:numPr>
        <w:ilvl w:val="1"/>
        <w:numId w:val="1"/>
      </w:numPr>
      <w:spacing w:before="200" w:after="0"/>
      <w:outlineLvl w:val="1"/>
    </w:pPr>
    <w:rPr>
      <w:rFonts w:ascii="Cambria" w:hAnsi="Cambria" w:eastAsia="" w:cs=""/>
      <w:b/>
      <w:bCs/>
      <w:color w:val="4F81BD"/>
      <w:sz w:val="26"/>
      <w:szCs w:val="26"/>
    </w:rPr>
  </w:style>
  <w:style w:type="paragraph" w:styleId="Heading3">
    <w:name w:val="Heading 3"/>
    <w:next w:val="Body"/>
    <w:qFormat/>
    <w:pPr>
      <w:keepNext w:val="true"/>
      <w:widowControl/>
      <w:numPr>
        <w:ilvl w:val="2"/>
        <w:numId w:val="1"/>
      </w:numPr>
      <w:pBdr/>
      <w:suppressAutoHyphens w:val="true"/>
      <w:bidi w:val="0"/>
      <w:spacing w:lineRule="auto" w:line="240" w:before="0" w:after="0"/>
      <w:jc w:val="left"/>
      <w:outlineLvl w:val="2"/>
    </w:pPr>
    <w:rPr>
      <w:rFonts w:ascii="Arial" w:hAnsi="Arial" w:eastAsia="Arial" w:cs="Arial"/>
      <w:b/>
      <w:bCs/>
      <w:color w:val="FFFFFF"/>
      <w:kern w:val="0"/>
      <w:sz w:val="24"/>
      <w:szCs w:val="24"/>
      <w:u w:val="none" w:color="FFFFFF"/>
      <w:lang w:val="en-US"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sz w:val="26"/>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rFonts w:ascii="Symbol" w:hAnsi="Symbol" w:cs="Symbol"/>
      <w:sz w:val="20"/>
    </w:rPr>
  </w:style>
  <w:style w:type="character" w:styleId="WW8Num6z1">
    <w:name w:val="WW8Num6z1"/>
    <w:qFormat/>
    <w:rPr>
      <w:rFonts w:ascii="Courier New" w:hAnsi="Courier New" w:cs="Courier New"/>
      <w:sz w:val="20"/>
    </w:rPr>
  </w:style>
  <w:style w:type="character" w:styleId="WW8Num6z2">
    <w:name w:val="WW8Num6z2"/>
    <w:qFormat/>
    <w:rPr>
      <w:rFonts w:ascii="Wingdings" w:hAnsi="Wingdings" w:cs="Wingdings"/>
      <w:sz w:val="20"/>
    </w:rPr>
  </w:style>
  <w:style w:type="character" w:styleId="WW8Num7z0">
    <w:name w:val="WW8Num7z0"/>
    <w:qFormat/>
    <w:rPr>
      <w:rFonts w:ascii="Symbol" w:hAnsi="Symbol" w:cs="Symbol"/>
      <w:sz w:val="20"/>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rFonts w:ascii="Symbol" w:hAnsi="Symbol" w:cs="Symbol"/>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DefaultParagraphFont">
    <w:name w:val="Default Paragraph Font"/>
    <w:qFormat/>
    <w:rPr/>
  </w:style>
  <w:style w:type="character" w:styleId="Heading3Char">
    <w:name w:val="Heading 3 Char"/>
    <w:basedOn w:val="DefaultParagraphFont"/>
    <w:qFormat/>
    <w:rPr>
      <w:rFonts w:ascii="Arial" w:hAnsi="Arial" w:eastAsia="Arial" w:cs="Arial"/>
      <w:b/>
      <w:bCs/>
      <w:color w:val="FFFFFF"/>
      <w:sz w:val="24"/>
      <w:szCs w:val="24"/>
      <w:u w:val="none" w:color="FFFFFF"/>
      <w:lang w:val="en-US"/>
    </w:rPr>
  </w:style>
  <w:style w:type="character" w:styleId="HeaderChar">
    <w:name w:val="Header Char"/>
    <w:basedOn w:val="DefaultParagraphFont"/>
    <w:qFormat/>
    <w:rPr>
      <w:rFonts w:ascii="Arial" w:hAnsi="Arial" w:eastAsia="Arial" w:cs="Arial"/>
      <w:color w:val="000000"/>
      <w:u w:val="none" w:color="000000"/>
      <w:lang w:val="en-US"/>
    </w:rPr>
  </w:style>
  <w:style w:type="character" w:styleId="FooterChar">
    <w:name w:val="Footer Char"/>
    <w:basedOn w:val="DefaultParagraphFont"/>
    <w:qFormat/>
    <w:rPr>
      <w:rFonts w:ascii="Arial" w:hAnsi="Arial" w:eastAsia="Arial" w:cs="Arial"/>
      <w:color w:val="000000"/>
      <w:u w:val="none" w:color="000000"/>
      <w:lang w:val="en-US"/>
    </w:rPr>
  </w:style>
  <w:style w:type="character" w:styleId="Heading1Char">
    <w:name w:val="Heading 1 Char"/>
    <w:basedOn w:val="DefaultParagraphFont"/>
    <w:qFormat/>
    <w:rPr>
      <w:rFonts w:ascii="Cambria" w:hAnsi="Cambria" w:eastAsia="" w:cs=""/>
      <w:b/>
      <w:bCs/>
      <w:color w:val="365F91"/>
      <w:sz w:val="28"/>
      <w:szCs w:val="28"/>
      <w:lang w:val="en-US"/>
    </w:rPr>
  </w:style>
  <w:style w:type="character" w:styleId="Heading2Char">
    <w:name w:val="Heading 2 Char"/>
    <w:basedOn w:val="DefaultParagraphFont"/>
    <w:qFormat/>
    <w:rPr>
      <w:rFonts w:ascii="Cambria" w:hAnsi="Cambria" w:eastAsia="" w:cs=""/>
      <w:b/>
      <w:bCs/>
      <w:color w:val="4F81BD"/>
      <w:sz w:val="26"/>
      <w:szCs w:val="26"/>
      <w:lang w:val="en-US"/>
    </w:rPr>
  </w:style>
  <w:style w:type="character" w:styleId="BalloonTextChar">
    <w:name w:val="Balloon Text Char"/>
    <w:basedOn w:val="DefaultParagraphFont"/>
    <w:qFormat/>
    <w:rPr>
      <w:rFonts w:ascii="Tahoma" w:hAnsi="Tahoma" w:eastAsia="Arial Unicode MS" w:cs="Tahoma"/>
      <w:sz w:val="16"/>
      <w:szCs w:val="16"/>
      <w:lang w:val="en-US"/>
    </w:rPr>
  </w:style>
  <w:style w:type="character" w:styleId="PlainTextChar">
    <w:name w:val="Plain Text Char"/>
    <w:basedOn w:val="DefaultParagraphFont"/>
    <w:qFormat/>
    <w:rPr>
      <w:rFonts w:ascii="Courier New" w:hAnsi="Courier New" w:eastAsia="Times New Roman" w:cs="Times New Roman"/>
      <w:sz w:val="20"/>
      <w:szCs w:val="20"/>
    </w:rPr>
  </w:style>
  <w:style w:type="character" w:styleId="BodyTextChar">
    <w:name w:val="Body Text Char"/>
    <w:basedOn w:val="DefaultParagraphFont"/>
    <w:qFormat/>
    <w:rPr>
      <w:rFonts w:ascii="Arial" w:hAnsi="Arial" w:eastAsia="Times New Roman" w:cs="Times New Roman"/>
      <w:sz w:val="24"/>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Arial Unicode MS" w:cs="Times New Roman"/>
      <w:sz w:val="20"/>
      <w:szCs w:val="20"/>
      <w:lang w:val="en-US"/>
    </w:rPr>
  </w:style>
  <w:style w:type="character" w:styleId="CommentSubjectChar">
    <w:name w:val="Comment Subject Char"/>
    <w:basedOn w:val="CommentTextChar"/>
    <w:qFormat/>
    <w:rPr>
      <w:rFonts w:ascii="Times New Roman" w:hAnsi="Times New Roman" w:eastAsia="Arial Unicode MS" w:cs="Times New Roman"/>
      <w:b/>
      <w:bCs/>
      <w:sz w:val="20"/>
      <w:szCs w:val="20"/>
      <w:lang w:val="en-US"/>
    </w:rPr>
  </w:style>
  <w:style w:type="character" w:styleId="BodyTextIndent3Char">
    <w:name w:val="Body Text Indent 3 Char"/>
    <w:basedOn w:val="DefaultParagraphFont"/>
    <w:qFormat/>
    <w:rPr>
      <w:rFonts w:ascii="Times New Roman" w:hAnsi="Times New Roman" w:eastAsia="Arial Unicode MS" w:cs="Times New Roman"/>
      <w:sz w:val="16"/>
      <w:szCs w:val="16"/>
      <w:lang w:val="en-US"/>
    </w:rPr>
  </w:style>
  <w:style w:type="character" w:styleId="ListParagraphChar">
    <w:name w:val="List Paragraph Char"/>
    <w:qFormat/>
    <w:rPr>
      <w:rFonts w:ascii="Arial" w:hAnsi="Arial" w:eastAsia="Arial" w:cs="Arial"/>
      <w:color w:val="000000"/>
      <w:u w:val="none" w:color="000000"/>
      <w:lang w:val="en-US"/>
    </w:rPr>
  </w:style>
  <w:style w:type="character" w:styleId="Hyperlink">
    <w:name w:val="Hyperlink"/>
    <w:basedOn w:val="DefaultParagraphFont"/>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pBdr/>
      <w:snapToGrid w:val="false"/>
    </w:pPr>
    <w:rPr>
      <w:rFonts w:ascii="Arial" w:hAnsi="Arial" w:eastAsia="Times New Roman" w:cs="Arial"/>
      <w:szCs w:val="20"/>
      <w:lang w:val="en-G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pPr>
      <w:widowControl/>
      <w:pBdr/>
      <w:tabs>
        <w:tab w:val="clear" w:pos="720"/>
        <w:tab w:val="center" w:pos="4153" w:leader="none"/>
        <w:tab w:val="right" w:pos="8306" w:leader="none"/>
      </w:tabs>
      <w:suppressAutoHyphens w:val="true"/>
      <w:bidi w:val="0"/>
      <w:spacing w:lineRule="auto" w:line="240" w:before="0" w:after="0"/>
      <w:jc w:val="left"/>
    </w:pPr>
    <w:rPr>
      <w:rFonts w:ascii="Arial" w:hAnsi="Arial" w:eastAsia="Arial" w:cs="Arial"/>
      <w:color w:val="000000"/>
      <w:kern w:val="0"/>
      <w:sz w:val="24"/>
      <w:szCs w:val="22"/>
      <w:u w:val="none" w:color="000000"/>
      <w:lang w:val="en-US" w:eastAsia="en-US" w:bidi="ar-SA"/>
    </w:rPr>
  </w:style>
  <w:style w:type="paragraph" w:styleId="Footer">
    <w:name w:val="Footer"/>
    <w:pPr>
      <w:widowControl/>
      <w:pBdr/>
      <w:tabs>
        <w:tab w:val="clear" w:pos="720"/>
        <w:tab w:val="center" w:pos="4153" w:leader="none"/>
        <w:tab w:val="right" w:pos="8306" w:leader="none"/>
      </w:tabs>
      <w:suppressAutoHyphens w:val="true"/>
      <w:bidi w:val="0"/>
      <w:spacing w:lineRule="auto" w:line="240" w:before="0" w:after="0"/>
      <w:jc w:val="left"/>
    </w:pPr>
    <w:rPr>
      <w:rFonts w:ascii="Arial" w:hAnsi="Arial" w:eastAsia="Arial" w:cs="Arial"/>
      <w:color w:val="000000"/>
      <w:kern w:val="0"/>
      <w:sz w:val="24"/>
      <w:szCs w:val="22"/>
      <w:u w:val="none" w:color="000000"/>
      <w:lang w:val="en-US" w:eastAsia="en-US" w:bidi="ar-SA"/>
    </w:rPr>
  </w:style>
  <w:style w:type="paragraph" w:styleId="Body">
    <w:name w:val="Body"/>
    <w:qFormat/>
    <w:pPr>
      <w:widowControl/>
      <w:pBdr/>
      <w:suppressAutoHyphens w:val="true"/>
      <w:bidi w:val="0"/>
      <w:spacing w:lineRule="auto" w:line="240" w:before="0" w:after="0"/>
      <w:jc w:val="left"/>
    </w:pPr>
    <w:rPr>
      <w:rFonts w:ascii="Arial" w:hAnsi="Arial" w:eastAsia="Arial" w:cs="Arial"/>
      <w:color w:val="000000"/>
      <w:kern w:val="0"/>
      <w:sz w:val="24"/>
      <w:szCs w:val="22"/>
      <w:u w:val="none" w:color="000000"/>
      <w:lang w:val="en-GB" w:eastAsia="en-US" w:bidi="ar-SA"/>
    </w:rPr>
  </w:style>
  <w:style w:type="paragraph" w:styleId="ListParagraph">
    <w:name w:val="List Paragraph"/>
    <w:qFormat/>
    <w:pPr>
      <w:widowControl/>
      <w:pBdr/>
      <w:suppressAutoHyphens w:val="true"/>
      <w:bidi w:val="0"/>
      <w:spacing w:lineRule="auto" w:line="240" w:before="0" w:after="0"/>
      <w:ind w:hanging="0" w:left="720" w:right="0"/>
      <w:jc w:val="left"/>
    </w:pPr>
    <w:rPr>
      <w:rFonts w:ascii="Arial" w:hAnsi="Arial" w:eastAsia="Arial" w:cs="Arial"/>
      <w:color w:val="000000"/>
      <w:kern w:val="0"/>
      <w:sz w:val="24"/>
      <w:szCs w:val="22"/>
      <w:u w:val="none" w:color="000000"/>
      <w:lang w:val="en-US" w:eastAsia="en-US" w:bidi="ar-SA"/>
    </w:rPr>
  </w:style>
  <w:style w:type="paragraph" w:styleId="BalloonText">
    <w:name w:val="Balloon Text"/>
    <w:basedOn w:val="Normal"/>
    <w:qFormat/>
    <w:pPr/>
    <w:rPr>
      <w:rFonts w:ascii="Tahoma" w:hAnsi="Tahoma" w:cs="Tahoma"/>
      <w:sz w:val="16"/>
      <w:szCs w:val="16"/>
    </w:rPr>
  </w:style>
  <w:style w:type="paragraph" w:styleId="Default">
    <w:name w:val="Default"/>
    <w:qFormat/>
    <w:pPr>
      <w:widowControl/>
      <w:suppressAutoHyphens w:val="true"/>
      <w:bidi w:val="0"/>
      <w:spacing w:lineRule="auto" w:line="240" w:before="0" w:after="0"/>
      <w:jc w:val="left"/>
    </w:pPr>
    <w:rPr>
      <w:rFonts w:ascii="Verdana" w:hAnsi="Verdana" w:eastAsia="Times New Roman" w:cs="Verdana"/>
      <w:color w:val="000000"/>
      <w:kern w:val="0"/>
      <w:sz w:val="24"/>
      <w:szCs w:val="24"/>
      <w:lang w:val="en-GB" w:eastAsia="en-GB" w:bidi="ar-SA"/>
    </w:rPr>
  </w:style>
  <w:style w:type="paragraph" w:styleId="PlainText">
    <w:name w:val="Plain Text"/>
    <w:basedOn w:val="Normal"/>
    <w:qFormat/>
    <w:pPr>
      <w:pBdr/>
    </w:pPr>
    <w:rPr>
      <w:rFonts w:ascii="Courier New" w:hAnsi="Courier New" w:eastAsia="Times New Roman" w:cs="Courier New"/>
      <w:sz w:val="20"/>
      <w:szCs w:val="20"/>
      <w:lang w:val="en-GB"/>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BodyTextIndent3">
    <w:name w:val="Body Text Indent 3"/>
    <w:basedOn w:val="Normal"/>
    <w:qFormat/>
    <w:pPr>
      <w:spacing w:before="0" w:after="120"/>
      <w:ind w:hanging="0" w:left="283" w:right="0"/>
    </w:pPr>
    <w:rPr>
      <w:sz w:val="16"/>
      <w:szCs w:val="16"/>
    </w:rPr>
  </w:style>
  <w:style w:type="paragraph" w:styleId="NormalWeb">
    <w:name w:val="Normal (Web)"/>
    <w:basedOn w:val="Normal"/>
    <w:qFormat/>
    <w:pPr>
      <w:pBdr/>
      <w:spacing w:before="0" w:after="240"/>
    </w:pPr>
    <w:rPr>
      <w:rFonts w:eastAsia="Times New Roman"/>
      <w:lang w:val="en-GB" w:eastAsia="en-GB"/>
    </w:rPr>
  </w:style>
  <w:style w:type="paragraph" w:styleId="Revision">
    <w:name w:val="Revision"/>
    <w:qFormat/>
    <w:pPr>
      <w:widowControl/>
      <w:suppressAutoHyphens w:val="true"/>
      <w:bidi w:val="0"/>
      <w:spacing w:lineRule="auto" w:line="240" w:before="0" w:after="0"/>
      <w:jc w:val="left"/>
    </w:pPr>
    <w:rPr>
      <w:rFonts w:ascii="Times New Roman" w:hAnsi="Times New Roman" w:eastAsia="Arial Unicode MS" w:cs="Times New Roman"/>
      <w:color w:val="auto"/>
      <w:kern w:val="0"/>
      <w:sz w:val="24"/>
      <w:szCs w:val="24"/>
      <w:lang w:val="en-US" w:eastAsia="en-US" w:bidi="ar-SA"/>
    </w:rPr>
  </w:style>
  <w:style w:type="paragraph" w:styleId="NoSpacing">
    <w:name w:val="No Spacing"/>
    <w:qFormat/>
    <w:pPr>
      <w:widowControl/>
      <w:pBdr/>
      <w:suppressAutoHyphens w:val="true"/>
      <w:bidi w:val="0"/>
      <w:spacing w:lineRule="auto" w:line="240" w:before="0" w:after="0"/>
      <w:jc w:val="left"/>
    </w:pPr>
    <w:rPr>
      <w:rFonts w:ascii="Times New Roman" w:hAnsi="Times New Roman" w:eastAsia="Arial Unicode MS" w:cs="Times New Roman"/>
      <w:color w:val="auto"/>
      <w:kern w:val="0"/>
      <w:sz w:val="24"/>
      <w:szCs w:val="24"/>
      <w:lang w:val="en-US"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