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media/image1.png" ContentType="image/png"/>
  <Override PartName="/word/media/image2.png" ContentType="image/png"/>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color w:val="auto"/>
          <w:sz w:val="24"/>
          <w:szCs w:val="24"/>
        </w:rPr>
      </w:pPr>
      <w:bookmarkStart w:id="0" w:name="permission-for-group%253A344789259%253Ae"/>
      <w:bookmarkEnd w:id="0"/>
      <w:r>
        <w:rPr>
          <w:rFonts w:cs="Arial"/>
          <w:color w:val="auto"/>
          <w:sz w:val="24"/>
          <w:szCs w:val="24"/>
        </w:rPr>
        <w:t>Role profile</w:t>
      </w:r>
    </w:p>
    <w:p>
      <w:pPr>
        <w:pStyle w:val="ListParagraph"/>
        <w:numPr>
          <w:ilvl w:val="0"/>
          <w:numId w:val="2"/>
        </w:numPr>
        <w:rPr/>
      </w:pPr>
      <w:r>
        <w:rPr>
          <w:rFonts w:cs="Arial"/>
          <w:b/>
          <w:bCs/>
          <w:color w:val="auto"/>
          <w:szCs w:val="24"/>
        </w:rPr>
        <w:t>Job title</w:t>
      </w:r>
      <w:r>
        <w:rPr>
          <w:rFonts w:cs="Arial"/>
          <w:color w:val="auto"/>
          <w:szCs w:val="24"/>
        </w:rPr>
        <w:t>: Gender-Based Violence and Victims Principal</w:t>
      </w:r>
    </w:p>
    <w:p>
      <w:pPr>
        <w:pStyle w:val="ListParagraph"/>
        <w:numPr>
          <w:ilvl w:val="0"/>
          <w:numId w:val="2"/>
        </w:numPr>
        <w:rPr/>
      </w:pPr>
      <w:r>
        <w:rPr>
          <w:rFonts w:cs="Arial"/>
          <w:b/>
          <w:bCs/>
          <w:color w:val="auto"/>
          <w:szCs w:val="24"/>
        </w:rPr>
        <w:t>Grade:</w:t>
      </w:r>
      <w:r>
        <w:rPr>
          <w:rFonts w:cs="Arial"/>
          <w:color w:val="auto"/>
          <w:szCs w:val="24"/>
        </w:rPr>
        <w:t xml:space="preserve"> 11</w:t>
      </w:r>
    </w:p>
    <w:p>
      <w:pPr>
        <w:pStyle w:val="ListParagraph"/>
        <w:numPr>
          <w:ilvl w:val="0"/>
          <w:numId w:val="2"/>
        </w:numPr>
        <w:rPr/>
      </w:pPr>
      <w:r>
        <w:rPr>
          <w:rFonts w:cs="Arial"/>
          <w:b/>
          <w:bCs/>
          <w:color w:val="auto"/>
          <w:szCs w:val="24"/>
        </w:rPr>
        <w:t>Business area:</w:t>
      </w:r>
      <w:r>
        <w:rPr>
          <w:rFonts w:cs="Arial"/>
          <w:color w:val="auto"/>
          <w:szCs w:val="24"/>
        </w:rPr>
        <w:t xml:space="preserve"> Safer and Stronger Communities </w:t>
      </w:r>
    </w:p>
    <w:p>
      <w:pPr>
        <w:pStyle w:val="ListParagraph"/>
        <w:numPr>
          <w:ilvl w:val="0"/>
          <w:numId w:val="2"/>
        </w:numPr>
        <w:rPr/>
      </w:pPr>
      <w:r>
        <w:rPr>
          <w:rFonts w:cs="Arial"/>
          <w:b/>
          <w:bCs/>
          <w:color w:val="auto"/>
          <w:szCs w:val="24"/>
        </w:rPr>
        <w:t>Reporting line:</w:t>
      </w:r>
      <w:r>
        <w:rPr>
          <w:rFonts w:cs="Arial"/>
          <w:color w:val="auto"/>
          <w:szCs w:val="24"/>
        </w:rPr>
        <w:t xml:space="preserve"> Assistant Director for Safer &amp; Stronger Communities</w:t>
      </w:r>
    </w:p>
    <w:p>
      <w:pPr>
        <w:pStyle w:val="ListParagraph"/>
        <w:numPr>
          <w:ilvl w:val="0"/>
          <w:numId w:val="2"/>
        </w:numPr>
        <w:rPr/>
      </w:pPr>
      <w:r>
        <w:rPr>
          <w:rFonts w:cs="Arial"/>
          <w:b/>
          <w:bCs/>
          <w:color w:val="auto"/>
          <w:szCs w:val="24"/>
        </w:rPr>
        <w:t>Team:</w:t>
      </w:r>
      <w:r>
        <w:rPr>
          <w:rFonts w:cs="Arial"/>
          <w:color w:val="auto"/>
          <w:szCs w:val="24"/>
        </w:rPr>
        <w:t xml:space="preserve"> Gender-Based Violence and Victims </w:t>
      </w:r>
    </w:p>
    <w:p>
      <w:pPr>
        <w:pStyle w:val="Heading2"/>
        <w:shd w:fill="004F6E" w:val="clear"/>
        <w:rPr>
          <w:rFonts w:cs="Arial"/>
          <w:color w:val="auto"/>
          <w:sz w:val="24"/>
          <w:szCs w:val="24"/>
        </w:rPr>
      </w:pPr>
      <w:r>
        <w:rPr>
          <w:rFonts w:cs="Arial"/>
          <w:color w:val="auto"/>
          <w:sz w:val="24"/>
          <w:szCs w:val="24"/>
        </w:rPr>
        <w:t>Job Purpose</w:t>
      </w:r>
    </w:p>
    <w:p>
      <w:pPr>
        <w:pStyle w:val="Normal"/>
        <w:rPr>
          <w:rFonts w:cs="Arial"/>
          <w:color w:val="auto"/>
          <w:szCs w:val="24"/>
        </w:rPr>
      </w:pPr>
      <w:r>
        <w:rPr>
          <w:rFonts w:cs="Arial"/>
          <w:color w:val="auto"/>
          <w:szCs w:val="24"/>
        </w:rPr>
        <w:t>To provide strategic policy advice, system leadership and commissioning oversight across tackling the Gender-Based Violence and Victims portfolio in Greater Manchester, supporting the delivery of the Police and Crime Plan and Devolution priorities.</w:t>
      </w:r>
    </w:p>
    <w:p>
      <w:pPr>
        <w:pStyle w:val="Normal"/>
        <w:rPr>
          <w:rFonts w:cs="Arial"/>
          <w:color w:val="auto"/>
          <w:szCs w:val="24"/>
        </w:rPr>
      </w:pPr>
      <w:r>
        <w:rPr>
          <w:rFonts w:cs="Arial"/>
          <w:color w:val="auto"/>
          <w:szCs w:val="24"/>
        </w:rPr>
        <w:t>The role acts as the subject matter expert for tackling Gender-Based Violence and supporting victims of crime, leading the development and delivery of system-wide reform programmes, influencing senior stakeholders across local and national partners, and ensuring effective commissioning and performance of services for some of our most vulnerable residents.</w:t>
      </w:r>
    </w:p>
    <w:p>
      <w:pPr>
        <w:sectPr>
          <w:headerReference w:type="default" r:id="rId2"/>
          <w:footerReference w:type="default" r:id="rId3"/>
          <w:type w:val="nextPage"/>
          <w:pgSz w:w="11906" w:h="16850"/>
          <w:pgMar w:left="1276" w:right="1410" w:header="709" w:top="766" w:footer="0" w:bottom="1418" w:gutter="0"/>
          <w:pgNumType w:fmt="decimal"/>
          <w:formProt w:val="false"/>
          <w:textDirection w:val="lrTb"/>
          <w:docGrid w:type="default" w:linePitch="326" w:charSpace="0"/>
        </w:sectPr>
        <w:pStyle w:val="Normal"/>
        <w:rPr>
          <w:rFonts w:cs="Arial"/>
          <w:color w:val="auto"/>
          <w:szCs w:val="24"/>
        </w:rPr>
      </w:pPr>
      <w:r>
        <w:rPr>
          <w:rFonts w:cs="Arial"/>
          <w:color w:val="auto"/>
          <w:szCs w:val="24"/>
        </w:rPr>
        <w:t>The postholder works within the governance and accountability framework set by the Assistant Director, contributing to strategic decision-making and supporting the Deputy Mayor, Director and wider leadership with expert advice and delivery leadership.</w:t>
      </w:r>
    </w:p>
    <w:p>
      <w:pPr>
        <w:pStyle w:val="Heading2"/>
        <w:shd w:fill="004F6E" w:val="clear"/>
        <w:rPr>
          <w:rFonts w:cs="Arial"/>
          <w:color w:val="auto"/>
          <w:sz w:val="24"/>
          <w:szCs w:val="24"/>
        </w:rPr>
      </w:pPr>
      <w:r>
        <w:rPr>
          <w:rFonts w:cs="Arial"/>
          <w:color w:val="auto"/>
          <w:sz w:val="24"/>
          <w:szCs w:val="24"/>
        </w:rPr>
        <w:t>Key working relationships</w:t>
      </w:r>
    </w:p>
    <w:p>
      <w:pPr>
        <w:pStyle w:val="Normal"/>
        <w:widowControl/>
        <w:numPr>
          <w:ilvl w:val="0"/>
          <w:numId w:val="3"/>
        </w:numPr>
        <w:spacing w:lineRule="auto" w:line="276" w:before="0" w:after="160"/>
        <w:rPr>
          <w:color w:val="auto"/>
        </w:rPr>
      </w:pPr>
      <w:r>
        <w:rPr>
          <w:color w:val="auto"/>
        </w:rPr>
        <w:t>Assistant Director for Safer and Stronger Communities</w:t>
      </w:r>
    </w:p>
    <w:p>
      <w:pPr>
        <w:pStyle w:val="Normal"/>
        <w:widowControl/>
        <w:numPr>
          <w:ilvl w:val="0"/>
          <w:numId w:val="3"/>
        </w:numPr>
        <w:spacing w:lineRule="auto" w:line="276" w:before="0" w:after="160"/>
        <w:rPr>
          <w:color w:val="auto"/>
        </w:rPr>
      </w:pPr>
      <w:r>
        <w:rPr>
          <w:color w:val="auto"/>
        </w:rPr>
        <w:t>Deputy and Director for Safer and Stronger Communities</w:t>
      </w:r>
    </w:p>
    <w:p>
      <w:pPr>
        <w:pStyle w:val="Normal"/>
        <w:widowControl/>
        <w:numPr>
          <w:ilvl w:val="0"/>
          <w:numId w:val="3"/>
        </w:numPr>
        <w:spacing w:lineRule="auto" w:line="276" w:before="0" w:after="160"/>
        <w:rPr>
          <w:color w:val="auto"/>
        </w:rPr>
      </w:pPr>
      <w:r>
        <w:rPr>
          <w:color w:val="auto"/>
        </w:rPr>
        <w:t xml:space="preserve">Deputy Mayor and Mayor for Greater Manchester </w:t>
      </w:r>
    </w:p>
    <w:p>
      <w:pPr>
        <w:pStyle w:val="Normal"/>
        <w:widowControl/>
        <w:numPr>
          <w:ilvl w:val="0"/>
          <w:numId w:val="3"/>
        </w:numPr>
        <w:spacing w:lineRule="auto" w:line="276" w:before="0" w:after="160"/>
        <w:rPr>
          <w:color w:val="auto"/>
        </w:rPr>
      </w:pPr>
      <w:r>
        <w:rPr>
          <w:color w:val="auto"/>
        </w:rPr>
        <w:t>Home Office and other Government Departments</w:t>
      </w:r>
    </w:p>
    <w:p>
      <w:pPr>
        <w:pStyle w:val="Normal"/>
        <w:widowControl/>
        <w:numPr>
          <w:ilvl w:val="0"/>
          <w:numId w:val="3"/>
        </w:numPr>
        <w:spacing w:lineRule="auto" w:line="276" w:before="0" w:after="160"/>
        <w:rPr>
          <w:color w:val="auto"/>
        </w:rPr>
      </w:pPr>
      <w:r>
        <w:rPr>
          <w:color w:val="auto"/>
        </w:rPr>
        <w:t>Greater Manchester Police (GMP) senior leadership</w:t>
      </w:r>
    </w:p>
    <w:p>
      <w:pPr>
        <w:pStyle w:val="Normal"/>
        <w:widowControl/>
        <w:numPr>
          <w:ilvl w:val="0"/>
          <w:numId w:val="3"/>
        </w:numPr>
        <w:spacing w:lineRule="auto" w:line="276" w:before="0" w:after="160"/>
        <w:rPr>
          <w:color w:val="auto"/>
        </w:rPr>
      </w:pPr>
      <w:r>
        <w:rPr>
          <w:color w:val="auto"/>
        </w:rPr>
        <w:t>Greater Manchester Fire and Rescue Service (GMFRS)</w:t>
      </w:r>
    </w:p>
    <w:p>
      <w:pPr>
        <w:pStyle w:val="Normal"/>
        <w:widowControl/>
        <w:numPr>
          <w:ilvl w:val="0"/>
          <w:numId w:val="3"/>
        </w:numPr>
        <w:spacing w:lineRule="auto" w:line="276" w:before="0" w:after="160"/>
        <w:rPr>
          <w:color w:val="auto"/>
        </w:rPr>
      </w:pPr>
      <w:r>
        <w:rPr>
          <w:color w:val="auto"/>
        </w:rPr>
        <w:t xml:space="preserve">Greater Manchester Probation Service </w:t>
      </w:r>
    </w:p>
    <w:p>
      <w:pPr>
        <w:pStyle w:val="Normal"/>
        <w:widowControl/>
        <w:numPr>
          <w:ilvl w:val="0"/>
          <w:numId w:val="3"/>
        </w:numPr>
        <w:spacing w:lineRule="auto" w:line="276" w:before="0" w:after="160"/>
        <w:rPr>
          <w:color w:val="auto"/>
        </w:rPr>
      </w:pPr>
      <w:r>
        <w:rPr>
          <w:color w:val="auto"/>
        </w:rPr>
        <w:t xml:space="preserve">Local Authority senior officers </w:t>
      </w:r>
    </w:p>
    <w:p>
      <w:pPr>
        <w:pStyle w:val="Normal"/>
        <w:widowControl/>
        <w:numPr>
          <w:ilvl w:val="0"/>
          <w:numId w:val="3"/>
        </w:numPr>
        <w:spacing w:lineRule="auto" w:line="276" w:before="0" w:after="160"/>
        <w:rPr>
          <w:color w:val="auto"/>
        </w:rPr>
      </w:pPr>
      <w:r>
        <w:rPr>
          <w:color w:val="auto"/>
        </w:rPr>
        <w:t>Greater Manchester Integrated Care Board and associated health partners</w:t>
      </w:r>
    </w:p>
    <w:p>
      <w:pPr>
        <w:pStyle w:val="Normal"/>
        <w:widowControl/>
        <w:numPr>
          <w:ilvl w:val="0"/>
          <w:numId w:val="3"/>
        </w:numPr>
        <w:spacing w:lineRule="auto" w:line="276" w:before="0" w:after="160"/>
        <w:rPr>
          <w:color w:val="auto"/>
        </w:rPr>
      </w:pPr>
      <w:r>
        <w:rPr>
          <w:color w:val="auto"/>
        </w:rPr>
        <w:t>Voluntary, Community and Social Enterprise (VCSE) sector</w:t>
      </w:r>
    </w:p>
    <w:p>
      <w:pPr>
        <w:pStyle w:val="Normal"/>
        <w:widowControl/>
        <w:numPr>
          <w:ilvl w:val="0"/>
          <w:numId w:val="3"/>
        </w:numPr>
        <w:spacing w:lineRule="auto" w:line="276" w:before="0" w:after="160"/>
        <w:rPr>
          <w:color w:val="auto"/>
        </w:rPr>
      </w:pPr>
      <w:r>
        <w:rPr>
          <w:color w:val="auto"/>
        </w:rPr>
        <w:t>Lived experience and survivor groups</w:t>
      </w:r>
    </w:p>
    <w:p>
      <w:pPr>
        <w:pStyle w:val="Heading2"/>
        <w:shd w:fill="004F6E" w:val="clear"/>
        <w:rPr>
          <w:rFonts w:cs="Arial"/>
          <w:color w:val="auto"/>
          <w:sz w:val="24"/>
          <w:szCs w:val="24"/>
        </w:rPr>
      </w:pPr>
      <w:r>
        <w:rPr>
          <w:rFonts w:cs="Arial"/>
          <w:color w:val="auto"/>
          <w:sz w:val="24"/>
          <w:szCs w:val="24"/>
        </w:rPr>
        <w:t>Key Responsibilities</w:t>
      </w:r>
    </w:p>
    <w:p>
      <w:pPr>
        <w:pStyle w:val="ListParagraph"/>
        <w:numPr>
          <w:ilvl w:val="0"/>
          <w:numId w:val="4"/>
        </w:numPr>
        <w:ind w:left="993" w:right="0" w:hanging="633"/>
        <w:rPr>
          <w:rFonts w:cs="Arial"/>
          <w:b/>
          <w:b/>
          <w:bCs/>
          <w:color w:val="auto"/>
          <w:szCs w:val="24"/>
        </w:rPr>
      </w:pPr>
      <w:r>
        <w:rPr>
          <w:rFonts w:cs="Arial"/>
          <w:b/>
          <w:bCs/>
          <w:color w:val="auto"/>
          <w:szCs w:val="24"/>
        </w:rPr>
        <w:t>Strategic Leadership &amp; Policy</w:t>
      </w:r>
    </w:p>
    <w:p>
      <w:pPr>
        <w:pStyle w:val="ListParagraph"/>
        <w:numPr>
          <w:ilvl w:val="1"/>
          <w:numId w:val="4"/>
        </w:numPr>
        <w:rPr>
          <w:rFonts w:cs="Arial"/>
          <w:color w:val="auto"/>
          <w:szCs w:val="24"/>
        </w:rPr>
      </w:pPr>
      <w:r>
        <w:rPr>
          <w:rFonts w:cs="Arial"/>
          <w:color w:val="auto"/>
          <w:szCs w:val="24"/>
        </w:rPr>
        <w:t>Lead the development and delivery of strategic plans to tackle Gender-Based Violence with overall responsibility for the delivery of the Greater Manchester 10-year Gender-Based Violence strategy and supporting Victims of crime.</w:t>
      </w:r>
    </w:p>
    <w:p>
      <w:pPr>
        <w:pStyle w:val="ListParagraph"/>
        <w:numPr>
          <w:ilvl w:val="1"/>
          <w:numId w:val="4"/>
        </w:numPr>
        <w:rPr>
          <w:rFonts w:cs="Arial"/>
          <w:color w:val="auto"/>
          <w:szCs w:val="24"/>
        </w:rPr>
      </w:pPr>
      <w:r>
        <w:rPr>
          <w:rFonts w:cs="Arial"/>
          <w:color w:val="auto"/>
          <w:szCs w:val="24"/>
        </w:rPr>
        <w:t>Provide expert policy advice to the Assistant Director, Deputy Director/Director and Deputy Mayor on tackling Gender-Based Violence and supporting Victims, including performance oversight and emerging risks</w:t>
      </w:r>
    </w:p>
    <w:p>
      <w:pPr>
        <w:pStyle w:val="ListParagraph"/>
        <w:numPr>
          <w:ilvl w:val="1"/>
          <w:numId w:val="4"/>
        </w:numPr>
        <w:rPr>
          <w:rFonts w:cs="Arial"/>
          <w:color w:val="auto"/>
          <w:szCs w:val="24"/>
        </w:rPr>
      </w:pPr>
      <w:r>
        <w:rPr>
          <w:rFonts w:cs="Arial"/>
          <w:color w:val="auto"/>
          <w:szCs w:val="24"/>
        </w:rPr>
        <w:t>Contribute to delivery of the Police and Crime Plan and GMCA strategic priorities</w:t>
      </w:r>
    </w:p>
    <w:p>
      <w:pPr>
        <w:pStyle w:val="ListParagraph"/>
        <w:numPr>
          <w:ilvl w:val="1"/>
          <w:numId w:val="4"/>
        </w:numPr>
        <w:rPr>
          <w:rFonts w:cs="Arial"/>
          <w:color w:val="auto"/>
          <w:szCs w:val="24"/>
        </w:rPr>
      </w:pPr>
      <w:r>
        <w:rPr>
          <w:rFonts w:cs="Arial"/>
          <w:color w:val="auto"/>
          <w:szCs w:val="24"/>
        </w:rPr>
        <w:t xml:space="preserve">Act as the strategic lead for Victims Services </w:t>
      </w:r>
    </w:p>
    <w:p>
      <w:pPr>
        <w:sectPr>
          <w:headerReference w:type="default" r:id="rId4"/>
          <w:headerReference w:type="first" r:id="rId5"/>
          <w:footerReference w:type="default" r:id="rId6"/>
          <w:footerReference w:type="first" r:id="rId7"/>
          <w:type w:val="nextPage"/>
          <w:pgSz w:w="11906" w:h="16850"/>
          <w:pgMar w:left="720" w:right="720" w:header="709" w:top="766" w:footer="0" w:bottom="720" w:gutter="0"/>
          <w:pgNumType w:fmt="decimal"/>
          <w:formProt w:val="false"/>
          <w:titlePg/>
          <w:textDirection w:val="lrTb"/>
          <w:docGrid w:type="default" w:linePitch="326" w:charSpace="0"/>
        </w:sectPr>
        <w:pStyle w:val="ListParagraph"/>
        <w:numPr>
          <w:ilvl w:val="1"/>
          <w:numId w:val="4"/>
        </w:numPr>
        <w:rPr>
          <w:rFonts w:cs="Arial"/>
          <w:color w:val="auto"/>
          <w:szCs w:val="24"/>
        </w:rPr>
      </w:pPr>
      <w:r>
        <w:rPr>
          <w:rFonts w:cs="Arial"/>
          <w:color w:val="auto"/>
          <w:szCs w:val="24"/>
        </w:rPr>
        <w:t>Act as the strategic lead for rape and serious sexual assault, stalking and harassment and domestic abuse and tackling Gender-Based violence perpetrators with relevant partners.</w:t>
      </w:r>
    </w:p>
    <w:p>
      <w:pPr>
        <w:pStyle w:val="ListParagraph"/>
        <w:numPr>
          <w:ilvl w:val="1"/>
          <w:numId w:val="4"/>
        </w:numPr>
        <w:rPr>
          <w:rFonts w:cs="Arial"/>
          <w:color w:val="auto"/>
          <w:szCs w:val="24"/>
        </w:rPr>
      </w:pPr>
      <w:r>
        <w:rPr>
          <w:rFonts w:cs="Arial"/>
          <w:color w:val="auto"/>
          <w:szCs w:val="24"/>
        </w:rPr>
        <w:t>Horizon scan national policy, legislation and reform agendas to inform GM approaches</w:t>
      </w:r>
    </w:p>
    <w:p>
      <w:pPr>
        <w:pStyle w:val="ListParagraph"/>
        <w:numPr>
          <w:ilvl w:val="0"/>
          <w:numId w:val="4"/>
        </w:numPr>
        <w:ind w:left="993" w:right="0" w:hanging="633"/>
        <w:rPr>
          <w:rFonts w:cs="Arial"/>
          <w:b/>
          <w:b/>
          <w:bCs/>
          <w:color w:val="auto"/>
          <w:szCs w:val="24"/>
        </w:rPr>
      </w:pPr>
      <w:r>
        <w:rPr>
          <w:rFonts w:cs="Arial"/>
          <w:b/>
          <w:bCs/>
          <w:color w:val="auto"/>
          <w:szCs w:val="24"/>
        </w:rPr>
        <w:t>System Leadership &amp; Partnerships</w:t>
      </w:r>
    </w:p>
    <w:p>
      <w:pPr>
        <w:pStyle w:val="ListParagraph"/>
        <w:numPr>
          <w:ilvl w:val="1"/>
          <w:numId w:val="4"/>
        </w:numPr>
        <w:rPr>
          <w:rFonts w:cs="Arial"/>
          <w:color w:val="auto"/>
          <w:szCs w:val="24"/>
        </w:rPr>
      </w:pPr>
      <w:r>
        <w:rPr>
          <w:rFonts w:cs="Arial"/>
          <w:color w:val="auto"/>
          <w:szCs w:val="24"/>
        </w:rPr>
        <w:t>Build and maintain senior strategic relationships across policing, local authorities, wider criminal justice partners and government</w:t>
      </w:r>
    </w:p>
    <w:p>
      <w:pPr>
        <w:pStyle w:val="ListParagraph"/>
        <w:numPr>
          <w:ilvl w:val="1"/>
          <w:numId w:val="4"/>
        </w:numPr>
        <w:rPr>
          <w:rFonts w:cs="Arial"/>
          <w:color w:val="auto"/>
          <w:szCs w:val="24"/>
        </w:rPr>
      </w:pPr>
      <w:r>
        <w:rPr>
          <w:rFonts w:cs="Arial"/>
          <w:color w:val="auto"/>
          <w:szCs w:val="24"/>
        </w:rPr>
        <w:t>Influence partners to drive whole system change and deliver improved outcomes across for victims and survivors of Gender-Based Violence and wider victims of crime.</w:t>
      </w:r>
    </w:p>
    <w:p>
      <w:pPr>
        <w:pStyle w:val="ListParagraph"/>
        <w:numPr>
          <w:ilvl w:val="1"/>
          <w:numId w:val="4"/>
        </w:numPr>
        <w:rPr>
          <w:rFonts w:cs="Arial"/>
          <w:color w:val="auto"/>
          <w:szCs w:val="24"/>
        </w:rPr>
      </w:pPr>
      <w:r>
        <w:rPr>
          <w:rFonts w:cs="Arial"/>
          <w:color w:val="auto"/>
          <w:szCs w:val="24"/>
        </w:rPr>
        <w:t>Convene relevant partnerships to ensure effective delivery of priorities including the Greater Manchester Gender-Based Violence Board, the Greater Manchester Victims Board, Domestic Abuse and wider partnership arrangements.</w:t>
      </w:r>
    </w:p>
    <w:p>
      <w:pPr>
        <w:pStyle w:val="ListParagraph"/>
        <w:numPr>
          <w:ilvl w:val="1"/>
          <w:numId w:val="4"/>
        </w:numPr>
        <w:rPr>
          <w:rFonts w:cs="Arial"/>
          <w:color w:val="auto"/>
          <w:szCs w:val="24"/>
        </w:rPr>
      </w:pPr>
      <w:r>
        <w:rPr>
          <w:rFonts w:cs="Arial"/>
          <w:color w:val="auto"/>
          <w:szCs w:val="24"/>
        </w:rPr>
        <w:t>Represent GMCA in complex, politically sensitive environments and governance forums</w:t>
      </w:r>
    </w:p>
    <w:p>
      <w:pPr>
        <w:pStyle w:val="ListParagraph"/>
        <w:numPr>
          <w:ilvl w:val="1"/>
          <w:numId w:val="4"/>
        </w:numPr>
        <w:rPr>
          <w:rFonts w:cs="Arial"/>
          <w:color w:val="auto"/>
          <w:szCs w:val="24"/>
        </w:rPr>
      </w:pPr>
      <w:r>
        <w:rPr>
          <w:rFonts w:cs="Arial"/>
          <w:color w:val="auto"/>
          <w:szCs w:val="24"/>
        </w:rPr>
        <w:t>Support engagement with Ministers, senior officials and national stakeholders</w:t>
      </w:r>
    </w:p>
    <w:p>
      <w:pPr>
        <w:pStyle w:val="ListParagraph"/>
        <w:numPr>
          <w:ilvl w:val="0"/>
          <w:numId w:val="4"/>
        </w:numPr>
        <w:ind w:left="993" w:right="0" w:hanging="633"/>
        <w:rPr>
          <w:rFonts w:cs="Arial"/>
          <w:b/>
          <w:b/>
          <w:bCs/>
          <w:color w:val="auto"/>
          <w:szCs w:val="24"/>
        </w:rPr>
      </w:pPr>
      <w:r>
        <w:rPr>
          <w:rFonts w:cs="Arial"/>
          <w:b/>
          <w:bCs/>
          <w:color w:val="auto"/>
          <w:szCs w:val="24"/>
        </w:rPr>
        <w:t>Commissioning &amp; Programme Delivery</w:t>
      </w:r>
    </w:p>
    <w:p>
      <w:pPr>
        <w:pStyle w:val="ListParagraph"/>
        <w:numPr>
          <w:ilvl w:val="1"/>
          <w:numId w:val="4"/>
        </w:numPr>
        <w:rPr>
          <w:rFonts w:cs="Arial"/>
          <w:color w:val="auto"/>
          <w:szCs w:val="24"/>
        </w:rPr>
      </w:pPr>
      <w:r>
        <w:rPr>
          <w:rFonts w:cs="Arial"/>
          <w:color w:val="auto"/>
          <w:szCs w:val="24"/>
        </w:rPr>
        <w:t>Lead commissioning and delivery of services relating to Gender-Based Violence and Victims of crime, ensuring value for money and improved outcomes including the Greater Manchester Victims Service and the co-commissioning of the St Marys Sexual Assault Referral Centre.</w:t>
      </w:r>
    </w:p>
    <w:p>
      <w:pPr>
        <w:pStyle w:val="ListParagraph"/>
        <w:numPr>
          <w:ilvl w:val="1"/>
          <w:numId w:val="4"/>
        </w:numPr>
        <w:rPr>
          <w:rFonts w:cs="Arial"/>
          <w:color w:val="auto"/>
          <w:szCs w:val="24"/>
        </w:rPr>
      </w:pPr>
      <w:r>
        <w:rPr>
          <w:rFonts w:cs="Arial"/>
          <w:color w:val="auto"/>
          <w:szCs w:val="24"/>
        </w:rPr>
        <w:t>Oversee programme and project delivery across a complex portfolio including on the themes of domestic abuse, rape and serious sexual assault, stalking and harassment and ensuring alignment to GM priorities to tackle the route causes of Gender-Based Violence.</w:t>
      </w:r>
    </w:p>
    <w:p>
      <w:pPr>
        <w:pStyle w:val="ListParagraph"/>
        <w:numPr>
          <w:ilvl w:val="1"/>
          <w:numId w:val="4"/>
        </w:numPr>
        <w:rPr>
          <w:rFonts w:cs="Arial"/>
          <w:color w:val="auto"/>
          <w:szCs w:val="24"/>
        </w:rPr>
      </w:pPr>
      <w:r>
        <w:rPr>
          <w:rFonts w:cs="Arial"/>
          <w:color w:val="auto"/>
          <w:szCs w:val="24"/>
        </w:rPr>
        <w:t>Ensure effective performance management of commissioned services and grant programmes</w:t>
      </w:r>
    </w:p>
    <w:p>
      <w:pPr>
        <w:pStyle w:val="ListParagraph"/>
        <w:numPr>
          <w:ilvl w:val="1"/>
          <w:numId w:val="4"/>
        </w:numPr>
        <w:rPr>
          <w:rFonts w:cs="Arial"/>
          <w:color w:val="auto"/>
          <w:szCs w:val="24"/>
        </w:rPr>
      </w:pPr>
      <w:r>
        <w:rPr>
          <w:rFonts w:cs="Arial"/>
          <w:color w:val="auto"/>
          <w:szCs w:val="24"/>
        </w:rPr>
        <w:t>Drive innovation and continuous improvement across delivery models</w:t>
      </w:r>
    </w:p>
    <w:p>
      <w:pPr>
        <w:pStyle w:val="ListParagraph"/>
        <w:numPr>
          <w:ilvl w:val="0"/>
          <w:numId w:val="4"/>
        </w:numPr>
        <w:ind w:left="993" w:right="0" w:hanging="633"/>
        <w:rPr>
          <w:rFonts w:cs="Arial"/>
          <w:b/>
          <w:b/>
          <w:bCs/>
          <w:color w:val="auto"/>
          <w:szCs w:val="24"/>
        </w:rPr>
      </w:pPr>
      <w:r>
        <w:rPr>
          <w:rFonts w:cs="Arial"/>
          <w:b/>
          <w:bCs/>
          <w:color w:val="auto"/>
          <w:szCs w:val="24"/>
        </w:rPr>
        <w:t>Financial &amp; Resource Management</w:t>
      </w:r>
    </w:p>
    <w:p>
      <w:pPr>
        <w:pStyle w:val="ListParagraph"/>
        <w:numPr>
          <w:ilvl w:val="1"/>
          <w:numId w:val="4"/>
        </w:numPr>
        <w:rPr>
          <w:rFonts w:cs="Arial"/>
          <w:color w:val="auto"/>
          <w:szCs w:val="24"/>
        </w:rPr>
      </w:pPr>
      <w:r>
        <w:rPr>
          <w:rFonts w:cs="Arial"/>
          <w:color w:val="auto"/>
          <w:szCs w:val="24"/>
        </w:rPr>
        <w:t>Manage and oversee significant programme budgets, ensuring effective allocation and delivery against agreed outcomes</w:t>
      </w:r>
    </w:p>
    <w:p>
      <w:pPr>
        <w:pStyle w:val="ListParagraph"/>
        <w:numPr>
          <w:ilvl w:val="1"/>
          <w:numId w:val="4"/>
        </w:numPr>
        <w:rPr>
          <w:rFonts w:cs="Arial"/>
          <w:color w:val="auto"/>
          <w:szCs w:val="24"/>
        </w:rPr>
      </w:pPr>
      <w:r>
        <w:rPr>
          <w:rFonts w:cs="Arial"/>
          <w:color w:val="auto"/>
          <w:szCs w:val="24"/>
        </w:rPr>
        <w:t>Contribute to financial planning, funding bids and budget monitoring within portfolio areas</w:t>
      </w:r>
    </w:p>
    <w:p>
      <w:pPr>
        <w:pStyle w:val="ListParagraph"/>
        <w:numPr>
          <w:ilvl w:val="1"/>
          <w:numId w:val="4"/>
        </w:numPr>
        <w:rPr>
          <w:rFonts w:cs="Arial"/>
          <w:color w:val="auto"/>
          <w:szCs w:val="24"/>
        </w:rPr>
      </w:pPr>
      <w:r>
        <w:rPr>
          <w:rFonts w:cs="Arial"/>
          <w:color w:val="auto"/>
          <w:szCs w:val="24"/>
        </w:rPr>
        <w:t>Work with finance and commissioning colleagues to ensure robust governance and oversight</w:t>
      </w:r>
    </w:p>
    <w:p>
      <w:pPr>
        <w:pStyle w:val="ListParagraph"/>
        <w:numPr>
          <w:ilvl w:val="0"/>
          <w:numId w:val="4"/>
        </w:numPr>
        <w:ind w:left="993" w:right="0" w:hanging="633"/>
        <w:rPr>
          <w:rFonts w:cs="Arial"/>
          <w:b/>
          <w:b/>
          <w:bCs/>
          <w:color w:val="auto"/>
          <w:szCs w:val="24"/>
        </w:rPr>
      </w:pPr>
      <w:r>
        <w:rPr>
          <w:rFonts w:cs="Arial"/>
          <w:b/>
          <w:bCs/>
          <w:color w:val="auto"/>
          <w:szCs w:val="24"/>
        </w:rPr>
        <w:t>Governance, Risk &amp; Assurance</w:t>
      </w:r>
    </w:p>
    <w:p>
      <w:pPr>
        <w:pStyle w:val="ListParagraph"/>
        <w:numPr>
          <w:ilvl w:val="1"/>
          <w:numId w:val="4"/>
        </w:numPr>
        <w:rPr>
          <w:rFonts w:cs="Arial"/>
          <w:color w:val="auto"/>
          <w:szCs w:val="24"/>
        </w:rPr>
      </w:pPr>
      <w:r>
        <w:rPr>
          <w:rFonts w:cs="Arial"/>
          <w:color w:val="auto"/>
          <w:szCs w:val="24"/>
        </w:rPr>
        <w:t>Lead and support governance arrangements across boards, programmes and partnerships</w:t>
      </w:r>
    </w:p>
    <w:p>
      <w:pPr>
        <w:pStyle w:val="ListParagraph"/>
        <w:numPr>
          <w:ilvl w:val="1"/>
          <w:numId w:val="4"/>
        </w:numPr>
        <w:rPr>
          <w:rFonts w:cs="Arial"/>
          <w:color w:val="auto"/>
          <w:szCs w:val="24"/>
        </w:rPr>
      </w:pPr>
      <w:r>
        <w:rPr>
          <w:rFonts w:cs="Arial"/>
          <w:color w:val="auto"/>
          <w:szCs w:val="24"/>
        </w:rPr>
        <w:t>Ensure compliance with statutory requirements, funding conditions and regulatory frameworks</w:t>
      </w:r>
    </w:p>
    <w:p>
      <w:pPr>
        <w:pStyle w:val="ListParagraph"/>
        <w:numPr>
          <w:ilvl w:val="1"/>
          <w:numId w:val="4"/>
        </w:numPr>
        <w:rPr>
          <w:rFonts w:cs="Arial"/>
          <w:color w:val="auto"/>
          <w:szCs w:val="24"/>
        </w:rPr>
      </w:pPr>
      <w:r>
        <w:rPr>
          <w:rFonts w:cs="Arial"/>
          <w:color w:val="auto"/>
          <w:szCs w:val="24"/>
        </w:rPr>
        <w:t>Identify, manage and escalate risks relating to service delivery, performance and safeguarding</w:t>
      </w:r>
    </w:p>
    <w:p>
      <w:pPr>
        <w:pStyle w:val="ListParagraph"/>
        <w:numPr>
          <w:ilvl w:val="0"/>
          <w:numId w:val="4"/>
        </w:numPr>
        <w:ind w:left="993" w:right="0" w:hanging="633"/>
        <w:rPr>
          <w:rFonts w:cs="Arial"/>
          <w:b/>
          <w:b/>
          <w:bCs/>
          <w:color w:val="auto"/>
          <w:szCs w:val="24"/>
        </w:rPr>
      </w:pPr>
      <w:r>
        <w:rPr>
          <w:rFonts w:cs="Arial"/>
          <w:b/>
          <w:bCs/>
          <w:color w:val="auto"/>
          <w:szCs w:val="24"/>
        </w:rPr>
        <w:t>Leadership &amp; People Management</w:t>
      </w:r>
    </w:p>
    <w:p>
      <w:pPr>
        <w:pStyle w:val="ListParagraph"/>
        <w:numPr>
          <w:ilvl w:val="1"/>
          <w:numId w:val="4"/>
        </w:numPr>
        <w:rPr>
          <w:rFonts w:cs="Arial"/>
          <w:color w:val="auto"/>
          <w:szCs w:val="24"/>
        </w:rPr>
      </w:pPr>
      <w:r>
        <w:rPr>
          <w:rFonts w:cs="Arial"/>
          <w:color w:val="auto"/>
          <w:szCs w:val="24"/>
        </w:rPr>
        <w:t>Provide direct line management to staff within the portfolio</w:t>
      </w:r>
    </w:p>
    <w:p>
      <w:pPr>
        <w:pStyle w:val="ListParagraph"/>
        <w:numPr>
          <w:ilvl w:val="1"/>
          <w:numId w:val="4"/>
        </w:numPr>
        <w:rPr>
          <w:rFonts w:cs="Arial"/>
          <w:color w:val="auto"/>
          <w:szCs w:val="24"/>
        </w:rPr>
      </w:pPr>
      <w:r>
        <w:rPr>
          <w:rFonts w:cs="Arial"/>
          <w:color w:val="auto"/>
          <w:szCs w:val="24"/>
        </w:rPr>
        <w:t>Support development, performance and wellbeing of team members</w:t>
      </w:r>
    </w:p>
    <w:p>
      <w:pPr>
        <w:pStyle w:val="ListParagraph"/>
        <w:numPr>
          <w:ilvl w:val="1"/>
          <w:numId w:val="4"/>
        </w:numPr>
        <w:rPr>
          <w:rFonts w:cs="Arial"/>
          <w:color w:val="auto"/>
          <w:szCs w:val="24"/>
        </w:rPr>
      </w:pPr>
      <w:r>
        <w:rPr>
          <w:rFonts w:cs="Arial"/>
          <w:color w:val="auto"/>
          <w:szCs w:val="24"/>
        </w:rPr>
        <w:t>Lead and influence across multi-agency teams and partners to deliver shared objectives</w:t>
      </w:r>
    </w:p>
    <w:p>
      <w:pPr>
        <w:pStyle w:val="Normal"/>
        <w:ind w:left="360" w:right="0" w:hanging="0"/>
        <w:rPr>
          <w:rFonts w:cs="Arial"/>
          <w:color w:val="auto"/>
          <w:szCs w:val="24"/>
        </w:rPr>
      </w:pPr>
      <w:r>
        <w:rPr>
          <w:rFonts w:cs="Arial"/>
          <w:color w:val="auto"/>
          <w:szCs w:val="24"/>
        </w:rPr>
      </w:r>
    </w:p>
    <w:p>
      <w:pPr>
        <w:pStyle w:val="Heading2"/>
        <w:shd w:fill="004F6E" w:val="clear"/>
        <w:rPr>
          <w:rFonts w:cs="Arial"/>
          <w:color w:val="auto"/>
          <w:sz w:val="24"/>
          <w:szCs w:val="24"/>
        </w:rPr>
      </w:pPr>
      <w:r>
        <w:rPr>
          <w:rFonts w:cs="Arial"/>
          <w:color w:val="auto"/>
          <w:sz w:val="24"/>
          <w:szCs w:val="24"/>
        </w:rPr>
        <w:t>General</w:t>
      </w:r>
    </w:p>
    <w:p>
      <w:pPr>
        <w:pStyle w:val="ListParagraph"/>
        <w:numPr>
          <w:ilvl w:val="0"/>
          <w:numId w:val="4"/>
        </w:numPr>
        <w:ind w:left="993" w:right="0" w:hanging="633"/>
        <w:rPr>
          <w:rFonts w:cs="Arial"/>
          <w:color w:val="auto"/>
        </w:rPr>
      </w:pPr>
      <w:r>
        <w:rPr>
          <w:rFonts w:cs="Arial"/>
          <w:color w:val="auto"/>
        </w:rPr>
        <w:t>To always hold yourself and others to a high standard of professionalism, demonstrating your commitment to our values and behaviours as well as ensuring service confidentiality is maintained throughout all we do.</w:t>
      </w:r>
    </w:p>
    <w:p>
      <w:pPr>
        <w:pStyle w:val="ListParagraph"/>
        <w:numPr>
          <w:ilvl w:val="0"/>
          <w:numId w:val="4"/>
        </w:numPr>
        <w:ind w:left="993" w:right="0" w:hanging="633"/>
        <w:rPr>
          <w:rFonts w:eastAsia="Arial" w:cs="Arial"/>
          <w:color w:val="auto"/>
          <w:szCs w:val="24"/>
        </w:rPr>
      </w:pPr>
      <w:r>
        <w:rPr>
          <w:rFonts w:eastAsia="Arial" w:cs="Arial"/>
          <w:color w:val="auto"/>
          <w:szCs w:val="24"/>
        </w:rPr>
        <w:t>Working with other teams internally and externally collaboration is maximised and supporting on activity where appropriate.</w:t>
      </w:r>
    </w:p>
    <w:p>
      <w:pPr>
        <w:pStyle w:val="ListParagraph"/>
        <w:numPr>
          <w:ilvl w:val="0"/>
          <w:numId w:val="4"/>
        </w:numPr>
        <w:ind w:left="993" w:right="0" w:hanging="633"/>
        <w:rPr>
          <w:color w:val="auto"/>
        </w:rPr>
      </w:pPr>
      <w:r>
        <w:rPr>
          <w:color w:val="auto"/>
        </w:rPr>
        <w:t>Ensure the services delivered internally and externally are inclusive and accessible.</w:t>
      </w:r>
    </w:p>
    <w:p>
      <w:pPr>
        <w:pStyle w:val="ListParagraph"/>
        <w:numPr>
          <w:ilvl w:val="0"/>
          <w:numId w:val="4"/>
        </w:numPr>
        <w:ind w:left="993" w:right="0" w:hanging="633"/>
        <w:rPr>
          <w:rFonts w:cs="Arial"/>
          <w:color w:val="auto"/>
        </w:rPr>
      </w:pPr>
      <w:r>
        <w:rPr>
          <w:rFonts w:cs="Arial"/>
          <w:color w:val="auto"/>
        </w:rPr>
        <w:t xml:space="preserve">To align work area to the Sustainability Strategy and ensure work practices are inclusive of this value &amp; strategic intent. </w:t>
      </w:r>
    </w:p>
    <w:p>
      <w:pPr>
        <w:pStyle w:val="Normal"/>
        <w:rPr>
          <w:rFonts w:cs="Arial"/>
          <w:b/>
          <w:b/>
          <w:color w:val="auto"/>
        </w:rPr>
      </w:pPr>
      <w:r>
        <w:rPr>
          <w:rFonts w:cs="Arial"/>
          <w:b/>
          <w:color w:val="auto"/>
        </w:rPr>
        <w:t>NB: This list of duties and responsibilities is by no means exhaustive, and the post holder may be required to undertake other relevant and appropriate duties as required.</w:t>
      </w:r>
    </w:p>
    <w:p>
      <w:pPr>
        <w:pStyle w:val="Heading2"/>
        <w:shd w:fill="004F6E" w:val="clear"/>
        <w:rPr>
          <w:rFonts w:cs="Arial"/>
          <w:color w:val="auto"/>
          <w:sz w:val="24"/>
          <w:szCs w:val="24"/>
        </w:rPr>
      </w:pPr>
      <w:r>
        <w:rPr>
          <w:rFonts w:cs="Arial"/>
          <w:color w:val="auto"/>
          <w:sz w:val="24"/>
          <w:szCs w:val="24"/>
        </w:rPr>
        <w:t>Knowledge, Skills, and Experience</w:t>
      </w:r>
    </w:p>
    <w:p>
      <w:pPr>
        <w:pStyle w:val="Heading3"/>
        <w:rPr>
          <w:rFonts w:cs="Arial"/>
          <w:color w:val="auto"/>
          <w:sz w:val="24"/>
        </w:rPr>
      </w:pPr>
      <w:r>
        <w:rPr>
          <w:rFonts w:cs="Arial"/>
          <w:color w:val="auto"/>
          <w:sz w:val="24"/>
        </w:rPr>
        <w:t>Knowledge &amp; Experience</w:t>
      </w:r>
    </w:p>
    <w:p>
      <w:pPr>
        <w:pStyle w:val="Heading3"/>
        <w:numPr>
          <w:ilvl w:val="0"/>
          <w:numId w:val="6"/>
        </w:numPr>
        <w:rPr>
          <w:rFonts w:cs="Arial"/>
          <w:color w:val="auto"/>
          <w:sz w:val="24"/>
        </w:rPr>
      </w:pPr>
      <w:r>
        <w:rPr>
          <w:rFonts w:cs="Arial"/>
          <w:color w:val="auto"/>
          <w:sz w:val="24"/>
        </w:rPr>
        <w:t>Educated to degree level or equivalent experience, with significant senior experience within criminal justice, public policy or related sector</w:t>
      </w:r>
    </w:p>
    <w:p>
      <w:pPr>
        <w:pStyle w:val="Heading3"/>
        <w:numPr>
          <w:ilvl w:val="0"/>
          <w:numId w:val="6"/>
        </w:numPr>
        <w:rPr>
          <w:rFonts w:cs="Arial"/>
          <w:color w:val="auto"/>
          <w:sz w:val="24"/>
        </w:rPr>
      </w:pPr>
      <w:r>
        <w:rPr>
          <w:rFonts w:cs="Arial"/>
          <w:color w:val="auto"/>
          <w:sz w:val="24"/>
        </w:rPr>
        <w:t>Extensive knowledge of criminal justice systems, legislation, policy and partnership structures</w:t>
      </w:r>
    </w:p>
    <w:p>
      <w:pPr>
        <w:pStyle w:val="Heading3"/>
        <w:numPr>
          <w:ilvl w:val="0"/>
          <w:numId w:val="6"/>
        </w:numPr>
        <w:rPr>
          <w:rFonts w:cs="Arial"/>
          <w:color w:val="auto"/>
          <w:sz w:val="24"/>
        </w:rPr>
      </w:pPr>
      <w:r>
        <w:rPr>
          <w:rFonts w:cs="Arial"/>
          <w:color w:val="auto"/>
          <w:sz w:val="24"/>
        </w:rPr>
        <w:t>Proven experience of leading strategic programmes and system-wide transformation</w:t>
      </w:r>
    </w:p>
    <w:p>
      <w:pPr>
        <w:pStyle w:val="Heading3"/>
        <w:numPr>
          <w:ilvl w:val="0"/>
          <w:numId w:val="6"/>
        </w:numPr>
        <w:rPr>
          <w:rFonts w:cs="Arial"/>
          <w:color w:val="auto"/>
          <w:sz w:val="24"/>
        </w:rPr>
      </w:pPr>
      <w:r>
        <w:rPr>
          <w:rFonts w:cs="Arial"/>
          <w:color w:val="auto"/>
          <w:sz w:val="24"/>
        </w:rPr>
        <w:t>Strong track record of commissioning services and managing complex contractual and funding arrangements</w:t>
      </w:r>
    </w:p>
    <w:p>
      <w:pPr>
        <w:pStyle w:val="Heading3"/>
        <w:numPr>
          <w:ilvl w:val="0"/>
          <w:numId w:val="6"/>
        </w:numPr>
        <w:rPr>
          <w:rFonts w:cs="Arial"/>
          <w:color w:val="auto"/>
          <w:sz w:val="24"/>
        </w:rPr>
      </w:pPr>
      <w:r>
        <w:rPr>
          <w:rFonts w:cs="Arial"/>
          <w:color w:val="auto"/>
          <w:sz w:val="24"/>
        </w:rPr>
        <w:t>Significant experience of working in partnership across public, private and voluntary sectors</w:t>
      </w:r>
    </w:p>
    <w:p>
      <w:pPr>
        <w:pStyle w:val="Heading3"/>
        <w:numPr>
          <w:ilvl w:val="0"/>
          <w:numId w:val="6"/>
        </w:numPr>
        <w:rPr>
          <w:rFonts w:cs="Arial"/>
          <w:color w:val="auto"/>
          <w:sz w:val="24"/>
        </w:rPr>
      </w:pPr>
      <w:r>
        <w:rPr>
          <w:rFonts w:cs="Arial"/>
          <w:color w:val="auto"/>
          <w:sz w:val="24"/>
        </w:rPr>
        <w:t>Experience of influencing senior stakeholders, including political leaders and government officials</w:t>
      </w:r>
    </w:p>
    <w:p>
      <w:pPr>
        <w:pStyle w:val="Heading3"/>
        <w:numPr>
          <w:ilvl w:val="0"/>
          <w:numId w:val="6"/>
        </w:numPr>
        <w:rPr>
          <w:rFonts w:cs="Arial"/>
          <w:color w:val="auto"/>
          <w:sz w:val="24"/>
        </w:rPr>
      </w:pPr>
      <w:r>
        <w:rPr>
          <w:rFonts w:cs="Arial"/>
          <w:color w:val="auto"/>
          <w:sz w:val="24"/>
        </w:rPr>
        <w:t>Evidence of financial management and delivery within a complex funding environment</w:t>
      </w:r>
    </w:p>
    <w:p>
      <w:pPr>
        <w:pStyle w:val="Heading3"/>
        <w:numPr>
          <w:ilvl w:val="0"/>
          <w:numId w:val="6"/>
        </w:numPr>
        <w:rPr>
          <w:rFonts w:cs="Arial"/>
          <w:color w:val="auto"/>
          <w:sz w:val="24"/>
        </w:rPr>
      </w:pPr>
      <w:r>
        <w:rPr>
          <w:rFonts w:cs="Arial"/>
          <w:color w:val="auto"/>
          <w:sz w:val="24"/>
        </w:rPr>
        <w:t>High level of political awareness and ability to operate in sensitive environments</w:t>
      </w:r>
    </w:p>
    <w:p>
      <w:pPr>
        <w:pStyle w:val="Default"/>
        <w:rPr>
          <w:color w:val="auto"/>
        </w:rPr>
      </w:pPr>
      <w:r>
        <w:rPr>
          <w:color w:val="auto"/>
        </w:rPr>
      </w:r>
    </w:p>
    <w:p>
      <w:pPr>
        <w:pStyle w:val="Default"/>
        <w:rPr>
          <w:color w:val="auto"/>
        </w:rPr>
      </w:pPr>
      <w:r>
        <w:rPr>
          <w:color w:val="auto"/>
        </w:rPr>
      </w:r>
    </w:p>
    <w:p>
      <w:pPr>
        <w:pStyle w:val="Heading3"/>
        <w:rPr/>
      </w:pPr>
      <w:r>
        <w:rPr>
          <w:rFonts w:cs="Arial"/>
          <w:color w:val="auto"/>
          <w:sz w:val="24"/>
        </w:rPr>
        <w:t>Skills, Values</w:t>
      </w:r>
      <w:r>
        <w:rPr>
          <w:rFonts w:cs="Arial"/>
          <w:color w:val="auto"/>
          <w:spacing w:val="-3"/>
          <w:sz w:val="24"/>
        </w:rPr>
        <w:t xml:space="preserve"> </w:t>
      </w:r>
      <w:r>
        <w:rPr>
          <w:rFonts w:cs="Arial"/>
          <w:color w:val="auto"/>
          <w:sz w:val="24"/>
        </w:rPr>
        <w:t>&amp;</w:t>
      </w:r>
      <w:r>
        <w:rPr>
          <w:rFonts w:cs="Arial"/>
          <w:color w:val="auto"/>
          <w:spacing w:val="-3"/>
          <w:sz w:val="24"/>
        </w:rPr>
        <w:t xml:space="preserve"> </w:t>
      </w:r>
      <w:r>
        <w:rPr>
          <w:rFonts w:cs="Arial"/>
          <w:color w:val="auto"/>
          <w:sz w:val="24"/>
        </w:rPr>
        <w:t>Behaviours</w:t>
      </w:r>
    </w:p>
    <w:p>
      <w:pPr>
        <w:pStyle w:val="ListParagraph"/>
        <w:numPr>
          <w:ilvl w:val="0"/>
          <w:numId w:val="7"/>
        </w:numPr>
        <w:spacing w:before="240" w:after="240"/>
        <w:rPr>
          <w:rFonts w:cs="Arial"/>
          <w:color w:val="auto"/>
          <w:szCs w:val="24"/>
        </w:rPr>
      </w:pPr>
      <w:r>
        <w:rPr>
          <w:rFonts w:cs="Arial"/>
          <w:color w:val="auto"/>
          <w:szCs w:val="24"/>
        </w:rPr>
        <w:t>Strategic Leadership and Change – Provides strategic leadership across offenders and criminal justice, translating policy, evidence and reform priorities into clear direction, delivery and system-wide improvement.</w:t>
      </w:r>
    </w:p>
    <w:p>
      <w:pPr>
        <w:pStyle w:val="ListParagraph"/>
        <w:numPr>
          <w:ilvl w:val="0"/>
          <w:numId w:val="7"/>
        </w:numPr>
        <w:spacing w:before="240" w:after="240"/>
        <w:rPr>
          <w:rFonts w:cs="Arial"/>
          <w:color w:val="auto"/>
          <w:szCs w:val="24"/>
        </w:rPr>
      </w:pPr>
      <w:r>
        <w:rPr>
          <w:rFonts w:cs="Arial"/>
          <w:color w:val="auto"/>
          <w:szCs w:val="24"/>
        </w:rPr>
        <w:t>Political Acumen and Influencing – Exercises sound judgement and political awareness, influencing senior leaders, elected members, government officials and partners in complex and sensitive environments.</w:t>
      </w:r>
    </w:p>
    <w:p>
      <w:pPr>
        <w:pStyle w:val="ListParagraph"/>
        <w:numPr>
          <w:ilvl w:val="0"/>
          <w:numId w:val="7"/>
        </w:numPr>
        <w:spacing w:before="240" w:after="240"/>
        <w:rPr>
          <w:rFonts w:cs="Arial"/>
          <w:color w:val="auto"/>
          <w:szCs w:val="24"/>
        </w:rPr>
      </w:pPr>
      <w:r>
        <w:rPr>
          <w:rFonts w:cs="Arial"/>
          <w:color w:val="auto"/>
          <w:szCs w:val="24"/>
        </w:rPr>
        <w:t>Partnership and System Leadership – Builds trusted relationships across organisational boundaries, aligning partners around shared priorities and driving whole-system delivery.</w:t>
      </w:r>
    </w:p>
    <w:p>
      <w:pPr>
        <w:pStyle w:val="ListParagraph"/>
        <w:numPr>
          <w:ilvl w:val="0"/>
          <w:numId w:val="7"/>
        </w:numPr>
        <w:spacing w:before="240" w:after="240"/>
        <w:rPr>
          <w:rFonts w:cs="Arial"/>
          <w:color w:val="auto"/>
          <w:szCs w:val="24"/>
        </w:rPr>
      </w:pPr>
      <w:r>
        <w:rPr>
          <w:rFonts w:cs="Arial"/>
          <w:color w:val="auto"/>
          <w:szCs w:val="24"/>
        </w:rPr>
        <w:t>Commissioning, Performance and Value for Money – Applies strong commissioning, contract, financial and performance management expertise to secure effective services, improved outcomes and value for money.</w:t>
      </w:r>
    </w:p>
    <w:p>
      <w:pPr>
        <w:pStyle w:val="ListParagraph"/>
        <w:numPr>
          <w:ilvl w:val="0"/>
          <w:numId w:val="7"/>
        </w:numPr>
        <w:spacing w:before="240" w:after="240"/>
        <w:rPr>
          <w:rFonts w:cs="Arial"/>
          <w:color w:val="auto"/>
          <w:szCs w:val="24"/>
        </w:rPr>
      </w:pPr>
      <w:r>
        <w:rPr>
          <w:rFonts w:cs="Arial"/>
          <w:color w:val="auto"/>
          <w:szCs w:val="24"/>
        </w:rPr>
        <w:t>Analysis, Judgement and Decision Making – Uses data, insight, evidence and professional judgement to assess risk, resolve complex issues and make informed decisions and recommendations.</w:t>
      </w:r>
    </w:p>
    <w:p>
      <w:pPr>
        <w:pStyle w:val="ListParagraph"/>
        <w:numPr>
          <w:ilvl w:val="0"/>
          <w:numId w:val="7"/>
        </w:numPr>
        <w:spacing w:before="240" w:after="240"/>
        <w:rPr>
          <w:rFonts w:cs="Arial"/>
          <w:color w:val="auto"/>
          <w:szCs w:val="24"/>
        </w:rPr>
      </w:pPr>
      <w:r>
        <w:rPr>
          <w:rFonts w:cs="Arial"/>
          <w:color w:val="auto"/>
          <w:szCs w:val="24"/>
        </w:rPr>
        <w:t>Leadership and Communication – Provides clear, credible leadership, developing people and communicating complex issues effectively to a range of audiences and senior forums.</w:t>
      </w:r>
    </w:p>
    <w:p>
      <w:pPr>
        <w:pStyle w:val="ListParagraph"/>
        <w:numPr>
          <w:ilvl w:val="0"/>
          <w:numId w:val="7"/>
        </w:numPr>
        <w:spacing w:before="240" w:after="240"/>
        <w:rPr>
          <w:rFonts w:cs="Arial"/>
          <w:color w:val="auto"/>
          <w:szCs w:val="24"/>
        </w:rPr>
      </w:pPr>
      <w:r>
        <w:rPr>
          <w:rFonts w:cs="Arial"/>
          <w:color w:val="auto"/>
          <w:szCs w:val="24"/>
        </w:rPr>
        <w:t>Governance, Integrity and Public Service – Maintains high standards of governance, compliance and professionalism, with a clear commitment to inclusion, safeguarding and improving outcomes for vulnerable communities.</w:t>
      </w:r>
    </w:p>
    <w:p>
      <w:pPr>
        <w:pStyle w:val="Normal"/>
        <w:spacing w:before="240" w:after="240"/>
        <w:rPr>
          <w:rFonts w:cs="Arial"/>
          <w:color w:val="auto"/>
          <w:szCs w:val="24"/>
        </w:rPr>
      </w:pPr>
      <w:r>
        <w:rPr>
          <w:rFonts w:cs="Arial"/>
          <w:color w:val="auto"/>
          <w:szCs w:val="24"/>
        </w:rPr>
      </w:r>
    </w:p>
    <w:p>
      <w:pPr>
        <w:pStyle w:val="Normal"/>
        <w:spacing w:before="240" w:after="240"/>
        <w:rPr>
          <w:rFonts w:cs="Arial"/>
          <w:b/>
          <w:b/>
          <w:color w:val="auto"/>
          <w:sz w:val="22"/>
        </w:rPr>
      </w:pPr>
      <w:r>
        <w:rPr>
          <w:rFonts w:cs="Arial"/>
          <w:b/>
          <w:color w:val="auto"/>
          <w:sz w:val="22"/>
        </w:rPr>
        <w:t>FOR ROLES EXEMPT FROM THE REHABILITATION OF OFFENDERS ACT:</w:t>
      </w:r>
    </w:p>
    <w:p>
      <w:pPr>
        <w:pStyle w:val="Normal"/>
        <w:rPr>
          <w:rFonts w:cs="Arial"/>
          <w:color w:val="auto"/>
          <w:sz w:val="22"/>
        </w:rPr>
      </w:pPr>
      <w:r>
        <w:rPr>
          <w:rFonts w:cs="Arial"/>
          <w:color w:val="auto"/>
          <w:sz w:val="22"/>
        </w:rPr>
        <w:t>This role is exempt from the Rehabilitation of Offenders Act (1974) and will require disclosure of all convictions including those considered spent under the Act. The role holder will be subject to an Enhanced level check by the Disclosure &amp; Barring Service.</w:t>
      </w:r>
    </w:p>
    <w:p>
      <w:pPr>
        <w:pStyle w:val="Normal"/>
        <w:spacing w:before="240" w:after="240"/>
        <w:rPr>
          <w:rFonts w:cs="Arial"/>
          <w:b/>
          <w:b/>
          <w:color w:val="auto"/>
          <w:sz w:val="22"/>
        </w:rPr>
      </w:pPr>
      <w:r>
        <w:rPr>
          <w:rFonts w:cs="Arial"/>
          <w:b/>
          <w:color w:val="auto"/>
          <w:sz w:val="22"/>
        </w:rPr>
        <w:t>FOR POLITICALLY RESTRICTED POSTS:</w:t>
      </w:r>
    </w:p>
    <w:p>
      <w:pPr>
        <w:pStyle w:val="Normal"/>
        <w:jc w:val="both"/>
        <w:rPr>
          <w:rFonts w:cs="Arial"/>
          <w:color w:val="auto"/>
          <w:sz w:val="22"/>
        </w:rPr>
      </w:pPr>
      <w:r>
        <w:rPr>
          <w:rFonts w:cs="Arial"/>
          <w:color w:val="auto"/>
          <w:sz w:val="22"/>
        </w:rPr>
        <w:t>This post is a politically restricted post, as defined by the Local Government and Housing Act 1989 (as amended by Section 30 of the Local Democracy, Economic Development and Construction Act 2009) on one of the following grounds:</w:t>
      </w:r>
    </w:p>
    <w:p>
      <w:pPr>
        <w:pStyle w:val="ListParagraph"/>
        <w:widowControl/>
        <w:numPr>
          <w:ilvl w:val="0"/>
          <w:numId w:val="5"/>
        </w:numPr>
        <w:spacing w:lineRule="auto" w:line="256" w:before="0" w:after="160"/>
        <w:contextualSpacing/>
        <w:jc w:val="both"/>
        <w:rPr>
          <w:color w:val="auto"/>
        </w:rPr>
      </w:pPr>
      <w:r>
        <w:rPr>
          <w:color w:val="auto"/>
        </w:rPr>
        <w:t>the post is that of a Chief Officer or Deputy Chief Officer or</w:t>
      </w:r>
    </w:p>
    <w:p>
      <w:pPr>
        <w:pStyle w:val="ListParagraph"/>
        <w:widowControl/>
        <w:numPr>
          <w:ilvl w:val="0"/>
          <w:numId w:val="5"/>
        </w:numPr>
        <w:spacing w:lineRule="auto" w:line="256" w:before="0" w:after="160"/>
        <w:contextualSpacing/>
        <w:jc w:val="both"/>
        <w:rPr>
          <w:color w:val="auto"/>
        </w:rPr>
      </w:pPr>
      <w:r>
        <w:rPr>
          <w:color w:val="auto"/>
        </w:rPr>
        <w:t>the post has delegated powers to discharge the functions of the Authority; or</w:t>
      </w:r>
    </w:p>
    <w:p>
      <w:pPr>
        <w:pStyle w:val="ListParagraph"/>
        <w:widowControl/>
        <w:numPr>
          <w:ilvl w:val="0"/>
          <w:numId w:val="5"/>
        </w:numPr>
        <w:spacing w:lineRule="auto" w:line="256" w:before="0" w:after="160"/>
        <w:contextualSpacing/>
        <w:jc w:val="both"/>
        <w:rPr>
          <w:color w:val="auto"/>
        </w:rPr>
      </w:pPr>
      <w:r>
        <w:rPr>
          <w:color w:val="auto"/>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before="240" w:after="240"/>
        <w:rPr>
          <w:rFonts w:cs="Arial"/>
          <w:color w:val="auto"/>
          <w:sz w:val="22"/>
        </w:rPr>
      </w:pPr>
      <w:r>
        <w:rPr>
          <w:rFonts w:cs="Arial"/>
          <w:color w:val="auto"/>
          <w:sz w:val="22"/>
        </w:rPr>
        <w:t>The post holder has a right to appeal to the GMCA Chief Executive against the classification of their post as politically restricted.</w:t>
      </w:r>
    </w:p>
    <w:p>
      <w:pPr>
        <w:pStyle w:val="Heading2"/>
        <w:shd w:fill="004F6E" w:val="clear"/>
        <w:rPr>
          <w:rFonts w:cs="Arial"/>
          <w:color w:val="auto"/>
          <w:sz w:val="24"/>
          <w:szCs w:val="24"/>
        </w:rPr>
      </w:pPr>
      <w:r>
        <w:rPr>
          <w:rFonts w:cs="Arial"/>
          <w:color w:val="auto"/>
          <w:sz w:val="24"/>
          <w:szCs w:val="24"/>
        </w:rPr>
        <w:t>Corporate Duties</w:t>
      </w:r>
    </w:p>
    <w:p>
      <w:pPr>
        <w:pStyle w:val="Normal"/>
        <w:rPr/>
      </w:pPr>
      <w:r>
        <w:rPr>
          <w:rFonts w:cs="Arial"/>
          <w:i/>
          <w:iCs/>
          <w:color w:val="auto"/>
          <w:sz w:val="20"/>
          <w:szCs w:val="20"/>
        </w:rPr>
        <w:t>Do not behave in way which discriminates against your fellow employees, or potential</w:t>
      </w:r>
      <w:r>
        <w:rPr>
          <w:rFonts w:cs="Arial"/>
          <w:i/>
          <w:iCs/>
          <w:color w:val="auto"/>
          <w:spacing w:val="1"/>
          <w:sz w:val="20"/>
          <w:szCs w:val="20"/>
        </w:rPr>
        <w:t xml:space="preserve"> </w:t>
      </w:r>
      <w:r>
        <w:rPr>
          <w:rFonts w:cs="Arial"/>
          <w:i/>
          <w:iCs/>
          <w:color w:val="auto"/>
          <w:sz w:val="20"/>
          <w:szCs w:val="20"/>
        </w:rPr>
        <w:t>employees on the grounds of their sex, sexual orientation, marital status, race, religion,</w:t>
      </w:r>
      <w:r>
        <w:rPr>
          <w:rFonts w:cs="Arial"/>
          <w:i/>
          <w:iCs/>
          <w:color w:val="auto"/>
          <w:spacing w:val="-59"/>
          <w:sz w:val="20"/>
          <w:szCs w:val="20"/>
        </w:rPr>
        <w:t xml:space="preserve"> </w:t>
      </w:r>
      <w:r>
        <w:rPr>
          <w:rFonts w:cs="Arial"/>
          <w:i/>
          <w:iCs/>
          <w:color w:val="auto"/>
          <w:sz w:val="20"/>
          <w:szCs w:val="20"/>
        </w:rPr>
        <w:t>creed,</w:t>
      </w:r>
      <w:r>
        <w:rPr>
          <w:rFonts w:cs="Arial"/>
          <w:i/>
          <w:iCs/>
          <w:color w:val="auto"/>
          <w:spacing w:val="-2"/>
          <w:sz w:val="20"/>
          <w:szCs w:val="20"/>
        </w:rPr>
        <w:t xml:space="preserve"> </w:t>
      </w:r>
      <w:r>
        <w:rPr>
          <w:rFonts w:cs="Arial"/>
          <w:i/>
          <w:iCs/>
          <w:color w:val="auto"/>
          <w:sz w:val="20"/>
          <w:szCs w:val="20"/>
        </w:rPr>
        <w:t>colour,</w:t>
      </w:r>
      <w:r>
        <w:rPr>
          <w:rFonts w:cs="Arial"/>
          <w:i/>
          <w:iCs/>
          <w:color w:val="auto"/>
          <w:spacing w:val="2"/>
          <w:sz w:val="20"/>
          <w:szCs w:val="20"/>
        </w:rPr>
        <w:t xml:space="preserve"> </w:t>
      </w:r>
      <w:r>
        <w:rPr>
          <w:rFonts w:cs="Arial"/>
          <w:i/>
          <w:iCs/>
          <w:color w:val="auto"/>
          <w:sz w:val="20"/>
          <w:szCs w:val="20"/>
        </w:rPr>
        <w:t>nationality,</w:t>
      </w:r>
      <w:r>
        <w:rPr>
          <w:rFonts w:cs="Arial"/>
          <w:i/>
          <w:iCs/>
          <w:color w:val="auto"/>
          <w:spacing w:val="2"/>
          <w:sz w:val="20"/>
          <w:szCs w:val="20"/>
        </w:rPr>
        <w:t xml:space="preserve"> </w:t>
      </w:r>
      <w:r>
        <w:rPr>
          <w:rFonts w:cs="Arial"/>
          <w:i/>
          <w:iCs/>
          <w:color w:val="auto"/>
          <w:sz w:val="20"/>
          <w:szCs w:val="20"/>
        </w:rPr>
        <w:t>ethnic</w:t>
      </w:r>
      <w:r>
        <w:rPr>
          <w:rFonts w:cs="Arial"/>
          <w:i/>
          <w:iCs/>
          <w:color w:val="auto"/>
          <w:spacing w:val="1"/>
          <w:sz w:val="20"/>
          <w:szCs w:val="20"/>
        </w:rPr>
        <w:t xml:space="preserve"> </w:t>
      </w:r>
      <w:r>
        <w:rPr>
          <w:rFonts w:cs="Arial"/>
          <w:i/>
          <w:iCs/>
          <w:color w:val="auto"/>
          <w:sz w:val="20"/>
          <w:szCs w:val="20"/>
        </w:rPr>
        <w:t>origin</w:t>
      </w:r>
      <w:r>
        <w:rPr>
          <w:rFonts w:cs="Arial"/>
          <w:i/>
          <w:iCs/>
          <w:color w:val="auto"/>
          <w:spacing w:val="1"/>
          <w:sz w:val="20"/>
          <w:szCs w:val="20"/>
        </w:rPr>
        <w:t xml:space="preserve"> </w:t>
      </w:r>
      <w:r>
        <w:rPr>
          <w:rFonts w:cs="Arial"/>
          <w:i/>
          <w:iCs/>
          <w:color w:val="auto"/>
          <w:sz w:val="20"/>
          <w:szCs w:val="20"/>
        </w:rPr>
        <w:t>or</w:t>
      </w:r>
      <w:r>
        <w:rPr>
          <w:rFonts w:cs="Arial"/>
          <w:i/>
          <w:iCs/>
          <w:color w:val="auto"/>
          <w:spacing w:val="-2"/>
          <w:sz w:val="20"/>
          <w:szCs w:val="20"/>
        </w:rPr>
        <w:t xml:space="preserve"> </w:t>
      </w:r>
      <w:r>
        <w:rPr>
          <w:rFonts w:cs="Arial"/>
          <w:i/>
          <w:iCs/>
          <w:color w:val="auto"/>
          <w:sz w:val="20"/>
          <w:szCs w:val="20"/>
        </w:rPr>
        <w:t>disability.</w:t>
      </w:r>
    </w:p>
    <w:p>
      <w:pPr>
        <w:pStyle w:val="Normal"/>
        <w:rPr/>
      </w:pPr>
      <w:r>
        <w:rPr>
          <w:rFonts w:cs="Arial"/>
          <w:i/>
          <w:iCs/>
          <w:color w:val="auto"/>
          <w:sz w:val="20"/>
          <w:szCs w:val="20"/>
        </w:rPr>
        <w:t xml:space="preserve">Safeguard at all times confidentiality of information relating to staff and pensioners. </w:t>
      </w:r>
      <w:r>
        <w:rPr>
          <w:rFonts w:cs="Arial"/>
          <w:i/>
          <w:iCs/>
          <w:color w:val="auto"/>
          <w:spacing w:val="-59"/>
          <w:sz w:val="20"/>
          <w:szCs w:val="20"/>
        </w:rPr>
        <w:t xml:space="preserve"> </w:t>
      </w:r>
      <w:r>
        <w:rPr>
          <w:rFonts w:cs="Arial"/>
          <w:i/>
          <w:iCs/>
          <w:color w:val="auto"/>
          <w:sz w:val="20"/>
          <w:szCs w:val="20"/>
        </w:rPr>
        <w:t>Refrain</w:t>
      </w:r>
      <w:r>
        <w:rPr>
          <w:rFonts w:cs="Arial"/>
          <w:i/>
          <w:iCs/>
          <w:color w:val="auto"/>
          <w:spacing w:val="-3"/>
          <w:sz w:val="20"/>
          <w:szCs w:val="20"/>
        </w:rPr>
        <w:t xml:space="preserve"> </w:t>
      </w:r>
      <w:r>
        <w:rPr>
          <w:rFonts w:cs="Arial"/>
          <w:i/>
          <w:iCs/>
          <w:color w:val="auto"/>
          <w:sz w:val="20"/>
          <w:szCs w:val="20"/>
        </w:rPr>
        <w:t>from</w:t>
      </w:r>
      <w:r>
        <w:rPr>
          <w:rFonts w:cs="Arial"/>
          <w:i/>
          <w:iCs/>
          <w:color w:val="auto"/>
          <w:spacing w:val="2"/>
          <w:sz w:val="20"/>
          <w:szCs w:val="20"/>
        </w:rPr>
        <w:t xml:space="preserve"> </w:t>
      </w:r>
      <w:r>
        <w:rPr>
          <w:rFonts w:cs="Arial"/>
          <w:i/>
          <w:iCs/>
          <w:color w:val="auto"/>
          <w:sz w:val="20"/>
          <w:szCs w:val="20"/>
        </w:rPr>
        <w:t>smoking</w:t>
      </w:r>
      <w:r>
        <w:rPr>
          <w:rFonts w:cs="Arial"/>
          <w:i/>
          <w:iCs/>
          <w:color w:val="auto"/>
          <w:spacing w:val="4"/>
          <w:sz w:val="20"/>
          <w:szCs w:val="20"/>
        </w:rPr>
        <w:t xml:space="preserve"> </w:t>
      </w:r>
      <w:r>
        <w:rPr>
          <w:rFonts w:cs="Arial"/>
          <w:i/>
          <w:iCs/>
          <w:color w:val="auto"/>
          <w:sz w:val="20"/>
          <w:szCs w:val="20"/>
        </w:rPr>
        <w:t>in</w:t>
      </w:r>
      <w:r>
        <w:rPr>
          <w:rFonts w:cs="Arial"/>
          <w:i/>
          <w:iCs/>
          <w:color w:val="auto"/>
          <w:spacing w:val="-5"/>
          <w:sz w:val="20"/>
          <w:szCs w:val="20"/>
        </w:rPr>
        <w:t xml:space="preserve"> </w:t>
      </w:r>
      <w:r>
        <w:rPr>
          <w:rFonts w:cs="Arial"/>
          <w:i/>
          <w:iCs/>
          <w:color w:val="auto"/>
          <w:sz w:val="20"/>
          <w:szCs w:val="20"/>
        </w:rPr>
        <w:t>any</w:t>
      </w:r>
      <w:r>
        <w:rPr>
          <w:rFonts w:cs="Arial"/>
          <w:i/>
          <w:iCs/>
          <w:color w:val="auto"/>
          <w:spacing w:val="-1"/>
          <w:sz w:val="20"/>
          <w:szCs w:val="20"/>
        </w:rPr>
        <w:t xml:space="preserve"> </w:t>
      </w:r>
      <w:r>
        <w:rPr>
          <w:rFonts w:cs="Arial"/>
          <w:i/>
          <w:iCs/>
          <w:color w:val="auto"/>
          <w:sz w:val="20"/>
          <w:szCs w:val="20"/>
        </w:rPr>
        <w:t>areas</w:t>
      </w:r>
      <w:r>
        <w:rPr>
          <w:rFonts w:cs="Arial"/>
          <w:i/>
          <w:iCs/>
          <w:color w:val="auto"/>
          <w:spacing w:val="1"/>
          <w:sz w:val="20"/>
          <w:szCs w:val="20"/>
        </w:rPr>
        <w:t xml:space="preserve"> </w:t>
      </w:r>
      <w:r>
        <w:rPr>
          <w:rFonts w:cs="Arial"/>
          <w:i/>
          <w:iCs/>
          <w:color w:val="auto"/>
          <w:sz w:val="20"/>
          <w:szCs w:val="20"/>
        </w:rPr>
        <w:t>of</w:t>
      </w:r>
      <w:r>
        <w:rPr>
          <w:rFonts w:cs="Arial"/>
          <w:i/>
          <w:iCs/>
          <w:color w:val="auto"/>
          <w:spacing w:val="1"/>
          <w:sz w:val="20"/>
          <w:szCs w:val="20"/>
        </w:rPr>
        <w:t xml:space="preserve"> </w:t>
      </w:r>
      <w:r>
        <w:rPr>
          <w:rFonts w:cs="Arial"/>
          <w:i/>
          <w:iCs/>
          <w:color w:val="auto"/>
          <w:sz w:val="20"/>
          <w:szCs w:val="20"/>
        </w:rPr>
        <w:t>Service</w:t>
      </w:r>
      <w:r>
        <w:rPr>
          <w:rFonts w:cs="Arial"/>
          <w:i/>
          <w:iCs/>
          <w:color w:val="auto"/>
          <w:spacing w:val="1"/>
          <w:sz w:val="20"/>
          <w:szCs w:val="20"/>
        </w:rPr>
        <w:t xml:space="preserve"> </w:t>
      </w:r>
      <w:r>
        <w:rPr>
          <w:rFonts w:cs="Arial"/>
          <w:i/>
          <w:iCs/>
          <w:color w:val="auto"/>
          <w:sz w:val="20"/>
          <w:szCs w:val="20"/>
        </w:rPr>
        <w:t>premises.</w:t>
      </w:r>
    </w:p>
    <w:p>
      <w:pPr>
        <w:pStyle w:val="Normal"/>
        <w:rPr/>
      </w:pPr>
      <w:r>
        <w:rPr>
          <w:rFonts w:cs="Arial"/>
          <w:i/>
          <w:iCs/>
          <w:color w:val="auto"/>
          <w:sz w:val="20"/>
          <w:szCs w:val="20"/>
        </w:rPr>
        <w:t>Behave in a manner that ensures the security of property and resources.</w:t>
      </w:r>
      <w:r>
        <w:rPr>
          <w:rFonts w:cs="Arial"/>
          <w:i/>
          <w:iCs/>
          <w:color w:val="auto"/>
          <w:spacing w:val="-59"/>
          <w:sz w:val="20"/>
          <w:szCs w:val="20"/>
        </w:rPr>
        <w:t xml:space="preserve"> </w:t>
      </w:r>
      <w:r>
        <w:rPr>
          <w:rFonts w:cs="Arial"/>
          <w:i/>
          <w:iCs/>
          <w:color w:val="auto"/>
          <w:sz w:val="20"/>
          <w:szCs w:val="20"/>
        </w:rPr>
        <w:t>Abide</w:t>
      </w:r>
      <w:r>
        <w:rPr>
          <w:rFonts w:cs="Arial"/>
          <w:i/>
          <w:iCs/>
          <w:color w:val="auto"/>
          <w:spacing w:val="-1"/>
          <w:sz w:val="20"/>
          <w:szCs w:val="20"/>
        </w:rPr>
        <w:t xml:space="preserve"> </w:t>
      </w:r>
      <w:r>
        <w:rPr>
          <w:rFonts w:cs="Arial"/>
          <w:i/>
          <w:iCs/>
          <w:color w:val="auto"/>
          <w:sz w:val="20"/>
          <w:szCs w:val="20"/>
        </w:rPr>
        <w:t>by</w:t>
      </w:r>
      <w:r>
        <w:rPr>
          <w:rFonts w:cs="Arial"/>
          <w:i/>
          <w:iCs/>
          <w:color w:val="auto"/>
          <w:spacing w:val="-2"/>
          <w:sz w:val="20"/>
          <w:szCs w:val="20"/>
        </w:rPr>
        <w:t xml:space="preserve"> </w:t>
      </w:r>
      <w:r>
        <w:rPr>
          <w:rFonts w:cs="Arial"/>
          <w:i/>
          <w:iCs/>
          <w:color w:val="auto"/>
          <w:sz w:val="20"/>
          <w:szCs w:val="20"/>
        </w:rPr>
        <w:t>all relevant</w:t>
      </w:r>
      <w:r>
        <w:rPr>
          <w:rFonts w:cs="Arial"/>
          <w:i/>
          <w:iCs/>
          <w:color w:val="auto"/>
          <w:spacing w:val="1"/>
          <w:sz w:val="20"/>
          <w:szCs w:val="20"/>
        </w:rPr>
        <w:t xml:space="preserve"> </w:t>
      </w:r>
      <w:r>
        <w:rPr>
          <w:rFonts w:cs="Arial"/>
          <w:i/>
          <w:iCs/>
          <w:color w:val="auto"/>
          <w:sz w:val="20"/>
          <w:szCs w:val="20"/>
        </w:rPr>
        <w:t>Service</w:t>
      </w:r>
      <w:r>
        <w:rPr>
          <w:rFonts w:cs="Arial"/>
          <w:i/>
          <w:iCs/>
          <w:color w:val="auto"/>
          <w:spacing w:val="1"/>
          <w:sz w:val="20"/>
          <w:szCs w:val="20"/>
        </w:rPr>
        <w:t xml:space="preserve"> </w:t>
      </w:r>
      <w:r>
        <w:rPr>
          <w:rFonts w:cs="Arial"/>
          <w:i/>
          <w:iCs/>
          <w:color w:val="auto"/>
          <w:sz w:val="20"/>
          <w:szCs w:val="20"/>
        </w:rPr>
        <w:t>Policies and Procedures.</w:t>
      </w:r>
    </w:p>
    <w:p>
      <w:pPr>
        <w:pStyle w:val="Normal"/>
        <w:rPr/>
      </w:pPr>
      <w:r>
        <w:rPr>
          <w:rFonts w:cs="Arial"/>
          <w:b/>
          <w:bCs/>
          <w:i/>
          <w:iCs/>
          <w:color w:val="auto"/>
          <w:sz w:val="20"/>
          <w:szCs w:val="20"/>
        </w:rPr>
        <w:t>Records Management / Data Protection</w:t>
      </w:r>
      <w:r>
        <w:rPr>
          <w:rFonts w:cs="Arial"/>
          <w:i/>
          <w:iCs/>
          <w:color w:val="auto"/>
          <w:sz w:val="20"/>
          <w:szCs w:val="20"/>
        </w:rPr>
        <w:t xml:space="preserve"> - As an employee of the GMCA, you have a legal</w:t>
      </w:r>
      <w:r>
        <w:rPr>
          <w:rFonts w:cs="Arial"/>
          <w:i/>
          <w:iCs/>
          <w:color w:val="auto"/>
          <w:spacing w:val="1"/>
          <w:sz w:val="20"/>
          <w:szCs w:val="20"/>
        </w:rPr>
        <w:t xml:space="preserve"> </w:t>
      </w:r>
      <w:r>
        <w:rPr>
          <w:rFonts w:cs="Arial"/>
          <w:i/>
          <w:iCs/>
          <w:color w:val="auto"/>
          <w:spacing w:val="-1"/>
          <w:sz w:val="20"/>
          <w:szCs w:val="20"/>
        </w:rPr>
        <w:t>responsibility</w:t>
      </w:r>
      <w:r>
        <w:rPr>
          <w:rFonts w:cs="Arial"/>
          <w:i/>
          <w:iCs/>
          <w:color w:val="auto"/>
          <w:spacing w:val="-16"/>
          <w:sz w:val="20"/>
          <w:szCs w:val="20"/>
        </w:rPr>
        <w:t xml:space="preserve"> </w:t>
      </w:r>
      <w:r>
        <w:rPr>
          <w:rFonts w:cs="Arial"/>
          <w:i/>
          <w:iCs/>
          <w:color w:val="auto"/>
          <w:spacing w:val="-1"/>
          <w:sz w:val="20"/>
          <w:szCs w:val="20"/>
        </w:rPr>
        <w:t>for</w:t>
      </w:r>
      <w:r>
        <w:rPr>
          <w:rFonts w:cs="Arial"/>
          <w:i/>
          <w:iCs/>
          <w:color w:val="auto"/>
          <w:spacing w:val="-15"/>
          <w:sz w:val="20"/>
          <w:szCs w:val="20"/>
        </w:rPr>
        <w:t xml:space="preserve"> </w:t>
      </w:r>
      <w:r>
        <w:rPr>
          <w:rFonts w:cs="Arial"/>
          <w:i/>
          <w:iCs/>
          <w:color w:val="auto"/>
          <w:spacing w:val="-1"/>
          <w:sz w:val="20"/>
          <w:szCs w:val="20"/>
        </w:rPr>
        <w:t>all</w:t>
      </w:r>
      <w:r>
        <w:rPr>
          <w:rFonts w:cs="Arial"/>
          <w:i/>
          <w:iCs/>
          <w:color w:val="auto"/>
          <w:spacing w:val="-14"/>
          <w:sz w:val="20"/>
          <w:szCs w:val="20"/>
        </w:rPr>
        <w:t xml:space="preserve"> </w:t>
      </w:r>
      <w:r>
        <w:rPr>
          <w:rFonts w:cs="Arial"/>
          <w:i/>
          <w:iCs/>
          <w:color w:val="auto"/>
          <w:spacing w:val="-1"/>
          <w:sz w:val="20"/>
          <w:szCs w:val="20"/>
        </w:rPr>
        <w:t>records</w:t>
      </w:r>
      <w:r>
        <w:rPr>
          <w:rFonts w:cs="Arial"/>
          <w:i/>
          <w:iCs/>
          <w:color w:val="auto"/>
          <w:spacing w:val="-13"/>
          <w:sz w:val="20"/>
          <w:szCs w:val="20"/>
        </w:rPr>
        <w:t xml:space="preserve"> </w:t>
      </w:r>
      <w:r>
        <w:rPr>
          <w:rFonts w:cs="Arial"/>
          <w:i/>
          <w:iCs/>
          <w:color w:val="auto"/>
          <w:sz w:val="20"/>
          <w:szCs w:val="20"/>
        </w:rPr>
        <w:t>(including</w:t>
      </w:r>
      <w:r>
        <w:rPr>
          <w:rFonts w:cs="Arial"/>
          <w:i/>
          <w:iCs/>
          <w:color w:val="auto"/>
          <w:spacing w:val="-11"/>
          <w:sz w:val="20"/>
          <w:szCs w:val="20"/>
        </w:rPr>
        <w:t xml:space="preserve"> </w:t>
      </w:r>
      <w:r>
        <w:rPr>
          <w:rFonts w:cs="Arial"/>
          <w:i/>
          <w:iCs/>
          <w:color w:val="auto"/>
          <w:sz w:val="20"/>
          <w:szCs w:val="20"/>
        </w:rPr>
        <w:t>employee</w:t>
      </w:r>
      <w:r>
        <w:rPr>
          <w:rFonts w:cs="Arial"/>
          <w:i/>
          <w:iCs/>
          <w:color w:val="auto"/>
          <w:spacing w:val="-13"/>
          <w:sz w:val="20"/>
          <w:szCs w:val="20"/>
        </w:rPr>
        <w:t xml:space="preserve"> </w:t>
      </w:r>
      <w:r>
        <w:rPr>
          <w:rFonts w:cs="Arial"/>
          <w:i/>
          <w:iCs/>
          <w:color w:val="auto"/>
          <w:sz w:val="20"/>
          <w:szCs w:val="20"/>
        </w:rPr>
        <w:t>health,</w:t>
      </w:r>
      <w:r>
        <w:rPr>
          <w:rFonts w:cs="Arial"/>
          <w:i/>
          <w:iCs/>
          <w:color w:val="auto"/>
          <w:spacing w:val="-15"/>
          <w:sz w:val="20"/>
          <w:szCs w:val="20"/>
        </w:rPr>
        <w:t xml:space="preserve"> </w:t>
      </w:r>
      <w:r>
        <w:rPr>
          <w:rFonts w:cs="Arial"/>
          <w:i/>
          <w:iCs/>
          <w:color w:val="auto"/>
          <w:sz w:val="20"/>
          <w:szCs w:val="20"/>
        </w:rPr>
        <w:t>financial,</w:t>
      </w:r>
      <w:r>
        <w:rPr>
          <w:rFonts w:cs="Arial"/>
          <w:i/>
          <w:iCs/>
          <w:color w:val="auto"/>
          <w:spacing w:val="-14"/>
          <w:sz w:val="20"/>
          <w:szCs w:val="20"/>
        </w:rPr>
        <w:t xml:space="preserve"> </w:t>
      </w:r>
      <w:r>
        <w:rPr>
          <w:rFonts w:cs="Arial"/>
          <w:i/>
          <w:iCs/>
          <w:color w:val="auto"/>
          <w:sz w:val="20"/>
          <w:szCs w:val="20"/>
        </w:rPr>
        <w:t>personal</w:t>
      </w:r>
      <w:r>
        <w:rPr>
          <w:rFonts w:cs="Arial"/>
          <w:i/>
          <w:iCs/>
          <w:color w:val="auto"/>
          <w:spacing w:val="-17"/>
          <w:sz w:val="20"/>
          <w:szCs w:val="20"/>
        </w:rPr>
        <w:t xml:space="preserve"> </w:t>
      </w:r>
      <w:r>
        <w:rPr>
          <w:rFonts w:cs="Arial"/>
          <w:i/>
          <w:iCs/>
          <w:color w:val="auto"/>
          <w:sz w:val="20"/>
          <w:szCs w:val="20"/>
        </w:rPr>
        <w:t>and</w:t>
      </w:r>
      <w:r>
        <w:rPr>
          <w:rFonts w:cs="Arial"/>
          <w:i/>
          <w:iCs/>
          <w:color w:val="auto"/>
          <w:spacing w:val="-13"/>
          <w:sz w:val="20"/>
          <w:szCs w:val="20"/>
        </w:rPr>
        <w:t xml:space="preserve"> </w:t>
      </w:r>
      <w:r>
        <w:rPr>
          <w:rFonts w:cs="Arial"/>
          <w:i/>
          <w:iCs/>
          <w:color w:val="auto"/>
          <w:sz w:val="20"/>
          <w:szCs w:val="20"/>
        </w:rPr>
        <w:t>administrative)</w:t>
      </w:r>
      <w:r>
        <w:rPr>
          <w:rFonts w:cs="Arial"/>
          <w:i/>
          <w:iCs/>
          <w:color w:val="auto"/>
          <w:spacing w:val="-58"/>
          <w:sz w:val="20"/>
          <w:szCs w:val="20"/>
        </w:rPr>
        <w:t xml:space="preserve"> </w:t>
      </w:r>
      <w:r>
        <w:rPr>
          <w:rFonts w:cs="Arial"/>
          <w:i/>
          <w:iCs/>
          <w:color w:val="auto"/>
          <w:sz w:val="20"/>
          <w:szCs w:val="20"/>
        </w:rPr>
        <w:t>that you gather or use as part of your work with the Service. The records may be paper,</w:t>
      </w:r>
      <w:r>
        <w:rPr>
          <w:rFonts w:cs="Arial"/>
          <w:i/>
          <w:iCs/>
          <w:color w:val="auto"/>
          <w:spacing w:val="1"/>
          <w:sz w:val="20"/>
          <w:szCs w:val="20"/>
        </w:rPr>
        <w:t xml:space="preserve"> </w:t>
      </w:r>
      <w:r>
        <w:rPr>
          <w:rFonts w:cs="Arial"/>
          <w:i/>
          <w:iCs/>
          <w:color w:val="auto"/>
          <w:sz w:val="20"/>
          <w:szCs w:val="20"/>
        </w:rPr>
        <w:t>electronic, audio or videotapes. You must consult your manager if you have any doubt as to</w:t>
      </w:r>
      <w:r>
        <w:rPr>
          <w:rFonts w:cs="Arial"/>
          <w:i/>
          <w:iCs/>
          <w:color w:val="auto"/>
          <w:spacing w:val="1"/>
          <w:sz w:val="20"/>
          <w:szCs w:val="20"/>
        </w:rPr>
        <w:t xml:space="preserve"> </w:t>
      </w:r>
      <w:r>
        <w:rPr>
          <w:rFonts w:cs="Arial"/>
          <w:i/>
          <w:iCs/>
          <w:color w:val="auto"/>
          <w:sz w:val="20"/>
          <w:szCs w:val="20"/>
        </w:rPr>
        <w:t>the</w:t>
      </w:r>
      <w:r>
        <w:rPr>
          <w:rFonts w:cs="Arial"/>
          <w:i/>
          <w:iCs/>
          <w:color w:val="auto"/>
          <w:spacing w:val="-1"/>
          <w:sz w:val="20"/>
          <w:szCs w:val="20"/>
        </w:rPr>
        <w:t xml:space="preserve"> </w:t>
      </w:r>
      <w:r>
        <w:rPr>
          <w:rFonts w:cs="Arial"/>
          <w:i/>
          <w:iCs/>
          <w:color w:val="auto"/>
          <w:sz w:val="20"/>
          <w:szCs w:val="20"/>
        </w:rPr>
        <w:t>correct management</w:t>
      </w:r>
      <w:r>
        <w:rPr>
          <w:rFonts w:cs="Arial"/>
          <w:i/>
          <w:iCs/>
          <w:color w:val="auto"/>
          <w:spacing w:val="-2"/>
          <w:sz w:val="20"/>
          <w:szCs w:val="20"/>
        </w:rPr>
        <w:t xml:space="preserve"> </w:t>
      </w:r>
      <w:r>
        <w:rPr>
          <w:rFonts w:cs="Arial"/>
          <w:i/>
          <w:iCs/>
          <w:color w:val="auto"/>
          <w:sz w:val="20"/>
          <w:szCs w:val="20"/>
        </w:rPr>
        <w:t>of</w:t>
      </w:r>
      <w:r>
        <w:rPr>
          <w:rFonts w:cs="Arial"/>
          <w:i/>
          <w:iCs/>
          <w:color w:val="auto"/>
          <w:spacing w:val="2"/>
          <w:sz w:val="20"/>
          <w:szCs w:val="20"/>
        </w:rPr>
        <w:t xml:space="preserve"> </w:t>
      </w:r>
      <w:r>
        <w:rPr>
          <w:rFonts w:cs="Arial"/>
          <w:i/>
          <w:iCs/>
          <w:color w:val="auto"/>
          <w:sz w:val="20"/>
          <w:szCs w:val="20"/>
        </w:rPr>
        <w:t>the</w:t>
      </w:r>
      <w:r>
        <w:rPr>
          <w:rFonts w:cs="Arial"/>
          <w:i/>
          <w:iCs/>
          <w:color w:val="auto"/>
          <w:spacing w:val="-3"/>
          <w:sz w:val="20"/>
          <w:szCs w:val="20"/>
        </w:rPr>
        <w:t xml:space="preserve"> </w:t>
      </w:r>
      <w:r>
        <w:rPr>
          <w:rFonts w:cs="Arial"/>
          <w:i/>
          <w:iCs/>
          <w:color w:val="auto"/>
          <w:sz w:val="20"/>
          <w:szCs w:val="20"/>
        </w:rPr>
        <w:t>records</w:t>
      </w:r>
      <w:r>
        <w:rPr>
          <w:rFonts w:cs="Arial"/>
          <w:i/>
          <w:iCs/>
          <w:color w:val="auto"/>
          <w:spacing w:val="-2"/>
          <w:sz w:val="20"/>
          <w:szCs w:val="20"/>
        </w:rPr>
        <w:t xml:space="preserve"> </w:t>
      </w:r>
      <w:r>
        <w:rPr>
          <w:rFonts w:cs="Arial"/>
          <w:i/>
          <w:iCs/>
          <w:color w:val="auto"/>
          <w:sz w:val="20"/>
          <w:szCs w:val="20"/>
        </w:rPr>
        <w:t>with</w:t>
      </w:r>
      <w:r>
        <w:rPr>
          <w:rFonts w:cs="Arial"/>
          <w:i/>
          <w:iCs/>
          <w:color w:val="auto"/>
          <w:spacing w:val="1"/>
          <w:sz w:val="20"/>
          <w:szCs w:val="20"/>
        </w:rPr>
        <w:t xml:space="preserve"> </w:t>
      </w:r>
      <w:r>
        <w:rPr>
          <w:rFonts w:cs="Arial"/>
          <w:i/>
          <w:iCs/>
          <w:color w:val="auto"/>
          <w:sz w:val="20"/>
          <w:szCs w:val="20"/>
        </w:rPr>
        <w:t>which</w:t>
      </w:r>
      <w:r>
        <w:rPr>
          <w:rFonts w:cs="Arial"/>
          <w:i/>
          <w:iCs/>
          <w:color w:val="auto"/>
          <w:spacing w:val="2"/>
          <w:sz w:val="20"/>
          <w:szCs w:val="20"/>
        </w:rPr>
        <w:t xml:space="preserve"> </w:t>
      </w:r>
      <w:r>
        <w:rPr>
          <w:rFonts w:cs="Arial"/>
          <w:i/>
          <w:iCs/>
          <w:color w:val="auto"/>
          <w:sz w:val="20"/>
          <w:szCs w:val="20"/>
        </w:rPr>
        <w:t>you work.</w:t>
      </w:r>
    </w:p>
    <w:p>
      <w:pPr>
        <w:pStyle w:val="Normal"/>
        <w:rPr/>
      </w:pPr>
      <w:r>
        <w:rPr>
          <w:rFonts w:cs="Arial"/>
          <w:b/>
          <w:bCs/>
          <w:i/>
          <w:iCs/>
          <w:color w:val="auto"/>
          <w:spacing w:val="-1"/>
          <w:sz w:val="20"/>
          <w:szCs w:val="20"/>
        </w:rPr>
        <w:t>Confidentiality</w:t>
      </w:r>
      <w:r>
        <w:rPr>
          <w:rFonts w:cs="Arial"/>
          <w:b/>
          <w:bCs/>
          <w:i/>
          <w:iCs/>
          <w:color w:val="auto"/>
          <w:spacing w:val="-15"/>
          <w:sz w:val="20"/>
          <w:szCs w:val="20"/>
        </w:rPr>
        <w:t xml:space="preserve"> </w:t>
      </w:r>
      <w:r>
        <w:rPr>
          <w:rFonts w:cs="Arial"/>
          <w:b/>
          <w:bCs/>
          <w:i/>
          <w:iCs/>
          <w:color w:val="auto"/>
          <w:sz w:val="20"/>
          <w:szCs w:val="20"/>
        </w:rPr>
        <w:t>and</w:t>
      </w:r>
      <w:r>
        <w:rPr>
          <w:rFonts w:cs="Arial"/>
          <w:b/>
          <w:bCs/>
          <w:i/>
          <w:iCs/>
          <w:color w:val="auto"/>
          <w:spacing w:val="-12"/>
          <w:sz w:val="20"/>
          <w:szCs w:val="20"/>
        </w:rPr>
        <w:t xml:space="preserve"> </w:t>
      </w:r>
      <w:r>
        <w:rPr>
          <w:rFonts w:cs="Arial"/>
          <w:b/>
          <w:bCs/>
          <w:i/>
          <w:iCs/>
          <w:color w:val="auto"/>
          <w:sz w:val="20"/>
          <w:szCs w:val="20"/>
        </w:rPr>
        <w:t>Information</w:t>
      </w:r>
      <w:r>
        <w:rPr>
          <w:rFonts w:cs="Arial"/>
          <w:b/>
          <w:bCs/>
          <w:i/>
          <w:iCs/>
          <w:color w:val="auto"/>
          <w:spacing w:val="-13"/>
          <w:sz w:val="20"/>
          <w:szCs w:val="20"/>
        </w:rPr>
        <w:t xml:space="preserve"> </w:t>
      </w:r>
      <w:r>
        <w:rPr>
          <w:rFonts w:cs="Arial"/>
          <w:b/>
          <w:bCs/>
          <w:i/>
          <w:iCs/>
          <w:color w:val="auto"/>
          <w:sz w:val="20"/>
          <w:szCs w:val="20"/>
        </w:rPr>
        <w:t>Security</w:t>
      </w:r>
      <w:r>
        <w:rPr>
          <w:rFonts w:cs="Arial"/>
          <w:i/>
          <w:iCs/>
          <w:color w:val="auto"/>
          <w:spacing w:val="-16"/>
          <w:sz w:val="20"/>
          <w:szCs w:val="20"/>
        </w:rPr>
        <w:t xml:space="preserve"> </w:t>
      </w:r>
      <w:r>
        <w:rPr>
          <w:rFonts w:cs="Arial"/>
          <w:i/>
          <w:iCs/>
          <w:color w:val="auto"/>
          <w:sz w:val="20"/>
          <w:szCs w:val="20"/>
        </w:rPr>
        <w:t>-</w:t>
      </w:r>
      <w:r>
        <w:rPr>
          <w:rFonts w:cs="Arial"/>
          <w:i/>
          <w:iCs/>
          <w:color w:val="auto"/>
          <w:spacing w:val="-10"/>
          <w:sz w:val="20"/>
          <w:szCs w:val="20"/>
        </w:rPr>
        <w:t xml:space="preserve"> </w:t>
      </w:r>
      <w:r>
        <w:rPr>
          <w:rFonts w:cs="Arial"/>
          <w:i/>
          <w:iCs/>
          <w:color w:val="auto"/>
          <w:sz w:val="20"/>
          <w:szCs w:val="20"/>
        </w:rPr>
        <w:t>As</w:t>
      </w:r>
      <w:r>
        <w:rPr>
          <w:rFonts w:cs="Arial"/>
          <w:i/>
          <w:iCs/>
          <w:color w:val="auto"/>
          <w:spacing w:val="-11"/>
          <w:sz w:val="20"/>
          <w:szCs w:val="20"/>
        </w:rPr>
        <w:t xml:space="preserve"> </w:t>
      </w:r>
      <w:r>
        <w:rPr>
          <w:rFonts w:cs="Arial"/>
          <w:i/>
          <w:iCs/>
          <w:color w:val="auto"/>
          <w:sz w:val="20"/>
          <w:szCs w:val="20"/>
        </w:rPr>
        <w:t>a</w:t>
      </w:r>
      <w:r>
        <w:rPr>
          <w:rFonts w:cs="Arial"/>
          <w:i/>
          <w:iCs/>
          <w:color w:val="auto"/>
          <w:spacing w:val="-16"/>
          <w:sz w:val="20"/>
          <w:szCs w:val="20"/>
        </w:rPr>
        <w:t xml:space="preserve"> </w:t>
      </w:r>
      <w:r>
        <w:rPr>
          <w:rFonts w:cs="Arial"/>
          <w:i/>
          <w:iCs/>
          <w:color w:val="auto"/>
          <w:sz w:val="20"/>
          <w:szCs w:val="20"/>
        </w:rPr>
        <w:t>GMCA</w:t>
      </w:r>
      <w:r>
        <w:rPr>
          <w:rFonts w:cs="Arial"/>
          <w:i/>
          <w:iCs/>
          <w:color w:val="auto"/>
          <w:spacing w:val="-11"/>
          <w:sz w:val="20"/>
          <w:szCs w:val="20"/>
        </w:rPr>
        <w:t xml:space="preserve"> </w:t>
      </w:r>
      <w:r>
        <w:rPr>
          <w:rFonts w:cs="Arial"/>
          <w:i/>
          <w:iCs/>
          <w:color w:val="auto"/>
          <w:sz w:val="20"/>
          <w:szCs w:val="20"/>
        </w:rPr>
        <w:t>employee</w:t>
      </w:r>
      <w:r>
        <w:rPr>
          <w:rFonts w:cs="Arial"/>
          <w:i/>
          <w:iCs/>
          <w:color w:val="auto"/>
          <w:spacing w:val="-12"/>
          <w:sz w:val="20"/>
          <w:szCs w:val="20"/>
        </w:rPr>
        <w:t xml:space="preserve"> </w:t>
      </w:r>
      <w:r>
        <w:rPr>
          <w:rFonts w:cs="Arial"/>
          <w:i/>
          <w:iCs/>
          <w:color w:val="auto"/>
          <w:sz w:val="20"/>
          <w:szCs w:val="20"/>
        </w:rPr>
        <w:t>you</w:t>
      </w:r>
      <w:r>
        <w:rPr>
          <w:rFonts w:cs="Arial"/>
          <w:i/>
          <w:iCs/>
          <w:color w:val="auto"/>
          <w:spacing w:val="-12"/>
          <w:sz w:val="20"/>
          <w:szCs w:val="20"/>
        </w:rPr>
        <w:t xml:space="preserve"> </w:t>
      </w:r>
      <w:r>
        <w:rPr>
          <w:rFonts w:cs="Arial"/>
          <w:i/>
          <w:iCs/>
          <w:color w:val="auto"/>
          <w:sz w:val="20"/>
          <w:szCs w:val="20"/>
        </w:rPr>
        <w:t>are</w:t>
      </w:r>
      <w:r>
        <w:rPr>
          <w:rFonts w:cs="Arial"/>
          <w:i/>
          <w:iCs/>
          <w:color w:val="auto"/>
          <w:spacing w:val="-11"/>
          <w:sz w:val="20"/>
          <w:szCs w:val="20"/>
        </w:rPr>
        <w:t xml:space="preserve"> </w:t>
      </w:r>
      <w:r>
        <w:rPr>
          <w:rFonts w:cs="Arial"/>
          <w:i/>
          <w:iCs/>
          <w:color w:val="auto"/>
          <w:sz w:val="20"/>
          <w:szCs w:val="20"/>
        </w:rPr>
        <w:t>required</w:t>
      </w:r>
      <w:r>
        <w:rPr>
          <w:rFonts w:cs="Arial"/>
          <w:i/>
          <w:iCs/>
          <w:color w:val="auto"/>
          <w:spacing w:val="-15"/>
          <w:sz w:val="20"/>
          <w:szCs w:val="20"/>
        </w:rPr>
        <w:t xml:space="preserve"> </w:t>
      </w:r>
      <w:r>
        <w:rPr>
          <w:rFonts w:cs="Arial"/>
          <w:i/>
          <w:iCs/>
          <w:color w:val="auto"/>
          <w:sz w:val="20"/>
          <w:szCs w:val="20"/>
        </w:rPr>
        <w:t>to</w:t>
      </w:r>
      <w:r>
        <w:rPr>
          <w:rFonts w:cs="Arial"/>
          <w:i/>
          <w:iCs/>
          <w:color w:val="auto"/>
          <w:spacing w:val="-12"/>
          <w:sz w:val="20"/>
          <w:szCs w:val="20"/>
        </w:rPr>
        <w:t xml:space="preserve"> </w:t>
      </w:r>
      <w:r>
        <w:rPr>
          <w:rFonts w:cs="Arial"/>
          <w:i/>
          <w:iCs/>
          <w:color w:val="auto"/>
          <w:sz w:val="20"/>
          <w:szCs w:val="20"/>
        </w:rPr>
        <w:t>uphold</w:t>
      </w:r>
      <w:r>
        <w:rPr>
          <w:rFonts w:cs="Arial"/>
          <w:i/>
          <w:iCs/>
          <w:color w:val="auto"/>
          <w:spacing w:val="-58"/>
          <w:sz w:val="20"/>
          <w:szCs w:val="20"/>
        </w:rPr>
        <w:t xml:space="preserve"> </w:t>
      </w:r>
      <w:r>
        <w:rPr>
          <w:rFonts w:cs="Arial"/>
          <w:i/>
          <w:iCs/>
          <w:color w:val="auto"/>
          <w:sz w:val="20"/>
          <w:szCs w:val="20"/>
        </w:rPr>
        <w:t>the confidentiality of all records held by the GMCA, whether employee records or GMCA</w:t>
      </w:r>
      <w:r>
        <w:rPr>
          <w:rFonts w:cs="Arial"/>
          <w:i/>
          <w:iCs/>
          <w:color w:val="auto"/>
          <w:spacing w:val="1"/>
          <w:sz w:val="20"/>
          <w:szCs w:val="20"/>
        </w:rPr>
        <w:t xml:space="preserve"> </w:t>
      </w:r>
      <w:r>
        <w:rPr>
          <w:rFonts w:cs="Arial"/>
          <w:i/>
          <w:iCs/>
          <w:color w:val="auto"/>
          <w:sz w:val="20"/>
          <w:szCs w:val="20"/>
        </w:rPr>
        <w:t>information.</w:t>
      </w:r>
      <w:r>
        <w:rPr>
          <w:rFonts w:cs="Arial"/>
          <w:i/>
          <w:iCs/>
          <w:color w:val="auto"/>
          <w:spacing w:val="1"/>
          <w:sz w:val="20"/>
          <w:szCs w:val="20"/>
        </w:rPr>
        <w:t xml:space="preserve"> </w:t>
      </w:r>
      <w:r>
        <w:rPr>
          <w:rFonts w:cs="Arial"/>
          <w:i/>
          <w:iCs/>
          <w:color w:val="auto"/>
          <w:sz w:val="20"/>
          <w:szCs w:val="20"/>
        </w:rPr>
        <w:t>This</w:t>
      </w:r>
      <w:r>
        <w:rPr>
          <w:rFonts w:cs="Arial"/>
          <w:i/>
          <w:iCs/>
          <w:color w:val="auto"/>
          <w:spacing w:val="1"/>
          <w:sz w:val="20"/>
          <w:szCs w:val="20"/>
        </w:rPr>
        <w:t xml:space="preserve"> </w:t>
      </w:r>
      <w:r>
        <w:rPr>
          <w:rFonts w:cs="Arial"/>
          <w:i/>
          <w:iCs/>
          <w:color w:val="auto"/>
          <w:sz w:val="20"/>
          <w:szCs w:val="20"/>
        </w:rPr>
        <w:t>duty</w:t>
      </w:r>
      <w:r>
        <w:rPr>
          <w:rFonts w:cs="Arial"/>
          <w:i/>
          <w:iCs/>
          <w:color w:val="auto"/>
          <w:spacing w:val="1"/>
          <w:sz w:val="20"/>
          <w:szCs w:val="20"/>
        </w:rPr>
        <w:t xml:space="preserve"> </w:t>
      </w:r>
      <w:r>
        <w:rPr>
          <w:rFonts w:cs="Arial"/>
          <w:i/>
          <w:iCs/>
          <w:color w:val="auto"/>
          <w:sz w:val="20"/>
          <w:szCs w:val="20"/>
        </w:rPr>
        <w:t>lasts</w:t>
      </w:r>
      <w:r>
        <w:rPr>
          <w:rFonts w:cs="Arial"/>
          <w:i/>
          <w:iCs/>
          <w:color w:val="auto"/>
          <w:spacing w:val="1"/>
          <w:sz w:val="20"/>
          <w:szCs w:val="20"/>
        </w:rPr>
        <w:t xml:space="preserve"> </w:t>
      </w:r>
      <w:r>
        <w:rPr>
          <w:rFonts w:cs="Arial"/>
          <w:i/>
          <w:iCs/>
          <w:color w:val="auto"/>
          <w:sz w:val="20"/>
          <w:szCs w:val="20"/>
        </w:rPr>
        <w:t>indefinitely</w:t>
      </w:r>
      <w:r>
        <w:rPr>
          <w:rFonts w:cs="Arial"/>
          <w:i/>
          <w:iCs/>
          <w:color w:val="auto"/>
          <w:spacing w:val="1"/>
          <w:sz w:val="20"/>
          <w:szCs w:val="20"/>
        </w:rPr>
        <w:t xml:space="preserve"> </w:t>
      </w:r>
      <w:r>
        <w:rPr>
          <w:rFonts w:cs="Arial"/>
          <w:i/>
          <w:iCs/>
          <w:color w:val="auto"/>
          <w:sz w:val="20"/>
          <w:szCs w:val="20"/>
        </w:rPr>
        <w:t>and</w:t>
      </w:r>
      <w:r>
        <w:rPr>
          <w:rFonts w:cs="Arial"/>
          <w:i/>
          <w:iCs/>
          <w:color w:val="auto"/>
          <w:spacing w:val="1"/>
          <w:sz w:val="20"/>
          <w:szCs w:val="20"/>
        </w:rPr>
        <w:t xml:space="preserve"> </w:t>
      </w:r>
      <w:r>
        <w:rPr>
          <w:rFonts w:cs="Arial"/>
          <w:i/>
          <w:iCs/>
          <w:color w:val="auto"/>
          <w:sz w:val="20"/>
          <w:szCs w:val="20"/>
        </w:rPr>
        <w:t>will</w:t>
      </w:r>
      <w:r>
        <w:rPr>
          <w:rFonts w:cs="Arial"/>
          <w:i/>
          <w:iCs/>
          <w:color w:val="auto"/>
          <w:spacing w:val="1"/>
          <w:sz w:val="20"/>
          <w:szCs w:val="20"/>
        </w:rPr>
        <w:t xml:space="preserve"> </w:t>
      </w:r>
      <w:r>
        <w:rPr>
          <w:rFonts w:cs="Arial"/>
          <w:i/>
          <w:iCs/>
          <w:color w:val="auto"/>
          <w:sz w:val="20"/>
          <w:szCs w:val="20"/>
        </w:rPr>
        <w:t>continue</w:t>
      </w:r>
      <w:r>
        <w:rPr>
          <w:rFonts w:cs="Arial"/>
          <w:i/>
          <w:iCs/>
          <w:color w:val="auto"/>
          <w:spacing w:val="1"/>
          <w:sz w:val="20"/>
          <w:szCs w:val="20"/>
        </w:rPr>
        <w:t xml:space="preserve"> </w:t>
      </w:r>
      <w:r>
        <w:rPr>
          <w:rFonts w:cs="Arial"/>
          <w:i/>
          <w:iCs/>
          <w:color w:val="auto"/>
          <w:sz w:val="20"/>
          <w:szCs w:val="20"/>
        </w:rPr>
        <w:t>after</w:t>
      </w:r>
      <w:r>
        <w:rPr>
          <w:rFonts w:cs="Arial"/>
          <w:i/>
          <w:iCs/>
          <w:color w:val="auto"/>
          <w:spacing w:val="1"/>
          <w:sz w:val="20"/>
          <w:szCs w:val="20"/>
        </w:rPr>
        <w:t xml:space="preserve"> </w:t>
      </w:r>
      <w:r>
        <w:rPr>
          <w:rFonts w:cs="Arial"/>
          <w:i/>
          <w:iCs/>
          <w:color w:val="auto"/>
          <w:sz w:val="20"/>
          <w:szCs w:val="20"/>
        </w:rPr>
        <w:t>you</w:t>
      </w:r>
      <w:r>
        <w:rPr>
          <w:rFonts w:cs="Arial"/>
          <w:i/>
          <w:iCs/>
          <w:color w:val="auto"/>
          <w:spacing w:val="1"/>
          <w:sz w:val="20"/>
          <w:szCs w:val="20"/>
        </w:rPr>
        <w:t xml:space="preserve"> </w:t>
      </w:r>
      <w:r>
        <w:rPr>
          <w:rFonts w:cs="Arial"/>
          <w:i/>
          <w:iCs/>
          <w:color w:val="auto"/>
          <w:sz w:val="20"/>
          <w:szCs w:val="20"/>
        </w:rPr>
        <w:t>leave</w:t>
      </w:r>
      <w:r>
        <w:rPr>
          <w:rFonts w:cs="Arial"/>
          <w:i/>
          <w:iCs/>
          <w:color w:val="auto"/>
          <w:spacing w:val="1"/>
          <w:sz w:val="20"/>
          <w:szCs w:val="20"/>
        </w:rPr>
        <w:t xml:space="preserve"> </w:t>
      </w:r>
      <w:r>
        <w:rPr>
          <w:rFonts w:cs="Arial"/>
          <w:i/>
          <w:iCs/>
          <w:color w:val="auto"/>
          <w:sz w:val="20"/>
          <w:szCs w:val="20"/>
        </w:rPr>
        <w:t>the</w:t>
      </w:r>
      <w:r>
        <w:rPr>
          <w:rFonts w:cs="Arial"/>
          <w:i/>
          <w:iCs/>
          <w:color w:val="auto"/>
          <w:spacing w:val="1"/>
          <w:sz w:val="20"/>
          <w:szCs w:val="20"/>
        </w:rPr>
        <w:t xml:space="preserve"> </w:t>
      </w:r>
      <w:r>
        <w:rPr>
          <w:rFonts w:cs="Arial"/>
          <w:i/>
          <w:iCs/>
          <w:color w:val="auto"/>
          <w:sz w:val="20"/>
          <w:szCs w:val="20"/>
        </w:rPr>
        <w:t>GMCA</w:t>
      </w:r>
      <w:r>
        <w:rPr>
          <w:rFonts w:cs="Arial"/>
          <w:i/>
          <w:iCs/>
          <w:color w:val="auto"/>
          <w:spacing w:val="1"/>
          <w:sz w:val="20"/>
          <w:szCs w:val="20"/>
        </w:rPr>
        <w:t xml:space="preserve"> </w:t>
      </w:r>
      <w:r>
        <w:rPr>
          <w:rFonts w:cs="Arial"/>
          <w:i/>
          <w:iCs/>
          <w:color w:val="auto"/>
          <w:sz w:val="20"/>
          <w:szCs w:val="20"/>
        </w:rPr>
        <w:t>employment. All employees must maintain confidentiality and abide by the Data Protection</w:t>
      </w:r>
      <w:r>
        <w:rPr>
          <w:rFonts w:cs="Arial"/>
          <w:i/>
          <w:iCs/>
          <w:color w:val="auto"/>
          <w:spacing w:val="1"/>
          <w:sz w:val="20"/>
          <w:szCs w:val="20"/>
        </w:rPr>
        <w:t xml:space="preserve"> </w:t>
      </w:r>
      <w:r>
        <w:rPr>
          <w:rFonts w:cs="Arial"/>
          <w:i/>
          <w:iCs/>
          <w:color w:val="auto"/>
          <w:sz w:val="20"/>
          <w:szCs w:val="20"/>
        </w:rPr>
        <w:t>Act.</w:t>
      </w:r>
    </w:p>
    <w:p>
      <w:pPr>
        <w:pStyle w:val="Normal"/>
        <w:rPr/>
      </w:pPr>
      <w:r>
        <w:rPr>
          <w:rFonts w:cs="Arial"/>
          <w:b/>
          <w:bCs/>
          <w:i/>
          <w:iCs/>
          <w:color w:val="auto"/>
          <w:sz w:val="20"/>
          <w:szCs w:val="20"/>
        </w:rPr>
        <w:t>Data</w:t>
      </w:r>
      <w:r>
        <w:rPr>
          <w:rFonts w:cs="Arial"/>
          <w:b/>
          <w:bCs/>
          <w:i/>
          <w:iCs/>
          <w:color w:val="auto"/>
          <w:spacing w:val="1"/>
          <w:sz w:val="20"/>
          <w:szCs w:val="20"/>
        </w:rPr>
        <w:t xml:space="preserve"> </w:t>
      </w:r>
      <w:r>
        <w:rPr>
          <w:rFonts w:cs="Arial"/>
          <w:b/>
          <w:bCs/>
          <w:i/>
          <w:iCs/>
          <w:color w:val="auto"/>
          <w:sz w:val="20"/>
          <w:szCs w:val="20"/>
        </w:rPr>
        <w:t>Quality</w:t>
      </w:r>
      <w:r>
        <w:rPr>
          <w:rFonts w:cs="Arial"/>
          <w:i/>
          <w:iCs/>
          <w:color w:val="auto"/>
          <w:spacing w:val="1"/>
          <w:sz w:val="20"/>
          <w:szCs w:val="20"/>
        </w:rPr>
        <w:t xml:space="preserve"> </w:t>
      </w:r>
      <w:r>
        <w:rPr>
          <w:rFonts w:cs="Arial"/>
          <w:i/>
          <w:iCs/>
          <w:color w:val="auto"/>
          <w:sz w:val="20"/>
          <w:szCs w:val="20"/>
        </w:rPr>
        <w:t>-</w:t>
      </w:r>
      <w:r>
        <w:rPr>
          <w:rFonts w:cs="Arial"/>
          <w:i/>
          <w:iCs/>
          <w:color w:val="auto"/>
          <w:spacing w:val="1"/>
          <w:sz w:val="20"/>
          <w:szCs w:val="20"/>
        </w:rPr>
        <w:t xml:space="preserve"> </w:t>
      </w:r>
      <w:r>
        <w:rPr>
          <w:rFonts w:cs="Arial"/>
          <w:i/>
          <w:iCs/>
          <w:color w:val="auto"/>
          <w:sz w:val="20"/>
          <w:szCs w:val="20"/>
        </w:rPr>
        <w:t>All</w:t>
      </w:r>
      <w:r>
        <w:rPr>
          <w:rFonts w:cs="Arial"/>
          <w:i/>
          <w:iCs/>
          <w:color w:val="auto"/>
          <w:spacing w:val="1"/>
          <w:sz w:val="20"/>
          <w:szCs w:val="20"/>
        </w:rPr>
        <w:t xml:space="preserve"> </w:t>
      </w:r>
      <w:r>
        <w:rPr>
          <w:rFonts w:cs="Arial"/>
          <w:i/>
          <w:iCs/>
          <w:color w:val="auto"/>
          <w:sz w:val="20"/>
          <w:szCs w:val="20"/>
        </w:rPr>
        <w:t>staff</w:t>
      </w:r>
      <w:r>
        <w:rPr>
          <w:rFonts w:cs="Arial"/>
          <w:i/>
          <w:iCs/>
          <w:color w:val="auto"/>
          <w:spacing w:val="1"/>
          <w:sz w:val="20"/>
          <w:szCs w:val="20"/>
        </w:rPr>
        <w:t xml:space="preserve"> </w:t>
      </w:r>
      <w:r>
        <w:rPr>
          <w:rFonts w:cs="Arial"/>
          <w:i/>
          <w:iCs/>
          <w:color w:val="auto"/>
          <w:sz w:val="20"/>
          <w:szCs w:val="20"/>
        </w:rPr>
        <w:t>are</w:t>
      </w:r>
      <w:r>
        <w:rPr>
          <w:rFonts w:cs="Arial"/>
          <w:i/>
          <w:iCs/>
          <w:color w:val="auto"/>
          <w:spacing w:val="1"/>
          <w:sz w:val="20"/>
          <w:szCs w:val="20"/>
        </w:rPr>
        <w:t xml:space="preserve"> </w:t>
      </w:r>
      <w:r>
        <w:rPr>
          <w:rFonts w:cs="Arial"/>
          <w:i/>
          <w:iCs/>
          <w:color w:val="auto"/>
          <w:sz w:val="20"/>
          <w:szCs w:val="20"/>
        </w:rPr>
        <w:t>personally</w:t>
      </w:r>
      <w:r>
        <w:rPr>
          <w:rFonts w:cs="Arial"/>
          <w:i/>
          <w:iCs/>
          <w:color w:val="auto"/>
          <w:spacing w:val="1"/>
          <w:sz w:val="20"/>
          <w:szCs w:val="20"/>
        </w:rPr>
        <w:t xml:space="preserve"> </w:t>
      </w:r>
      <w:r>
        <w:rPr>
          <w:rFonts w:cs="Arial"/>
          <w:i/>
          <w:iCs/>
          <w:color w:val="auto"/>
          <w:sz w:val="20"/>
          <w:szCs w:val="20"/>
        </w:rPr>
        <w:t>responsible</w:t>
      </w:r>
      <w:r>
        <w:rPr>
          <w:rFonts w:cs="Arial"/>
          <w:i/>
          <w:iCs/>
          <w:color w:val="auto"/>
          <w:spacing w:val="1"/>
          <w:sz w:val="20"/>
          <w:szCs w:val="20"/>
        </w:rPr>
        <w:t xml:space="preserve"> </w:t>
      </w:r>
      <w:r>
        <w:rPr>
          <w:rFonts w:cs="Arial"/>
          <w:i/>
          <w:iCs/>
          <w:color w:val="auto"/>
          <w:sz w:val="20"/>
          <w:szCs w:val="20"/>
        </w:rPr>
        <w:t>for</w:t>
      </w:r>
      <w:r>
        <w:rPr>
          <w:rFonts w:cs="Arial"/>
          <w:i/>
          <w:iCs/>
          <w:color w:val="auto"/>
          <w:spacing w:val="1"/>
          <w:sz w:val="20"/>
          <w:szCs w:val="20"/>
        </w:rPr>
        <w:t xml:space="preserve"> </w:t>
      </w:r>
      <w:r>
        <w:rPr>
          <w:rFonts w:cs="Arial"/>
          <w:i/>
          <w:iCs/>
          <w:color w:val="auto"/>
          <w:sz w:val="20"/>
          <w:szCs w:val="20"/>
        </w:rPr>
        <w:t>the</w:t>
      </w:r>
      <w:r>
        <w:rPr>
          <w:rFonts w:cs="Arial"/>
          <w:i/>
          <w:iCs/>
          <w:color w:val="auto"/>
          <w:spacing w:val="1"/>
          <w:sz w:val="20"/>
          <w:szCs w:val="20"/>
        </w:rPr>
        <w:t xml:space="preserve"> </w:t>
      </w:r>
      <w:r>
        <w:rPr>
          <w:rFonts w:cs="Arial"/>
          <w:i/>
          <w:iCs/>
          <w:color w:val="auto"/>
          <w:sz w:val="20"/>
          <w:szCs w:val="20"/>
        </w:rPr>
        <w:t>quality</w:t>
      </w:r>
      <w:r>
        <w:rPr>
          <w:rFonts w:cs="Arial"/>
          <w:i/>
          <w:iCs/>
          <w:color w:val="auto"/>
          <w:spacing w:val="1"/>
          <w:sz w:val="20"/>
          <w:szCs w:val="20"/>
        </w:rPr>
        <w:t xml:space="preserve"> </w:t>
      </w:r>
      <w:r>
        <w:rPr>
          <w:rFonts w:cs="Arial"/>
          <w:i/>
          <w:iCs/>
          <w:color w:val="auto"/>
          <w:sz w:val="20"/>
          <w:szCs w:val="20"/>
        </w:rPr>
        <w:t>of</w:t>
      </w:r>
      <w:r>
        <w:rPr>
          <w:rFonts w:cs="Arial"/>
          <w:i/>
          <w:iCs/>
          <w:color w:val="auto"/>
          <w:spacing w:val="1"/>
          <w:sz w:val="20"/>
          <w:szCs w:val="20"/>
        </w:rPr>
        <w:t xml:space="preserve"> </w:t>
      </w:r>
      <w:r>
        <w:rPr>
          <w:rFonts w:cs="Arial"/>
          <w:i/>
          <w:iCs/>
          <w:color w:val="auto"/>
          <w:sz w:val="20"/>
          <w:szCs w:val="20"/>
        </w:rPr>
        <w:t>data</w:t>
      </w:r>
      <w:r>
        <w:rPr>
          <w:rFonts w:cs="Arial"/>
          <w:i/>
          <w:iCs/>
          <w:color w:val="auto"/>
          <w:spacing w:val="1"/>
          <w:sz w:val="20"/>
          <w:szCs w:val="20"/>
        </w:rPr>
        <w:t xml:space="preserve"> </w:t>
      </w:r>
      <w:r>
        <w:rPr>
          <w:rFonts w:cs="Arial"/>
          <w:i/>
          <w:iCs/>
          <w:color w:val="auto"/>
          <w:sz w:val="20"/>
          <w:szCs w:val="20"/>
        </w:rPr>
        <w:t>entered</w:t>
      </w:r>
      <w:r>
        <w:rPr>
          <w:rFonts w:cs="Arial"/>
          <w:i/>
          <w:iCs/>
          <w:color w:val="auto"/>
          <w:spacing w:val="1"/>
          <w:sz w:val="20"/>
          <w:szCs w:val="20"/>
        </w:rPr>
        <w:t xml:space="preserve"> </w:t>
      </w:r>
      <w:r>
        <w:rPr>
          <w:rFonts w:cs="Arial"/>
          <w:i/>
          <w:iCs/>
          <w:color w:val="auto"/>
          <w:sz w:val="20"/>
          <w:szCs w:val="20"/>
        </w:rPr>
        <w:t>by</w:t>
      </w:r>
      <w:r>
        <w:rPr>
          <w:rFonts w:cs="Arial"/>
          <w:i/>
          <w:iCs/>
          <w:color w:val="auto"/>
          <w:spacing w:val="1"/>
          <w:sz w:val="20"/>
          <w:szCs w:val="20"/>
        </w:rPr>
        <w:t xml:space="preserve"> </w:t>
      </w:r>
      <w:r>
        <w:rPr>
          <w:rFonts w:cs="Arial"/>
          <w:i/>
          <w:iCs/>
          <w:color w:val="auto"/>
          <w:sz w:val="20"/>
          <w:szCs w:val="20"/>
        </w:rPr>
        <w:t>themselves, or on their behalf, on GMCAs computerised systems or manual records (paper</w:t>
      </w:r>
      <w:r>
        <w:rPr>
          <w:rFonts w:cs="Arial"/>
          <w:i/>
          <w:iCs/>
          <w:color w:val="auto"/>
          <w:spacing w:val="1"/>
          <w:sz w:val="20"/>
          <w:szCs w:val="20"/>
        </w:rPr>
        <w:t xml:space="preserve"> </w:t>
      </w:r>
      <w:r>
        <w:rPr>
          <w:rFonts w:cs="Arial"/>
          <w:i/>
          <w:iCs/>
          <w:color w:val="auto"/>
          <w:sz w:val="20"/>
          <w:szCs w:val="20"/>
        </w:rPr>
        <w:t>records) and must ensure that such data is entered accurately and, in a timely manner, to</w:t>
      </w:r>
      <w:r>
        <w:rPr>
          <w:rFonts w:cs="Arial"/>
          <w:i/>
          <w:iCs/>
          <w:color w:val="auto"/>
          <w:spacing w:val="1"/>
          <w:sz w:val="20"/>
          <w:szCs w:val="20"/>
        </w:rPr>
        <w:t xml:space="preserve"> </w:t>
      </w:r>
      <w:r>
        <w:rPr>
          <w:rFonts w:cs="Arial"/>
          <w:i/>
          <w:iCs/>
          <w:color w:val="auto"/>
          <w:sz w:val="20"/>
          <w:szCs w:val="20"/>
        </w:rPr>
        <w:t>ensure high</w:t>
      </w:r>
      <w:r>
        <w:rPr>
          <w:rFonts w:cs="Arial"/>
          <w:i/>
          <w:iCs/>
          <w:color w:val="auto"/>
          <w:spacing w:val="-3"/>
          <w:sz w:val="20"/>
          <w:szCs w:val="20"/>
        </w:rPr>
        <w:t xml:space="preserve"> </w:t>
      </w:r>
      <w:r>
        <w:rPr>
          <w:rFonts w:cs="Arial"/>
          <w:i/>
          <w:iCs/>
          <w:color w:val="auto"/>
          <w:sz w:val="20"/>
          <w:szCs w:val="20"/>
        </w:rPr>
        <w:t>standards of data</w:t>
      </w:r>
      <w:r>
        <w:rPr>
          <w:rFonts w:cs="Arial"/>
          <w:i/>
          <w:iCs/>
          <w:color w:val="auto"/>
          <w:spacing w:val="-5"/>
          <w:sz w:val="20"/>
          <w:szCs w:val="20"/>
        </w:rPr>
        <w:t xml:space="preserve"> </w:t>
      </w:r>
      <w:r>
        <w:rPr>
          <w:rFonts w:cs="Arial"/>
          <w:i/>
          <w:iCs/>
          <w:color w:val="auto"/>
          <w:sz w:val="20"/>
          <w:szCs w:val="20"/>
        </w:rPr>
        <w:t>quality</w:t>
      </w:r>
      <w:r>
        <w:rPr>
          <w:rFonts w:cs="Arial"/>
          <w:i/>
          <w:iCs/>
          <w:color w:val="auto"/>
          <w:spacing w:val="-2"/>
          <w:sz w:val="20"/>
          <w:szCs w:val="20"/>
        </w:rPr>
        <w:t xml:space="preserve"> </w:t>
      </w:r>
      <w:r>
        <w:rPr>
          <w:rFonts w:cs="Arial"/>
          <w:i/>
          <w:iCs/>
          <w:color w:val="auto"/>
          <w:sz w:val="20"/>
          <w:szCs w:val="20"/>
        </w:rPr>
        <w:t>in accordance with Departmental protocols. To ensure data is handled in a secure manner protecting the confidentiality of any personal</w:t>
      </w:r>
      <w:r>
        <w:rPr>
          <w:rFonts w:cs="Arial"/>
          <w:i/>
          <w:iCs/>
          <w:color w:val="auto"/>
          <w:spacing w:val="1"/>
          <w:sz w:val="20"/>
          <w:szCs w:val="20"/>
        </w:rPr>
        <w:t xml:space="preserve"> </w:t>
      </w:r>
      <w:r>
        <w:rPr>
          <w:rFonts w:cs="Arial"/>
          <w:i/>
          <w:iCs/>
          <w:color w:val="auto"/>
          <w:sz w:val="20"/>
          <w:szCs w:val="20"/>
        </w:rPr>
        <w:t>data</w:t>
      </w:r>
      <w:r>
        <w:rPr>
          <w:rFonts w:cs="Arial"/>
          <w:i/>
          <w:iCs/>
          <w:color w:val="auto"/>
          <w:spacing w:val="-1"/>
          <w:sz w:val="20"/>
          <w:szCs w:val="20"/>
        </w:rPr>
        <w:t xml:space="preserve"> </w:t>
      </w:r>
      <w:r>
        <w:rPr>
          <w:rFonts w:cs="Arial"/>
          <w:i/>
          <w:iCs/>
          <w:color w:val="auto"/>
          <w:sz w:val="20"/>
          <w:szCs w:val="20"/>
        </w:rPr>
        <w:t>held in</w:t>
      </w:r>
      <w:r>
        <w:rPr>
          <w:rFonts w:cs="Arial"/>
          <w:i/>
          <w:iCs/>
          <w:color w:val="auto"/>
          <w:spacing w:val="-2"/>
          <w:sz w:val="20"/>
          <w:szCs w:val="20"/>
        </w:rPr>
        <w:t xml:space="preserve"> </w:t>
      </w:r>
      <w:r>
        <w:rPr>
          <w:rFonts w:cs="Arial"/>
          <w:i/>
          <w:iCs/>
          <w:color w:val="auto"/>
          <w:sz w:val="20"/>
          <w:szCs w:val="20"/>
        </w:rPr>
        <w:t>meeting</w:t>
      </w:r>
      <w:r>
        <w:rPr>
          <w:rFonts w:cs="Arial"/>
          <w:i/>
          <w:iCs/>
          <w:color w:val="auto"/>
          <w:spacing w:val="-1"/>
          <w:sz w:val="20"/>
          <w:szCs w:val="20"/>
        </w:rPr>
        <w:t xml:space="preserve"> </w:t>
      </w:r>
      <w:r>
        <w:rPr>
          <w:rFonts w:cs="Arial"/>
          <w:i/>
          <w:iCs/>
          <w:color w:val="auto"/>
          <w:sz w:val="20"/>
          <w:szCs w:val="20"/>
        </w:rPr>
        <w:t>the</w:t>
      </w:r>
      <w:r>
        <w:rPr>
          <w:rFonts w:cs="Arial"/>
          <w:i/>
          <w:iCs/>
          <w:color w:val="auto"/>
          <w:spacing w:val="-4"/>
          <w:sz w:val="20"/>
          <w:szCs w:val="20"/>
        </w:rPr>
        <w:t xml:space="preserve"> </w:t>
      </w:r>
      <w:r>
        <w:rPr>
          <w:rFonts w:cs="Arial"/>
          <w:i/>
          <w:iCs/>
          <w:color w:val="auto"/>
          <w:sz w:val="20"/>
          <w:szCs w:val="20"/>
        </w:rPr>
        <w:t>requirements</w:t>
      </w:r>
      <w:r>
        <w:rPr>
          <w:rFonts w:cs="Arial"/>
          <w:i/>
          <w:iCs/>
          <w:color w:val="auto"/>
          <w:spacing w:val="-1"/>
          <w:sz w:val="20"/>
          <w:szCs w:val="20"/>
        </w:rPr>
        <w:t xml:space="preserve"> </w:t>
      </w:r>
      <w:r>
        <w:rPr>
          <w:rFonts w:cs="Arial"/>
          <w:i/>
          <w:iCs/>
          <w:color w:val="auto"/>
          <w:sz w:val="20"/>
          <w:szCs w:val="20"/>
        </w:rPr>
        <w:t>of</w:t>
      </w:r>
      <w:r>
        <w:rPr>
          <w:rFonts w:cs="Arial"/>
          <w:i/>
          <w:iCs/>
          <w:color w:val="auto"/>
          <w:spacing w:val="2"/>
          <w:sz w:val="20"/>
          <w:szCs w:val="20"/>
        </w:rPr>
        <w:t xml:space="preserve"> </w:t>
      </w:r>
      <w:r>
        <w:rPr>
          <w:rFonts w:cs="Arial"/>
          <w:i/>
          <w:iCs/>
          <w:color w:val="auto"/>
          <w:sz w:val="20"/>
          <w:szCs w:val="20"/>
        </w:rPr>
        <w:t>the</w:t>
      </w:r>
      <w:r>
        <w:rPr>
          <w:rFonts w:cs="Arial"/>
          <w:i/>
          <w:iCs/>
          <w:color w:val="auto"/>
          <w:spacing w:val="-3"/>
          <w:sz w:val="20"/>
          <w:szCs w:val="20"/>
        </w:rPr>
        <w:t xml:space="preserve"> </w:t>
      </w:r>
      <w:r>
        <w:rPr>
          <w:rFonts w:cs="Arial"/>
          <w:i/>
          <w:iCs/>
          <w:color w:val="auto"/>
          <w:sz w:val="20"/>
          <w:szCs w:val="20"/>
        </w:rPr>
        <w:t>Data</w:t>
      </w:r>
      <w:r>
        <w:rPr>
          <w:rFonts w:cs="Arial"/>
          <w:i/>
          <w:iCs/>
          <w:color w:val="auto"/>
          <w:spacing w:val="-1"/>
          <w:sz w:val="20"/>
          <w:szCs w:val="20"/>
        </w:rPr>
        <w:t xml:space="preserve"> </w:t>
      </w:r>
      <w:r>
        <w:rPr>
          <w:rFonts w:cs="Arial"/>
          <w:i/>
          <w:iCs/>
          <w:color w:val="auto"/>
          <w:sz w:val="20"/>
          <w:szCs w:val="20"/>
        </w:rPr>
        <w:t>Protection</w:t>
      </w:r>
      <w:r>
        <w:rPr>
          <w:rFonts w:cs="Arial"/>
          <w:i/>
          <w:iCs/>
          <w:color w:val="auto"/>
          <w:spacing w:val="1"/>
          <w:sz w:val="20"/>
          <w:szCs w:val="20"/>
        </w:rPr>
        <w:t xml:space="preserve"> </w:t>
      </w:r>
      <w:r>
        <w:rPr>
          <w:rFonts w:cs="Arial"/>
          <w:i/>
          <w:iCs/>
          <w:color w:val="auto"/>
          <w:sz w:val="20"/>
          <w:szCs w:val="20"/>
        </w:rPr>
        <w:t>Act.</w:t>
      </w:r>
    </w:p>
    <w:p>
      <w:pPr>
        <w:pStyle w:val="Normal"/>
        <w:rPr/>
      </w:pPr>
      <w:r>
        <w:rPr>
          <w:rFonts w:cs="Arial"/>
          <w:b/>
          <w:bCs/>
          <w:i/>
          <w:iCs/>
          <w:color w:val="auto"/>
          <w:sz w:val="20"/>
          <w:szCs w:val="20"/>
        </w:rPr>
        <w:t>Health and Safety</w:t>
      </w:r>
      <w:r>
        <w:rPr>
          <w:rFonts w:cs="Arial"/>
          <w:i/>
          <w:iCs/>
          <w:color w:val="auto"/>
          <w:sz w:val="20"/>
          <w:szCs w:val="20"/>
        </w:rPr>
        <w:t xml:space="preserve"> - All employees of GMCA have a statutory duty of care for their own</w:t>
      </w:r>
      <w:r>
        <w:rPr>
          <w:rFonts w:cs="Arial"/>
          <w:i/>
          <w:iCs/>
          <w:color w:val="auto"/>
          <w:spacing w:val="1"/>
          <w:sz w:val="20"/>
          <w:szCs w:val="20"/>
        </w:rPr>
        <w:t xml:space="preserve"> </w:t>
      </w:r>
      <w:r>
        <w:rPr>
          <w:rFonts w:cs="Arial"/>
          <w:i/>
          <w:iCs/>
          <w:color w:val="auto"/>
          <w:sz w:val="20"/>
          <w:szCs w:val="20"/>
        </w:rPr>
        <w:t>personal</w:t>
      </w:r>
      <w:r>
        <w:rPr>
          <w:rFonts w:cs="Arial"/>
          <w:i/>
          <w:iCs/>
          <w:color w:val="auto"/>
          <w:spacing w:val="-9"/>
          <w:sz w:val="20"/>
          <w:szCs w:val="20"/>
        </w:rPr>
        <w:t xml:space="preserve"> </w:t>
      </w:r>
      <w:r>
        <w:rPr>
          <w:rFonts w:cs="Arial"/>
          <w:i/>
          <w:iCs/>
          <w:color w:val="auto"/>
          <w:sz w:val="20"/>
          <w:szCs w:val="20"/>
        </w:rPr>
        <w:t>safety</w:t>
      </w:r>
      <w:r>
        <w:rPr>
          <w:rFonts w:cs="Arial"/>
          <w:i/>
          <w:iCs/>
          <w:color w:val="auto"/>
          <w:spacing w:val="-9"/>
          <w:sz w:val="20"/>
          <w:szCs w:val="20"/>
        </w:rPr>
        <w:t xml:space="preserve"> </w:t>
      </w:r>
      <w:r>
        <w:rPr>
          <w:rFonts w:cs="Arial"/>
          <w:i/>
          <w:iCs/>
          <w:color w:val="auto"/>
          <w:sz w:val="20"/>
          <w:szCs w:val="20"/>
        </w:rPr>
        <w:t>and</w:t>
      </w:r>
      <w:r>
        <w:rPr>
          <w:rFonts w:cs="Arial"/>
          <w:i/>
          <w:iCs/>
          <w:color w:val="auto"/>
          <w:spacing w:val="-8"/>
          <w:sz w:val="20"/>
          <w:szCs w:val="20"/>
        </w:rPr>
        <w:t xml:space="preserve"> </w:t>
      </w:r>
      <w:r>
        <w:rPr>
          <w:rFonts w:cs="Arial"/>
          <w:i/>
          <w:iCs/>
          <w:color w:val="auto"/>
          <w:sz w:val="20"/>
          <w:szCs w:val="20"/>
        </w:rPr>
        <w:t>that</w:t>
      </w:r>
      <w:r>
        <w:rPr>
          <w:rFonts w:cs="Arial"/>
          <w:i/>
          <w:iCs/>
          <w:color w:val="auto"/>
          <w:spacing w:val="-9"/>
          <w:sz w:val="20"/>
          <w:szCs w:val="20"/>
        </w:rPr>
        <w:t xml:space="preserve"> </w:t>
      </w:r>
      <w:r>
        <w:rPr>
          <w:rFonts w:cs="Arial"/>
          <w:i/>
          <w:iCs/>
          <w:color w:val="auto"/>
          <w:sz w:val="20"/>
          <w:szCs w:val="20"/>
        </w:rPr>
        <w:t>of</w:t>
      </w:r>
      <w:r>
        <w:rPr>
          <w:rFonts w:cs="Arial"/>
          <w:i/>
          <w:iCs/>
          <w:color w:val="auto"/>
          <w:spacing w:val="-3"/>
          <w:sz w:val="20"/>
          <w:szCs w:val="20"/>
        </w:rPr>
        <w:t xml:space="preserve"> </w:t>
      </w:r>
      <w:r>
        <w:rPr>
          <w:rFonts w:cs="Arial"/>
          <w:i/>
          <w:iCs/>
          <w:color w:val="auto"/>
          <w:sz w:val="20"/>
          <w:szCs w:val="20"/>
        </w:rPr>
        <w:t>others</w:t>
      </w:r>
      <w:r>
        <w:rPr>
          <w:rFonts w:cs="Arial"/>
          <w:i/>
          <w:iCs/>
          <w:color w:val="auto"/>
          <w:spacing w:val="-7"/>
          <w:sz w:val="20"/>
          <w:szCs w:val="20"/>
        </w:rPr>
        <w:t xml:space="preserve"> </w:t>
      </w:r>
      <w:r>
        <w:rPr>
          <w:rFonts w:cs="Arial"/>
          <w:i/>
          <w:iCs/>
          <w:color w:val="auto"/>
          <w:sz w:val="20"/>
          <w:szCs w:val="20"/>
        </w:rPr>
        <w:t>who</w:t>
      </w:r>
      <w:r>
        <w:rPr>
          <w:rFonts w:cs="Arial"/>
          <w:i/>
          <w:iCs/>
          <w:color w:val="auto"/>
          <w:spacing w:val="-7"/>
          <w:sz w:val="20"/>
          <w:szCs w:val="20"/>
        </w:rPr>
        <w:t xml:space="preserve"> </w:t>
      </w:r>
      <w:r>
        <w:rPr>
          <w:rFonts w:cs="Arial"/>
          <w:i/>
          <w:iCs/>
          <w:color w:val="auto"/>
          <w:sz w:val="20"/>
          <w:szCs w:val="20"/>
        </w:rPr>
        <w:t>may</w:t>
      </w:r>
      <w:r>
        <w:rPr>
          <w:rFonts w:cs="Arial"/>
          <w:i/>
          <w:iCs/>
          <w:color w:val="auto"/>
          <w:spacing w:val="-10"/>
          <w:sz w:val="20"/>
          <w:szCs w:val="20"/>
        </w:rPr>
        <w:t xml:space="preserve"> </w:t>
      </w:r>
      <w:r>
        <w:rPr>
          <w:rFonts w:cs="Arial"/>
          <w:i/>
          <w:iCs/>
          <w:color w:val="auto"/>
          <w:sz w:val="20"/>
          <w:szCs w:val="20"/>
        </w:rPr>
        <w:t>be</w:t>
      </w:r>
      <w:r>
        <w:rPr>
          <w:rFonts w:cs="Arial"/>
          <w:i/>
          <w:iCs/>
          <w:color w:val="auto"/>
          <w:spacing w:val="-8"/>
          <w:sz w:val="20"/>
          <w:szCs w:val="20"/>
        </w:rPr>
        <w:t xml:space="preserve"> </w:t>
      </w:r>
      <w:r>
        <w:rPr>
          <w:rFonts w:cs="Arial"/>
          <w:i/>
          <w:iCs/>
          <w:color w:val="auto"/>
          <w:sz w:val="20"/>
          <w:szCs w:val="20"/>
        </w:rPr>
        <w:t>affected</w:t>
      </w:r>
      <w:r>
        <w:rPr>
          <w:rFonts w:cs="Arial"/>
          <w:i/>
          <w:iCs/>
          <w:color w:val="auto"/>
          <w:spacing w:val="-7"/>
          <w:sz w:val="20"/>
          <w:szCs w:val="20"/>
        </w:rPr>
        <w:t xml:space="preserve"> </w:t>
      </w:r>
      <w:r>
        <w:rPr>
          <w:rFonts w:cs="Arial"/>
          <w:i/>
          <w:iCs/>
          <w:color w:val="auto"/>
          <w:sz w:val="20"/>
          <w:szCs w:val="20"/>
        </w:rPr>
        <w:t>by</w:t>
      </w:r>
      <w:r>
        <w:rPr>
          <w:rFonts w:cs="Arial"/>
          <w:i/>
          <w:iCs/>
          <w:color w:val="auto"/>
          <w:spacing w:val="-10"/>
          <w:sz w:val="20"/>
          <w:szCs w:val="20"/>
        </w:rPr>
        <w:t xml:space="preserve"> </w:t>
      </w:r>
      <w:r>
        <w:rPr>
          <w:rFonts w:cs="Arial"/>
          <w:i/>
          <w:iCs/>
          <w:color w:val="auto"/>
          <w:sz w:val="20"/>
          <w:szCs w:val="20"/>
        </w:rPr>
        <w:t>their</w:t>
      </w:r>
      <w:r>
        <w:rPr>
          <w:rFonts w:cs="Arial"/>
          <w:i/>
          <w:iCs/>
          <w:color w:val="auto"/>
          <w:spacing w:val="-6"/>
          <w:sz w:val="20"/>
          <w:szCs w:val="20"/>
        </w:rPr>
        <w:t xml:space="preserve"> </w:t>
      </w:r>
      <w:r>
        <w:rPr>
          <w:rFonts w:cs="Arial"/>
          <w:i/>
          <w:iCs/>
          <w:color w:val="auto"/>
          <w:sz w:val="20"/>
          <w:szCs w:val="20"/>
        </w:rPr>
        <w:t>acts</w:t>
      </w:r>
      <w:r>
        <w:rPr>
          <w:rFonts w:cs="Arial"/>
          <w:i/>
          <w:iCs/>
          <w:color w:val="auto"/>
          <w:spacing w:val="-7"/>
          <w:sz w:val="20"/>
          <w:szCs w:val="20"/>
        </w:rPr>
        <w:t xml:space="preserve"> </w:t>
      </w:r>
      <w:r>
        <w:rPr>
          <w:rFonts w:cs="Arial"/>
          <w:i/>
          <w:iCs/>
          <w:color w:val="auto"/>
          <w:sz w:val="20"/>
          <w:szCs w:val="20"/>
        </w:rPr>
        <w:t>or</w:t>
      </w:r>
      <w:r>
        <w:rPr>
          <w:rFonts w:cs="Arial"/>
          <w:i/>
          <w:iCs/>
          <w:color w:val="auto"/>
          <w:spacing w:val="-6"/>
          <w:sz w:val="20"/>
          <w:szCs w:val="20"/>
        </w:rPr>
        <w:t xml:space="preserve"> </w:t>
      </w:r>
      <w:r>
        <w:rPr>
          <w:rFonts w:cs="Arial"/>
          <w:i/>
          <w:iCs/>
          <w:color w:val="auto"/>
          <w:sz w:val="20"/>
          <w:szCs w:val="20"/>
        </w:rPr>
        <w:t>omissions.</w:t>
      </w:r>
      <w:r>
        <w:rPr>
          <w:rFonts w:cs="Arial"/>
          <w:i/>
          <w:iCs/>
          <w:color w:val="auto"/>
          <w:spacing w:val="-5"/>
          <w:sz w:val="20"/>
          <w:szCs w:val="20"/>
        </w:rPr>
        <w:t xml:space="preserve"> </w:t>
      </w:r>
      <w:r>
        <w:rPr>
          <w:rFonts w:cs="Arial"/>
          <w:i/>
          <w:iCs/>
          <w:color w:val="auto"/>
          <w:sz w:val="20"/>
          <w:szCs w:val="20"/>
        </w:rPr>
        <w:t>Employees</w:t>
      </w:r>
      <w:r>
        <w:rPr>
          <w:rFonts w:cs="Arial"/>
          <w:i/>
          <w:iCs/>
          <w:color w:val="auto"/>
          <w:spacing w:val="-59"/>
          <w:sz w:val="20"/>
          <w:szCs w:val="20"/>
        </w:rPr>
        <w:t xml:space="preserve"> </w:t>
      </w:r>
      <w:r>
        <w:rPr>
          <w:rFonts w:cs="Arial"/>
          <w:i/>
          <w:iCs/>
          <w:color w:val="auto"/>
          <w:sz w:val="20"/>
          <w:szCs w:val="20"/>
        </w:rPr>
        <w:t>are required to co-operate with management to enable GMCA to meet its own legal duties</w:t>
      </w:r>
      <w:r>
        <w:rPr>
          <w:rFonts w:cs="Arial"/>
          <w:i/>
          <w:iCs/>
          <w:color w:val="auto"/>
          <w:spacing w:val="1"/>
          <w:sz w:val="20"/>
          <w:szCs w:val="20"/>
        </w:rPr>
        <w:t xml:space="preserve"> </w:t>
      </w:r>
      <w:r>
        <w:rPr>
          <w:rFonts w:cs="Arial"/>
          <w:i/>
          <w:iCs/>
          <w:color w:val="auto"/>
          <w:sz w:val="20"/>
          <w:szCs w:val="20"/>
        </w:rPr>
        <w:t>and</w:t>
      </w:r>
      <w:r>
        <w:rPr>
          <w:rFonts w:cs="Arial"/>
          <w:i/>
          <w:iCs/>
          <w:color w:val="auto"/>
          <w:spacing w:val="-5"/>
          <w:sz w:val="20"/>
          <w:szCs w:val="20"/>
        </w:rPr>
        <w:t xml:space="preserve"> </w:t>
      </w:r>
      <w:r>
        <w:rPr>
          <w:rFonts w:cs="Arial"/>
          <w:i/>
          <w:iCs/>
          <w:color w:val="auto"/>
          <w:sz w:val="20"/>
          <w:szCs w:val="20"/>
        </w:rPr>
        <w:t>to</w:t>
      </w:r>
      <w:r>
        <w:rPr>
          <w:rFonts w:cs="Arial"/>
          <w:i/>
          <w:iCs/>
          <w:color w:val="auto"/>
          <w:spacing w:val="-5"/>
          <w:sz w:val="20"/>
          <w:szCs w:val="20"/>
        </w:rPr>
        <w:t xml:space="preserve"> </w:t>
      </w:r>
      <w:r>
        <w:rPr>
          <w:rFonts w:cs="Arial"/>
          <w:i/>
          <w:iCs/>
          <w:color w:val="auto"/>
          <w:sz w:val="20"/>
          <w:szCs w:val="20"/>
        </w:rPr>
        <w:t>report</w:t>
      </w:r>
      <w:r>
        <w:rPr>
          <w:rFonts w:cs="Arial"/>
          <w:i/>
          <w:iCs/>
          <w:color w:val="auto"/>
          <w:spacing w:val="-4"/>
          <w:sz w:val="20"/>
          <w:szCs w:val="20"/>
        </w:rPr>
        <w:t xml:space="preserve"> </w:t>
      </w:r>
      <w:r>
        <w:rPr>
          <w:rFonts w:cs="Arial"/>
          <w:i/>
          <w:iCs/>
          <w:color w:val="auto"/>
          <w:sz w:val="20"/>
          <w:szCs w:val="20"/>
        </w:rPr>
        <w:t>any</w:t>
      </w:r>
      <w:r>
        <w:rPr>
          <w:rFonts w:cs="Arial"/>
          <w:i/>
          <w:iCs/>
          <w:color w:val="auto"/>
          <w:spacing w:val="-8"/>
          <w:sz w:val="20"/>
          <w:szCs w:val="20"/>
        </w:rPr>
        <w:t xml:space="preserve"> </w:t>
      </w:r>
      <w:r>
        <w:rPr>
          <w:rFonts w:cs="Arial"/>
          <w:i/>
          <w:iCs/>
          <w:color w:val="auto"/>
          <w:sz w:val="20"/>
          <w:szCs w:val="20"/>
        </w:rPr>
        <w:t>circumstances</w:t>
      </w:r>
      <w:r>
        <w:rPr>
          <w:rFonts w:cs="Arial"/>
          <w:i/>
          <w:iCs/>
          <w:color w:val="auto"/>
          <w:spacing w:val="-7"/>
          <w:sz w:val="20"/>
          <w:szCs w:val="20"/>
        </w:rPr>
        <w:t xml:space="preserve"> </w:t>
      </w:r>
      <w:r>
        <w:rPr>
          <w:rFonts w:cs="Arial"/>
          <w:i/>
          <w:iCs/>
          <w:color w:val="auto"/>
          <w:sz w:val="20"/>
          <w:szCs w:val="20"/>
        </w:rPr>
        <w:t>that</w:t>
      </w:r>
      <w:r>
        <w:rPr>
          <w:rFonts w:cs="Arial"/>
          <w:i/>
          <w:iCs/>
          <w:color w:val="auto"/>
          <w:spacing w:val="-5"/>
          <w:sz w:val="20"/>
          <w:szCs w:val="20"/>
        </w:rPr>
        <w:t xml:space="preserve"> </w:t>
      </w:r>
      <w:r>
        <w:rPr>
          <w:rFonts w:cs="Arial"/>
          <w:i/>
          <w:iCs/>
          <w:color w:val="auto"/>
          <w:sz w:val="20"/>
          <w:szCs w:val="20"/>
        </w:rPr>
        <w:t>may</w:t>
      </w:r>
      <w:r>
        <w:rPr>
          <w:rFonts w:cs="Arial"/>
          <w:i/>
          <w:iCs/>
          <w:color w:val="auto"/>
          <w:spacing w:val="-8"/>
          <w:sz w:val="20"/>
          <w:szCs w:val="20"/>
        </w:rPr>
        <w:t xml:space="preserve"> </w:t>
      </w:r>
      <w:r>
        <w:rPr>
          <w:rFonts w:cs="Arial"/>
          <w:i/>
          <w:iCs/>
          <w:color w:val="auto"/>
          <w:sz w:val="20"/>
          <w:szCs w:val="20"/>
        </w:rPr>
        <w:t>compromise</w:t>
      </w:r>
      <w:r>
        <w:rPr>
          <w:rFonts w:cs="Arial"/>
          <w:i/>
          <w:iCs/>
          <w:color w:val="auto"/>
          <w:spacing w:val="-4"/>
          <w:sz w:val="20"/>
          <w:szCs w:val="20"/>
        </w:rPr>
        <w:t xml:space="preserve"> </w:t>
      </w:r>
      <w:r>
        <w:rPr>
          <w:rFonts w:cs="Arial"/>
          <w:i/>
          <w:iCs/>
          <w:color w:val="auto"/>
          <w:sz w:val="20"/>
          <w:szCs w:val="20"/>
        </w:rPr>
        <w:t>the</w:t>
      </w:r>
      <w:r>
        <w:rPr>
          <w:rFonts w:cs="Arial"/>
          <w:i/>
          <w:iCs/>
          <w:color w:val="auto"/>
          <w:spacing w:val="-6"/>
          <w:sz w:val="20"/>
          <w:szCs w:val="20"/>
        </w:rPr>
        <w:t xml:space="preserve"> </w:t>
      </w:r>
      <w:r>
        <w:rPr>
          <w:rFonts w:cs="Arial"/>
          <w:i/>
          <w:iCs/>
          <w:color w:val="auto"/>
          <w:sz w:val="20"/>
          <w:szCs w:val="20"/>
        </w:rPr>
        <w:t>health,</w:t>
      </w:r>
      <w:r>
        <w:rPr>
          <w:rFonts w:cs="Arial"/>
          <w:i/>
          <w:iCs/>
          <w:color w:val="auto"/>
          <w:spacing w:val="-4"/>
          <w:sz w:val="20"/>
          <w:szCs w:val="20"/>
        </w:rPr>
        <w:t xml:space="preserve"> </w:t>
      </w:r>
      <w:r>
        <w:rPr>
          <w:rFonts w:cs="Arial"/>
          <w:i/>
          <w:iCs/>
          <w:color w:val="auto"/>
          <w:sz w:val="20"/>
          <w:szCs w:val="20"/>
        </w:rPr>
        <w:t>safety</w:t>
      </w:r>
      <w:r>
        <w:rPr>
          <w:rFonts w:cs="Arial"/>
          <w:i/>
          <w:iCs/>
          <w:color w:val="auto"/>
          <w:spacing w:val="-7"/>
          <w:sz w:val="20"/>
          <w:szCs w:val="20"/>
        </w:rPr>
        <w:t xml:space="preserve"> </w:t>
      </w:r>
      <w:r>
        <w:rPr>
          <w:rFonts w:cs="Arial"/>
          <w:i/>
          <w:iCs/>
          <w:color w:val="auto"/>
          <w:sz w:val="20"/>
          <w:szCs w:val="20"/>
        </w:rPr>
        <w:t>and</w:t>
      </w:r>
      <w:r>
        <w:rPr>
          <w:rFonts w:cs="Arial"/>
          <w:i/>
          <w:iCs/>
          <w:color w:val="auto"/>
          <w:spacing w:val="-5"/>
          <w:sz w:val="20"/>
          <w:szCs w:val="20"/>
        </w:rPr>
        <w:t xml:space="preserve"> </w:t>
      </w:r>
      <w:r>
        <w:rPr>
          <w:rFonts w:cs="Arial"/>
          <w:i/>
          <w:iCs/>
          <w:color w:val="auto"/>
          <w:sz w:val="20"/>
          <w:szCs w:val="20"/>
        </w:rPr>
        <w:t>welfare</w:t>
      </w:r>
      <w:r>
        <w:rPr>
          <w:rFonts w:cs="Arial"/>
          <w:i/>
          <w:iCs/>
          <w:color w:val="auto"/>
          <w:spacing w:val="-4"/>
          <w:sz w:val="20"/>
          <w:szCs w:val="20"/>
        </w:rPr>
        <w:t xml:space="preserve"> </w:t>
      </w:r>
      <w:r>
        <w:rPr>
          <w:rFonts w:cs="Arial"/>
          <w:i/>
          <w:iCs/>
          <w:color w:val="auto"/>
          <w:sz w:val="20"/>
          <w:szCs w:val="20"/>
        </w:rPr>
        <w:t>of</w:t>
      </w:r>
      <w:r>
        <w:rPr>
          <w:rFonts w:cs="Arial"/>
          <w:i/>
          <w:iCs/>
          <w:color w:val="auto"/>
          <w:spacing w:val="-4"/>
          <w:sz w:val="20"/>
          <w:szCs w:val="20"/>
        </w:rPr>
        <w:t xml:space="preserve"> </w:t>
      </w:r>
      <w:r>
        <w:rPr>
          <w:rFonts w:cs="Arial"/>
          <w:i/>
          <w:iCs/>
          <w:color w:val="auto"/>
          <w:sz w:val="20"/>
          <w:szCs w:val="20"/>
        </w:rPr>
        <w:t>those</w:t>
      </w:r>
      <w:r>
        <w:rPr>
          <w:rFonts w:cs="Arial"/>
          <w:i/>
          <w:iCs/>
          <w:color w:val="auto"/>
          <w:spacing w:val="-59"/>
          <w:sz w:val="20"/>
          <w:szCs w:val="20"/>
        </w:rPr>
        <w:t xml:space="preserve"> </w:t>
      </w:r>
      <w:r>
        <w:rPr>
          <w:rFonts w:cs="Arial"/>
          <w:i/>
          <w:iCs/>
          <w:color w:val="auto"/>
          <w:sz w:val="20"/>
          <w:szCs w:val="20"/>
        </w:rPr>
        <w:t>affected by</w:t>
      </w:r>
      <w:r>
        <w:rPr>
          <w:rFonts w:cs="Arial"/>
          <w:i/>
          <w:iCs/>
          <w:color w:val="auto"/>
          <w:spacing w:val="-4"/>
          <w:sz w:val="20"/>
          <w:szCs w:val="20"/>
        </w:rPr>
        <w:t xml:space="preserve"> </w:t>
      </w:r>
      <w:r>
        <w:rPr>
          <w:rFonts w:cs="Arial"/>
          <w:i/>
          <w:iCs/>
          <w:color w:val="auto"/>
          <w:sz w:val="20"/>
          <w:szCs w:val="20"/>
        </w:rPr>
        <w:t>the Service’s</w:t>
      </w:r>
      <w:r>
        <w:rPr>
          <w:rFonts w:cs="Arial"/>
          <w:i/>
          <w:iCs/>
          <w:color w:val="auto"/>
          <w:spacing w:val="2"/>
          <w:sz w:val="20"/>
          <w:szCs w:val="20"/>
        </w:rPr>
        <w:t xml:space="preserve"> </w:t>
      </w:r>
      <w:r>
        <w:rPr>
          <w:rFonts w:cs="Arial"/>
          <w:i/>
          <w:iCs/>
          <w:color w:val="auto"/>
          <w:sz w:val="20"/>
          <w:szCs w:val="20"/>
        </w:rPr>
        <w:t>undertakings.</w:t>
      </w:r>
    </w:p>
    <w:p>
      <w:pPr>
        <w:pStyle w:val="Normal"/>
        <w:rPr/>
      </w:pPr>
      <w:r>
        <w:rPr>
          <w:rFonts w:cs="Arial"/>
          <w:b/>
          <w:bCs/>
          <w:i/>
          <w:iCs/>
          <w:color w:val="auto"/>
          <w:sz w:val="20"/>
          <w:szCs w:val="20"/>
        </w:rPr>
        <w:t>Service Policies</w:t>
      </w:r>
      <w:r>
        <w:rPr>
          <w:rFonts w:cs="Arial"/>
          <w:i/>
          <w:iCs/>
          <w:color w:val="auto"/>
          <w:sz w:val="20"/>
          <w:szCs w:val="20"/>
        </w:rPr>
        <w:t xml:space="preserve"> - All GMCA employees must observe and adhere to the provisions outlined</w:t>
      </w:r>
      <w:r>
        <w:rPr>
          <w:rFonts w:cs="Arial"/>
          <w:i/>
          <w:iCs/>
          <w:color w:val="auto"/>
          <w:spacing w:val="-59"/>
          <w:sz w:val="20"/>
          <w:szCs w:val="20"/>
        </w:rPr>
        <w:t xml:space="preserve"> </w:t>
      </w:r>
      <w:r>
        <w:rPr>
          <w:rFonts w:cs="Arial"/>
          <w:i/>
          <w:iCs/>
          <w:color w:val="auto"/>
          <w:sz w:val="20"/>
          <w:szCs w:val="20"/>
        </w:rPr>
        <w:t>in</w:t>
      </w:r>
      <w:r>
        <w:rPr>
          <w:rFonts w:cs="Arial"/>
          <w:i/>
          <w:iCs/>
          <w:color w:val="auto"/>
          <w:spacing w:val="-1"/>
          <w:sz w:val="20"/>
          <w:szCs w:val="20"/>
        </w:rPr>
        <w:t xml:space="preserve"> </w:t>
      </w:r>
      <w:r>
        <w:rPr>
          <w:rFonts w:cs="Arial"/>
          <w:i/>
          <w:iCs/>
          <w:color w:val="auto"/>
          <w:sz w:val="20"/>
          <w:szCs w:val="20"/>
        </w:rPr>
        <w:t>these policies.</w:t>
      </w:r>
    </w:p>
    <w:p>
      <w:pPr>
        <w:pStyle w:val="Normal"/>
        <w:widowControl w:val="false"/>
        <w:bidi w:val="0"/>
        <w:spacing w:lineRule="auto" w:line="360" w:before="0" w:after="240"/>
        <w:jc w:val="left"/>
        <w:rPr/>
      </w:pPr>
      <w:r>
        <w:rPr>
          <w:rFonts w:cs="Arial"/>
          <w:b/>
          <w:bCs/>
          <w:i/>
          <w:iCs/>
          <w:color w:val="auto"/>
          <w:sz w:val="20"/>
          <w:szCs w:val="20"/>
        </w:rPr>
        <w:t>Equal Opportunities</w:t>
      </w:r>
      <w:r>
        <w:rPr>
          <w:rFonts w:cs="Arial"/>
          <w:i/>
          <w:iCs/>
          <w:color w:val="auto"/>
          <w:sz w:val="20"/>
          <w:szCs w:val="20"/>
        </w:rPr>
        <w:t xml:space="preserve"> - GMCA provides a range of services and employment</w:t>
      </w:r>
      <w:r>
        <w:rPr>
          <w:rFonts w:cs="Arial"/>
          <w:i/>
          <w:iCs/>
          <w:color w:val="auto"/>
          <w:spacing w:val="1"/>
          <w:sz w:val="20"/>
          <w:szCs w:val="20"/>
        </w:rPr>
        <w:t xml:space="preserve"> </w:t>
      </w:r>
      <w:r>
        <w:rPr>
          <w:rFonts w:cs="Arial"/>
          <w:i/>
          <w:iCs/>
          <w:color w:val="auto"/>
          <w:sz w:val="20"/>
          <w:szCs w:val="20"/>
        </w:rPr>
        <w:t xml:space="preserve">opportunities for a diverse population. As a GMCA employee you are expected to treat all </w:t>
      </w:r>
      <w:r>
        <w:rPr>
          <w:rFonts w:cs="Arial"/>
          <w:i/>
          <w:iCs/>
          <w:color w:val="auto"/>
          <w:spacing w:val="-59"/>
          <w:sz w:val="20"/>
          <w:szCs w:val="20"/>
        </w:rPr>
        <w:t xml:space="preserve"> </w:t>
      </w:r>
      <w:r>
        <w:rPr>
          <w:rFonts w:cs="Arial"/>
          <w:i/>
          <w:iCs/>
          <w:color w:val="auto"/>
          <w:sz w:val="20"/>
          <w:szCs w:val="20"/>
        </w:rPr>
        <w:t>employees / partners / members of the public and work colleagues with dignity and</w:t>
      </w:r>
      <w:r>
        <w:rPr>
          <w:rFonts w:cs="Arial"/>
          <w:i/>
          <w:iCs/>
          <w:color w:val="auto"/>
          <w:spacing w:val="1"/>
          <w:sz w:val="20"/>
          <w:szCs w:val="20"/>
        </w:rPr>
        <w:t xml:space="preserve"> </w:t>
      </w:r>
      <w:r>
        <w:rPr>
          <w:rFonts w:cs="Arial"/>
          <w:i/>
          <w:iCs/>
          <w:color w:val="auto"/>
          <w:sz w:val="20"/>
          <w:szCs w:val="20"/>
        </w:rPr>
        <w:t>respect</w:t>
      </w:r>
      <w:r>
        <w:rPr>
          <w:rFonts w:cs="Arial"/>
          <w:i/>
          <w:iCs/>
          <w:color w:val="auto"/>
          <w:spacing w:val="-2"/>
          <w:sz w:val="20"/>
          <w:szCs w:val="20"/>
        </w:rPr>
        <w:t xml:space="preserve"> </w:t>
      </w:r>
      <w:r>
        <w:rPr>
          <w:rFonts w:cs="Arial"/>
          <w:i/>
          <w:iCs/>
          <w:color w:val="auto"/>
          <w:sz w:val="20"/>
          <w:szCs w:val="20"/>
        </w:rPr>
        <w:t>irrespective</w:t>
      </w:r>
      <w:r>
        <w:rPr>
          <w:rFonts w:cs="Arial"/>
          <w:i/>
          <w:iCs/>
          <w:color w:val="auto"/>
          <w:spacing w:val="1"/>
          <w:sz w:val="20"/>
          <w:szCs w:val="20"/>
        </w:rPr>
        <w:t xml:space="preserve"> </w:t>
      </w:r>
      <w:r>
        <w:rPr>
          <w:rFonts w:cs="Arial"/>
          <w:i/>
          <w:iCs/>
          <w:color w:val="auto"/>
          <w:sz w:val="20"/>
          <w:szCs w:val="20"/>
        </w:rPr>
        <w:t>of</w:t>
      </w:r>
      <w:r>
        <w:rPr>
          <w:rFonts w:cs="Arial"/>
          <w:i/>
          <w:iCs/>
          <w:color w:val="auto"/>
          <w:spacing w:val="2"/>
          <w:sz w:val="20"/>
          <w:szCs w:val="20"/>
        </w:rPr>
        <w:t xml:space="preserve"> </w:t>
      </w:r>
      <w:r>
        <w:rPr>
          <w:rFonts w:cs="Arial"/>
          <w:i/>
          <w:iCs/>
          <w:color w:val="auto"/>
          <w:sz w:val="20"/>
          <w:szCs w:val="20"/>
        </w:rPr>
        <w:t>their</w:t>
      </w:r>
      <w:r>
        <w:rPr>
          <w:rFonts w:cs="Arial"/>
          <w:i/>
          <w:iCs/>
          <w:color w:val="auto"/>
          <w:spacing w:val="2"/>
          <w:sz w:val="20"/>
          <w:szCs w:val="20"/>
        </w:rPr>
        <w:t xml:space="preserve"> </w:t>
      </w:r>
      <w:r>
        <w:rPr>
          <w:rFonts w:cs="Arial"/>
          <w:i/>
          <w:iCs/>
          <w:color w:val="auto"/>
          <w:sz w:val="20"/>
          <w:szCs w:val="20"/>
        </w:rPr>
        <w:t>background.</w:t>
      </w:r>
    </w:p>
    <w:sectPr>
      <w:headerReference w:type="default" r:id="rId8"/>
      <w:footerReference w:type="default" r:id="rId9"/>
      <w:type w:val="nextPage"/>
      <w:pgSz w:w="11906" w:h="16850"/>
      <w:pgMar w:left="720" w:right="720" w:header="709" w:top="766" w:footer="0" w:bottom="720"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1</w:t>
    </w:r>
    <w:r>
      <w:rPr/>
      <w:fldChar w:fldCharType="end"/>
    </w:r>
  </w:p>
  <w:p>
    <w:pPr>
      <w:pStyle w:val="Footer"/>
      <w:spacing w:before="0" w:after="2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0</w:t>
    </w:r>
    <w:r>
      <w:rPr/>
      <w:fldChar w:fldCharType="end"/>
    </w:r>
  </w:p>
  <w:p>
    <w:pPr>
      <w:pStyle w:val="TextBody"/>
      <w:spacing w:before="0" w:after="24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2</w:t>
    </w:r>
    <w:r>
      <w:rPr/>
      <w:fldChar w:fldCharType="end"/>
    </w:r>
  </w:p>
  <w:p>
    <w:pPr>
      <w:pStyle w:val="Footer"/>
      <w:spacing w:before="0" w:after="24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8</w:t>
    </w:r>
    <w:r>
      <w:rPr/>
      <w:fldChar w:fldCharType="end"/>
    </w:r>
  </w:p>
  <w:p>
    <w:pPr>
      <w:pStyle w:val="TextBody"/>
      <w:spacing w:before="0" w:after="24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drawing>
        <wp:anchor behindDoc="1" distT="0" distB="0" distL="0" distR="0" simplePos="0" locked="0" layoutInCell="1" allowOverlap="1" relativeHeight="2">
          <wp:simplePos x="0" y="0"/>
          <wp:positionH relativeFrom="column">
            <wp:posOffset>4396740</wp:posOffset>
          </wp:positionH>
          <wp:positionV relativeFrom="paragraph">
            <wp:posOffset>-304165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r>
      <w:rPr/>
      <w:t>L</w:t>
    </w:r>
    <w:r>
      <w:rPr/>
      <w:t>ast reviewed: August 2026</w:t>
    </w:r>
  </w:p>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w:r>
  </w:p>
  <w:p>
    <w:pPr>
      <w:pStyle w:val="Header"/>
      <w:spacing w:before="0" w:after="24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3">
          <wp:simplePos x="0" y="0"/>
          <wp:positionH relativeFrom="column">
            <wp:posOffset>4718050</wp:posOffset>
          </wp:positionH>
          <wp:positionV relativeFrom="paragraph">
            <wp:posOffset>-343535</wp:posOffset>
          </wp:positionV>
          <wp:extent cx="2190115" cy="68643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w:r>
  </w:p>
  <w:p>
    <w:pPr>
      <w:pStyle w:val="Header"/>
      <w:spacing w:before="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color w:val="auto"/>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color w:val="auto"/>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Arial" w:hAnsi="Arial" w:cs="Arial" w:hint="default"/>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color w:val="auto"/>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Arial" w:hAnsi="Arial" w:cs="Aria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Normal.dotm</Template>
  <TotalTime>25</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2</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