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261" w:hanging="0"/>
        <w:jc w:val="center"/>
        <w:rPr>
          <w:rFonts w:eastAsia="Calibri"/>
          <w:b/>
          <w:b/>
          <w:bCs/>
          <w:iCs/>
          <w:sz w:val="28"/>
          <w:szCs w:val="28"/>
        </w:rPr>
      </w:pPr>
      <w:r>
        <w:rPr>
          <w:rFonts w:eastAsia="Calibri"/>
          <w:b/>
          <w:bCs/>
          <w:iCs/>
          <w:sz w:val="28"/>
          <w:szCs w:val="28"/>
        </w:rPr>
        <w:t>Greater Manchester Combined Authority (GMCA)</w:t>
      </w:r>
    </w:p>
    <w:p>
      <w:pPr>
        <w:pStyle w:val="Body"/>
        <w:ind w:left="0" w:right="261" w:hanging="0"/>
        <w:jc w:val="center"/>
        <w:rPr>
          <w:rFonts w:eastAsia="Calibri"/>
          <w:b/>
          <w:b/>
          <w:bCs/>
          <w:iCs/>
          <w:sz w:val="28"/>
          <w:szCs w:val="28"/>
        </w:rPr>
      </w:pPr>
      <w:r>
        <w:rPr>
          <w:rFonts w:eastAsia="Calibri"/>
          <w:b/>
          <w:bCs/>
          <w:iCs/>
          <w:sz w:val="28"/>
          <w:szCs w:val="28"/>
        </w:rPr>
        <w:t>Role Profile</w:t>
      </w:r>
    </w:p>
    <w:p>
      <w:pPr>
        <w:pStyle w:val="Body"/>
        <w:ind w:left="0" w:right="261" w:hanging="0"/>
        <w:jc w:val="both"/>
        <w:rPr>
          <w:rFonts w:eastAsia="Calibri"/>
          <w:b/>
          <w:b/>
          <w:bCs/>
          <w:i/>
          <w:i/>
          <w:iCs/>
        </w:rPr>
      </w:pPr>
      <w:r>
        <w:rPr>
          <w:rFonts w:eastAsia="Calibri"/>
          <w:b/>
          <w:bCs/>
          <w:i/>
          <w:iCs/>
        </w:rPr>
      </w:r>
    </w:p>
    <w:tbl>
      <w:tblPr>
        <w:tblW w:w="10245" w:type="dxa"/>
        <w:jc w:val="left"/>
        <w:tblInd w:w="-181" w:type="dxa"/>
        <w:tblCellMar>
          <w:top w:w="0" w:type="dxa"/>
          <w:left w:w="108" w:type="dxa"/>
          <w:bottom w:w="0" w:type="dxa"/>
          <w:right w:w="108" w:type="dxa"/>
        </w:tblCellMar>
      </w:tblPr>
      <w:tblGrid>
        <w:gridCol w:w="2004"/>
        <w:gridCol w:w="2831"/>
        <w:gridCol w:w="2171"/>
        <w:gridCol w:w="3239"/>
      </w:tblGrid>
      <w:tr>
        <w:trPr/>
        <w:tc>
          <w:tcPr>
            <w:tcW w:w="2004"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Job Title:</w:t>
            </w:r>
          </w:p>
        </w:tc>
        <w:tc>
          <w:tcPr>
            <w:tcW w:w="2831"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pPr>
            <w:r>
              <w:rPr/>
              <w:t xml:space="preserve">Principal Officer - Sector &amp; Cluster Development </w:t>
            </w:r>
          </w:p>
        </w:tc>
        <w:tc>
          <w:tcPr>
            <w:tcW w:w="2171"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Date:</w:t>
            </w:r>
          </w:p>
        </w:tc>
        <w:tc>
          <w:tcPr>
            <w:tcW w:w="323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bCs/>
                <w:iCs/>
              </w:rPr>
            </w:pPr>
            <w:r>
              <w:rPr>
                <w:bCs/>
                <w:iCs/>
              </w:rPr>
              <w:t>May 2026</w:t>
            </w:r>
          </w:p>
        </w:tc>
      </w:tr>
      <w:tr>
        <w:trPr>
          <w:trHeight w:val="1601" w:hRule="atLeast"/>
        </w:trPr>
        <w:tc>
          <w:tcPr>
            <w:tcW w:w="2004"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Reporting Line:</w:t>
            </w:r>
          </w:p>
        </w:tc>
        <w:tc>
          <w:tcPr>
            <w:tcW w:w="2831" w:type="dxa"/>
            <w:tcBorders>
              <w:top w:val="single" w:sz="4" w:space="0" w:color="000000"/>
              <w:left w:val="single" w:sz="4" w:space="0" w:color="000000"/>
              <w:bottom w:val="single" w:sz="4" w:space="0" w:color="000000"/>
            </w:tcBorders>
            <w:shd w:fill="auto" w:val="clear"/>
            <w:vAlign w:val="center"/>
          </w:tcPr>
          <w:p>
            <w:pPr>
              <w:pStyle w:val="Body"/>
              <w:pBdr/>
              <w:snapToGrid w:val="false"/>
              <w:spacing w:lineRule="auto" w:line="240" w:before="120" w:after="120"/>
              <w:ind w:left="0" w:right="261" w:hanging="0"/>
              <w:rPr/>
            </w:pPr>
            <w:r>
              <w:rPr/>
            </w:r>
          </w:p>
          <w:p>
            <w:pPr>
              <w:pStyle w:val="Body"/>
              <w:pBdr/>
              <w:spacing w:lineRule="auto" w:line="240" w:before="120" w:after="120"/>
              <w:ind w:left="0" w:right="261" w:hanging="0"/>
              <w:rPr>
                <w:rFonts w:eastAsia="Calibri"/>
                <w:bCs/>
                <w:iCs/>
              </w:rPr>
            </w:pPr>
            <w:r>
              <w:rPr>
                <w:rFonts w:eastAsia="Calibri"/>
                <w:bCs/>
                <w:iCs/>
              </w:rPr>
              <w:t>Senior Principal, Innovation Policy and Strategy</w:t>
            </w:r>
          </w:p>
        </w:tc>
        <w:tc>
          <w:tcPr>
            <w:tcW w:w="2171"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Job Level:</w:t>
            </w:r>
          </w:p>
        </w:tc>
        <w:tc>
          <w:tcPr>
            <w:tcW w:w="323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rPr>
            </w:pPr>
            <w:r>
              <w:rPr>
                <w:rFonts w:eastAsia="Calibri"/>
                <w:bCs/>
                <w:iCs/>
              </w:rPr>
              <w:t>Principal, Grade 10</w:t>
            </w:r>
          </w:p>
        </w:tc>
      </w:tr>
      <w:tr>
        <w:trPr/>
        <w:tc>
          <w:tcPr>
            <w:tcW w:w="2004"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Department:</w:t>
            </w:r>
          </w:p>
        </w:tc>
        <w:tc>
          <w:tcPr>
            <w:tcW w:w="2831"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pPr>
            <w:r>
              <w:rPr/>
              <w:t>Economy</w:t>
            </w:r>
          </w:p>
        </w:tc>
        <w:tc>
          <w:tcPr>
            <w:tcW w:w="2171"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Business Area:</w:t>
            </w:r>
          </w:p>
        </w:tc>
        <w:tc>
          <w:tcPr>
            <w:tcW w:w="323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pPr>
            <w:r>
              <w:rPr/>
              <w:t>Local Industrial Strategy</w:t>
            </w:r>
          </w:p>
        </w:tc>
      </w:tr>
    </w:tbl>
    <w:p>
      <w:pPr>
        <w:pStyle w:val="Body"/>
        <w:ind w:left="0" w:right="261" w:hanging="0"/>
        <w:jc w:val="both"/>
        <w:rPr>
          <w:rFonts w:eastAsia="Calibri"/>
          <w:b/>
          <w:b/>
          <w:bCs/>
          <w:i/>
          <w:i/>
          <w:iCs/>
        </w:rPr>
      </w:pPr>
      <w:r>
        <w:rPr>
          <w:rFonts w:eastAsia="Calibri"/>
          <w:b/>
          <w:bCs/>
          <w:i/>
          <w:iCs/>
        </w:rPr>
      </w:r>
    </w:p>
    <w:tbl>
      <w:tblPr>
        <w:tblW w:w="10371" w:type="dxa"/>
        <w:jc w:val="left"/>
        <w:tblInd w:w="-211"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tcPr>
          <w:p>
            <w:pPr>
              <w:pStyle w:val="Heading3"/>
              <w:ind w:left="0" w:right="261" w:hanging="0"/>
              <w:jc w:val="both"/>
              <w:rPr>
                <w:rFonts w:eastAsia="Calibri"/>
                <w:sz w:val="22"/>
                <w:szCs w:val="22"/>
                <w:lang w:val="en-GB"/>
              </w:rPr>
            </w:pPr>
            <w:r>
              <w:rPr>
                <w:rFonts w:eastAsia="Calibri"/>
                <w:sz w:val="22"/>
                <w:szCs w:val="22"/>
                <w:lang w:val="en-GB"/>
              </w:rPr>
              <w:t>JOB PURPOSE</w:t>
            </w:r>
          </w:p>
        </w:tc>
      </w:tr>
      <w:tr>
        <w:trPr>
          <w:trHeight w:val="180"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spacing w:before="60" w:after="160"/>
              <w:rPr>
                <w:rFonts w:ascii="Arial" w:hAnsi="Arial" w:cs="Arial"/>
              </w:rPr>
            </w:pPr>
            <w:r>
              <w:rPr>
                <w:rFonts w:cs="Arial" w:ascii="Arial" w:hAnsi="Arial"/>
              </w:rPr>
              <w:t>The post holder will enable GMCA to lead the delivery of the Greater Manchester Local Growth, and Innovation Plans to support delivery of the Greater Manchester Strategy by:</w:t>
            </w:r>
          </w:p>
          <w:p>
            <w:pPr>
              <w:pStyle w:val="ListParagraph"/>
              <w:numPr>
                <w:ilvl w:val="0"/>
                <w:numId w:val="4"/>
              </w:numPr>
              <w:spacing w:before="60" w:after="0"/>
              <w:rPr/>
            </w:pPr>
            <w:r>
              <w:rPr/>
              <w:t>Leading the development &amp; delivery of the portfolio of Sector Development Plans, working with priority sector leads to ensure that GM’s overall approach to sector and cluster development is coordinated, coherent and effective.</w:t>
            </w:r>
          </w:p>
          <w:p>
            <w:pPr>
              <w:pStyle w:val="ListParagraph"/>
              <w:numPr>
                <w:ilvl w:val="0"/>
                <w:numId w:val="4"/>
              </w:numPr>
              <w:spacing w:before="60" w:after="0"/>
              <w:rPr/>
            </w:pPr>
            <w:r>
              <w:rPr/>
              <w:t>Leading policy development and implementation and act as the sector lead and first point of contact for the Financial Services and Business and Professional Services sectors.</w:t>
            </w:r>
          </w:p>
          <w:p>
            <w:pPr>
              <w:pStyle w:val="ListParagraph"/>
              <w:numPr>
                <w:ilvl w:val="0"/>
                <w:numId w:val="4"/>
              </w:numPr>
              <w:spacing w:before="60" w:after="0"/>
              <w:rPr/>
            </w:pPr>
            <w:r>
              <w:rPr/>
              <w:t>Working with relevant sectors and policy leads to ensuring that spillover opportunities are maximised.</w:t>
            </w:r>
          </w:p>
          <w:p>
            <w:pPr>
              <w:pStyle w:val="ListParagraph"/>
              <w:numPr>
                <w:ilvl w:val="0"/>
                <w:numId w:val="4"/>
              </w:numPr>
              <w:spacing w:before="60" w:after="0"/>
              <w:rPr/>
            </w:pPr>
            <w:r>
              <w:rPr/>
              <w:t>Influencing and providing critical challenge and thought leadership relating to policy and strategy being developed in other parts of GMCA or by partner organisations, including ensuring that the role of GM’s approach to sector and cluster development in its wider growth strategy and good growth ambitions, is effective and well-understood.</w:t>
            </w:r>
          </w:p>
          <w:p>
            <w:pPr>
              <w:pStyle w:val="ListParagraph"/>
              <w:numPr>
                <w:ilvl w:val="0"/>
                <w:numId w:val="8"/>
              </w:numPr>
              <w:spacing w:before="60" w:after="0"/>
              <w:rPr>
                <w:szCs w:val="20"/>
              </w:rPr>
            </w:pPr>
            <w:r>
              <w:rPr>
                <w:szCs w:val="20"/>
              </w:rPr>
              <w:t>Developing partnerships and collaborations that leverage the expertise and capabilities of GM’s knowledge, assets and networks to drive industry-led innovation and productivity growth.</w:t>
            </w:r>
          </w:p>
          <w:p>
            <w:pPr>
              <w:pStyle w:val="ListParagraph"/>
              <w:numPr>
                <w:ilvl w:val="0"/>
                <w:numId w:val="8"/>
              </w:numPr>
              <w:spacing w:before="60" w:after="0"/>
              <w:rPr>
                <w:szCs w:val="20"/>
              </w:rPr>
            </w:pPr>
            <w:r>
              <w:rPr>
                <w:szCs w:val="20"/>
              </w:rPr>
              <w:t>Delivering effective programme management, including working with associated boards to provide assurance and ensure effective governance for key decisions.</w:t>
            </w:r>
          </w:p>
          <w:p>
            <w:pPr>
              <w:pStyle w:val="ListParagraph"/>
              <w:spacing w:before="60" w:after="0"/>
              <w:rPr>
                <w:szCs w:val="20"/>
              </w:rPr>
            </w:pPr>
            <w:r>
              <w:rPr>
                <w:szCs w:val="20"/>
              </w:rPr>
            </w:r>
          </w:p>
          <w:p>
            <w:pPr>
              <w:pStyle w:val="Normal"/>
              <w:spacing w:before="60" w:after="160"/>
              <w:rPr>
                <w:rFonts w:ascii="Arial" w:hAnsi="Arial" w:cs="Arial"/>
                <w:szCs w:val="20"/>
              </w:rPr>
            </w:pPr>
            <w:r>
              <w:rPr>
                <w:rFonts w:cs="Arial" w:ascii="Arial" w:hAnsi="Arial"/>
                <w:szCs w:val="20"/>
              </w:rPr>
              <w:t>The role requires excellent understanding of economic issues and policy as well as an understanding of how this relates to the wider priorities and strategies of the Greater Manchester Combined Authority.</w:t>
            </w:r>
          </w:p>
        </w:tc>
      </w:tr>
    </w:tbl>
    <w:p>
      <w:pPr>
        <w:pStyle w:val="Body"/>
        <w:ind w:left="142" w:right="261" w:hanging="108"/>
        <w:jc w:val="both"/>
        <w:rPr>
          <w:rFonts w:eastAsia="Calibri"/>
          <w:b/>
          <w:b/>
          <w:bCs/>
          <w:i/>
          <w:i/>
          <w:iCs/>
        </w:rPr>
      </w:pPr>
      <w:r>
        <w:rPr>
          <w:rFonts w:eastAsia="Calibri"/>
          <w:b/>
          <w:bCs/>
          <w:i/>
          <w:iCs/>
        </w:rPr>
      </w:r>
    </w:p>
    <w:tbl>
      <w:tblPr>
        <w:tblW w:w="10371" w:type="dxa"/>
        <w:jc w:val="left"/>
        <w:tblInd w:w="-211"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00"/>
              <w:right w:val="single" w:sz="6" w:space="0" w:color="000000"/>
            </w:tcBorders>
            <w:shd w:fill="000000" w:val="clear"/>
          </w:tcPr>
          <w:p>
            <w:pPr>
              <w:pStyle w:val="Body"/>
              <w:ind w:left="0" w:right="261" w:hanging="0"/>
              <w:jc w:val="both"/>
              <w:rPr>
                <w:rFonts w:eastAsia="Calibri"/>
                <w:b/>
                <w:b/>
                <w:bCs/>
                <w:color w:val="FFFFFF"/>
                <w:u w:val="none" w:color="FFFFFF"/>
              </w:rPr>
            </w:pPr>
            <w:r>
              <w:rPr>
                <w:rFonts w:eastAsia="Calibri"/>
                <w:b/>
                <w:bCs/>
                <w:color w:val="FFFFFF"/>
                <w:u w:val="none" w:color="FFFFFF"/>
              </w:rPr>
              <w:t xml:space="preserve">KEY RESPONSIBILITIES </w:t>
            </w:r>
          </w:p>
        </w:tc>
      </w:tr>
      <w:tr>
        <w:trPr>
          <w:trHeight w:val="180" w:hRule="atLeast"/>
        </w:trPr>
        <w:tc>
          <w:tcPr>
            <w:tcW w:w="10371" w:type="dxa"/>
            <w:tcBorders>
              <w:left w:val="single" w:sz="4" w:space="0" w:color="000000"/>
              <w:right w:val="single" w:sz="6" w:space="0" w:color="000000"/>
            </w:tcBorders>
            <w:shd w:fill="auto" w:val="clear"/>
            <w:vAlign w:val="center"/>
          </w:tcPr>
          <w:p>
            <w:pPr>
              <w:pStyle w:val="Normal"/>
              <w:numPr>
                <w:ilvl w:val="0"/>
                <w:numId w:val="3"/>
              </w:numPr>
              <w:spacing w:lineRule="auto" w:line="240" w:before="0" w:after="0"/>
              <w:rPr>
                <w:rFonts w:ascii="Arial" w:hAnsi="Arial" w:cs="Arial"/>
              </w:rPr>
            </w:pPr>
            <w:r>
              <w:rPr>
                <w:rFonts w:cs="Arial" w:ascii="Arial" w:hAnsi="Arial"/>
              </w:rPr>
              <w:t xml:space="preserve">Leading on the design and development of evidence-based policy and initiatives to support sector &amp; cluster development to deliver priorities within the Greater Manchester Local Growth Plan, Innovation Plan, and Greater Manchester Strategy. </w:t>
            </w:r>
          </w:p>
          <w:p>
            <w:pPr>
              <w:pStyle w:val="Normal"/>
              <w:numPr>
                <w:ilvl w:val="0"/>
                <w:numId w:val="3"/>
              </w:numPr>
              <w:spacing w:lineRule="auto" w:line="240" w:before="0" w:after="0"/>
              <w:rPr>
                <w:rFonts w:ascii="Arial" w:hAnsi="Arial" w:cs="Arial"/>
              </w:rPr>
            </w:pPr>
            <w:r>
              <w:rPr>
                <w:rFonts w:cs="Arial" w:ascii="Arial" w:hAnsi="Arial"/>
              </w:rPr>
              <w:t>This role will take a lead in ensuring delivery of priorities relating to sector and cluster development in Financial Services and Business and Professional Services and other priority sectors and clusters.</w:t>
            </w:r>
          </w:p>
          <w:p>
            <w:pPr>
              <w:pStyle w:val="Normal"/>
              <w:numPr>
                <w:ilvl w:val="0"/>
                <w:numId w:val="3"/>
              </w:numPr>
              <w:spacing w:lineRule="auto" w:line="240" w:before="0" w:after="0"/>
              <w:rPr/>
            </w:pPr>
            <w:r>
              <w:rPr>
                <w:rFonts w:cs="Arial" w:ascii="Arial" w:hAnsi="Arial"/>
              </w:rPr>
              <w:t>Acting as a thought leader in economic development and the local economic growth agenda – particularly around sector and cluster development, policy and strategy and</w:t>
            </w:r>
            <w:r>
              <w:rPr>
                <w:rFonts w:eastAsia="游明朝"/>
              </w:rPr>
              <w:t xml:space="preserve"> its role in wider GM growth strategy.</w:t>
            </w:r>
          </w:p>
          <w:p>
            <w:pPr>
              <w:pStyle w:val="Normal"/>
              <w:numPr>
                <w:ilvl w:val="0"/>
                <w:numId w:val="3"/>
              </w:numPr>
              <w:spacing w:lineRule="auto" w:line="240" w:before="0" w:after="0"/>
              <w:rPr>
                <w:rFonts w:ascii="Arial" w:hAnsi="Arial" w:cs="Arial"/>
              </w:rPr>
            </w:pPr>
            <w:r>
              <w:rPr>
                <w:rFonts w:cs="Arial" w:ascii="Arial" w:hAnsi="Arial"/>
              </w:rPr>
              <w:t>Developing and managing meaningful partnerships, including with senior officers at agencies that contribute to local sector and cluster development. This includes but is not limited to Government Departments, UKRI, Innovation Greater Manchester, Growth Company, Invest in Manchester, higher &amp; further education institutions, and bodies that represent industry at a national and local level, as well as other globally renowned clusters/places, to enable knowledge exchange and policy &amp; programme co-development.</w:t>
            </w:r>
          </w:p>
          <w:p>
            <w:pPr>
              <w:pStyle w:val="Normal"/>
              <w:numPr>
                <w:ilvl w:val="0"/>
                <w:numId w:val="3"/>
              </w:numPr>
              <w:spacing w:lineRule="auto" w:line="240" w:before="0" w:after="0"/>
              <w:rPr>
                <w:rFonts w:ascii="Arial" w:hAnsi="Arial" w:cs="Arial"/>
              </w:rPr>
            </w:pPr>
            <w:r>
              <w:rPr>
                <w:rFonts w:cs="Arial" w:ascii="Arial" w:hAnsi="Arial"/>
              </w:rPr>
              <w:t>Leading on external relationships, including representing the CA externally as necessary, and acting as a key point of contact.</w:t>
            </w:r>
          </w:p>
          <w:p>
            <w:pPr>
              <w:pStyle w:val="Normal"/>
              <w:numPr>
                <w:ilvl w:val="0"/>
                <w:numId w:val="3"/>
              </w:numPr>
              <w:spacing w:lineRule="auto" w:line="240" w:before="0" w:after="0"/>
              <w:rPr>
                <w:rFonts w:ascii="Arial" w:hAnsi="Arial" w:cs="Arial"/>
              </w:rPr>
            </w:pPr>
            <w:r>
              <w:rPr>
                <w:rFonts w:cs="Arial" w:ascii="Arial" w:hAnsi="Arial"/>
              </w:rPr>
              <w:t>Negotiating and securing resources in order to implement sector and cluster development priorities. This includes convening local and national partners in order to bid for external funding, as well as influencing the decision-making of external partners.</w:t>
            </w:r>
          </w:p>
          <w:p>
            <w:pPr>
              <w:pStyle w:val="Normal"/>
              <w:numPr>
                <w:ilvl w:val="0"/>
                <w:numId w:val="3"/>
              </w:numPr>
              <w:spacing w:lineRule="auto" w:line="240" w:before="0" w:after="0"/>
              <w:rPr>
                <w:rFonts w:ascii="Arial" w:hAnsi="Arial" w:cs="Arial"/>
              </w:rPr>
            </w:pPr>
            <w:r>
              <w:rPr>
                <w:rFonts w:cs="Arial" w:ascii="Arial" w:hAnsi="Arial"/>
              </w:rPr>
              <w:t>Providing support and challenge to GMCA policy leads as well as to partner agencies (including Transport for Greater Manchester and the Greater Manchester Health and Social Care Partnership) relating to sector and cluster development.</w:t>
            </w:r>
          </w:p>
          <w:p>
            <w:pPr>
              <w:pStyle w:val="Normal"/>
              <w:numPr>
                <w:ilvl w:val="0"/>
                <w:numId w:val="3"/>
              </w:numPr>
              <w:spacing w:lineRule="auto" w:line="240" w:before="0" w:after="0"/>
              <w:rPr>
                <w:rFonts w:ascii="Arial" w:hAnsi="Arial" w:cs="Arial"/>
              </w:rPr>
            </w:pPr>
            <w:r>
              <w:rPr>
                <w:rFonts w:cs="Arial" w:ascii="Arial" w:hAnsi="Arial"/>
              </w:rPr>
              <w:t>Being a key member of the economy portfolio function and associated programme management. This involves collating and presenting regular progress updates to senior leaders, identifying and mitigating key risks, and identifying and coordinating dependencies</w:t>
            </w:r>
          </w:p>
          <w:p>
            <w:pPr>
              <w:pStyle w:val="Normal"/>
              <w:numPr>
                <w:ilvl w:val="0"/>
                <w:numId w:val="3"/>
              </w:numPr>
              <w:spacing w:lineRule="auto" w:line="240" w:before="0" w:after="0"/>
              <w:rPr>
                <w:rFonts w:ascii="Arial" w:hAnsi="Arial" w:cs="Arial"/>
              </w:rPr>
            </w:pPr>
            <w:r>
              <w:rPr>
                <w:rFonts w:cs="Arial" w:ascii="Arial" w:hAnsi="Arial"/>
              </w:rPr>
              <w:t xml:space="preserve">Working with related Boards and Board Members such as, but not limited to, Innovation Greater Manchester, Greater Manchester Economy, Business and Inclusive Growth PDE, the Greater Manchester Growth Board, and the GM Business Alliance. </w:t>
            </w:r>
          </w:p>
          <w:p>
            <w:pPr>
              <w:pStyle w:val="Normal"/>
              <w:numPr>
                <w:ilvl w:val="0"/>
                <w:numId w:val="3"/>
              </w:numPr>
              <w:spacing w:lineRule="auto" w:line="240" w:before="0" w:after="0"/>
              <w:rPr>
                <w:rFonts w:ascii="Arial" w:hAnsi="Arial" w:cs="Arial"/>
                <w:szCs w:val="20"/>
              </w:rPr>
            </w:pPr>
            <w:r>
              <w:rPr>
                <w:rFonts w:cs="Arial" w:ascii="Arial" w:hAnsi="Arial"/>
                <w:szCs w:val="20"/>
              </w:rPr>
              <w:t>Commissioning and managing external contracts to agreed time, cost and quality parameters.</w:t>
            </w:r>
          </w:p>
          <w:p>
            <w:pPr>
              <w:pStyle w:val="Normal"/>
              <w:numPr>
                <w:ilvl w:val="0"/>
                <w:numId w:val="3"/>
              </w:numPr>
              <w:spacing w:lineRule="auto" w:line="240" w:before="0" w:after="0"/>
              <w:rPr>
                <w:rFonts w:ascii="Arial" w:hAnsi="Arial" w:cs="Arial"/>
              </w:rPr>
            </w:pPr>
            <w:r>
              <w:rPr>
                <w:rFonts w:cs="Arial" w:ascii="Arial" w:hAnsi="Arial"/>
              </w:rPr>
              <w:t>Providing timely expertise, advice and comment to senior officers and political and business leaders on issues relating to sector and cluster development in GM, as well as any related economic policy areas. This includes attending meetings and forums alongside senior political and business leaders.</w:t>
            </w:r>
          </w:p>
          <w:p>
            <w:pPr>
              <w:pStyle w:val="ListBullet"/>
              <w:numPr>
                <w:ilvl w:val="0"/>
                <w:numId w:val="3"/>
              </w:numPr>
              <w:tabs>
                <w:tab w:val="left" w:pos="720" w:leader="none"/>
              </w:tabs>
              <w:spacing w:lineRule="auto" w:line="252"/>
              <w:rPr>
                <w:rFonts w:ascii="Arial" w:hAnsi="Arial" w:cs="Arial"/>
              </w:rPr>
            </w:pPr>
            <w:r>
              <w:rPr>
                <w:rFonts w:cs="Arial" w:ascii="Arial" w:hAnsi="Arial"/>
              </w:rPr>
              <w:t xml:space="preserve">A commitment to self-development and supporting the development of others. </w:t>
            </w:r>
          </w:p>
          <w:p>
            <w:pPr>
              <w:pStyle w:val="ListBullet"/>
              <w:numPr>
                <w:ilvl w:val="0"/>
                <w:numId w:val="7"/>
              </w:numPr>
              <w:tabs>
                <w:tab w:val="left" w:pos="720" w:leader="none"/>
              </w:tabs>
              <w:spacing w:lineRule="auto" w:line="252" w:before="0" w:after="0"/>
              <w:contextualSpacing/>
              <w:rPr>
                <w:rFonts w:ascii="Arial" w:hAnsi="Arial" w:cs="Arial"/>
              </w:rPr>
            </w:pPr>
            <w:r>
              <w:rPr>
                <w:rFonts w:cs="Arial" w:ascii="Arial" w:hAnsi="Arial"/>
              </w:rPr>
              <w:t>A commitment to managing personal wellbeing and supporting the wellbeing of others.</w:t>
            </w:r>
          </w:p>
        </w:tc>
      </w:tr>
      <w:tr>
        <w:trPr>
          <w:trHeight w:val="180" w:hRule="atLeast"/>
        </w:trPr>
        <w:tc>
          <w:tcPr>
            <w:tcW w:w="10371" w:type="dxa"/>
            <w:tcBorders>
              <w:left w:val="single" w:sz="4" w:space="0" w:color="000000"/>
              <w:bottom w:val="single" w:sz="4" w:space="0" w:color="000000"/>
              <w:right w:val="single" w:sz="6" w:space="0" w:color="000000"/>
            </w:tcBorders>
            <w:shd w:fill="auto" w:val="clear"/>
            <w:vAlign w:val="center"/>
          </w:tcPr>
          <w:p>
            <w:pPr>
              <w:pStyle w:val="Normal"/>
              <w:snapToGrid w:val="false"/>
              <w:spacing w:before="0" w:after="160"/>
              <w:rPr>
                <w:rFonts w:ascii="Arial" w:hAnsi="Arial" w:cs="Arial"/>
                <w:szCs w:val="20"/>
              </w:rPr>
            </w:pPr>
            <w:r>
              <w:rPr>
                <w:rFonts w:cs="Arial" w:ascii="Arial" w:hAnsi="Arial"/>
                <w:szCs w:val="20"/>
              </w:rPr>
            </w:r>
          </w:p>
        </w:tc>
      </w:tr>
    </w:tbl>
    <w:p>
      <w:pPr>
        <w:pStyle w:val="Body"/>
        <w:ind w:left="0" w:right="261" w:hanging="0"/>
        <w:jc w:val="both"/>
        <w:rPr>
          <w:rFonts w:eastAsia="Calibri"/>
          <w:b/>
          <w:b/>
          <w:bCs/>
          <w:i/>
          <w:i/>
          <w:iCs/>
        </w:rPr>
      </w:pPr>
      <w:r>
        <w:rPr>
          <w:rFonts w:eastAsia="Calibri"/>
          <w:b/>
          <w:bCs/>
          <w:i/>
          <w:iCs/>
        </w:rPr>
      </w:r>
    </w:p>
    <w:p>
      <w:pPr>
        <w:pStyle w:val="Body"/>
        <w:ind w:left="0" w:right="261" w:hanging="0"/>
        <w:jc w:val="both"/>
        <w:rPr>
          <w:rFonts w:eastAsia="Calibri"/>
          <w:b/>
          <w:b/>
          <w:bCs/>
          <w:i/>
          <w:i/>
          <w:iCs/>
        </w:rPr>
      </w:pPr>
      <w:r>
        <w:rPr>
          <w:rFonts w:eastAsia="Calibri"/>
          <w:b/>
          <w:bCs/>
          <w:i/>
          <w:iCs/>
        </w:rPr>
      </w:r>
    </w:p>
    <w:tbl>
      <w:tblPr>
        <w:tblW w:w="10359" w:type="dxa"/>
        <w:jc w:val="left"/>
        <w:tblInd w:w="-209"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tcPr>
          <w:p>
            <w:pPr>
              <w:pStyle w:val="Body"/>
              <w:ind w:left="0" w:right="261" w:hanging="0"/>
              <w:jc w:val="both"/>
              <w:rPr>
                <w:rFonts w:eastAsia="Calibri"/>
                <w:b/>
                <w:b/>
                <w:bCs/>
                <w:color w:val="FFFFFF"/>
                <w:u w:val="none" w:color="FFFFFF"/>
              </w:rPr>
            </w:pPr>
            <w:r>
              <w:rPr>
                <w:rFonts w:eastAsia="Calibri"/>
                <w:b/>
                <w:bCs/>
                <w:color w:val="FFFFFF"/>
                <w:u w:val="none" w:color="FFFFFF"/>
              </w:rPr>
              <w:t>KNOWLEDGE, SKILLS AND EXPERIENCE</w:t>
            </w:r>
          </w:p>
        </w:tc>
      </w:tr>
      <w:tr>
        <w:trPr>
          <w:trHeight w:val="336"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tabs>
                <w:tab w:val="clear" w:pos="720"/>
                <w:tab w:val="left" w:pos="371" w:leader="none"/>
              </w:tabs>
              <w:ind w:left="-283" w:right="0" w:hanging="0"/>
              <w:rPr>
                <w:rFonts w:ascii="Arial" w:hAnsi="Arial" w:cs="Arial"/>
                <w:b/>
                <w:b/>
                <w:bCs/>
              </w:rPr>
            </w:pPr>
            <w:r>
              <w:rPr>
                <w:rFonts w:cs="Arial" w:ascii="Arial" w:hAnsi="Arial"/>
                <w:b/>
                <w:bCs/>
              </w:rPr>
              <w:t>Skills</w:t>
            </w:r>
          </w:p>
          <w:p>
            <w:pPr>
              <w:pStyle w:val="Normal"/>
              <w:spacing w:lineRule="auto" w:line="240" w:before="0" w:after="0"/>
              <w:ind w:left="360" w:right="0" w:hanging="0"/>
              <w:rPr>
                <w:rFonts w:ascii="Arial" w:hAnsi="Arial" w:cs="Arial"/>
                <w:szCs w:val="20"/>
              </w:rPr>
            </w:pPr>
            <w:r>
              <w:rPr>
                <w:rFonts w:cs="Arial" w:ascii="Arial" w:hAnsi="Arial"/>
                <w:szCs w:val="20"/>
              </w:rPr>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Proven ability to develop and implement policies and strategies relating to economic growth</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Project and Programme Management</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Proven ability in establishing and proactively maintaining professional, positive and effective working relationships with internal and external colleagues; Sophisticated understanding of the the priorities of key stakeholders and the political process</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Exceptional ability to negotiate and influence decisions of external agencies and senior officers</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Strong communication, presentation and negotiation skills</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Ability to manage competing priorities, with a creative and outcome-orientated approach to problem solving</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 xml:space="preserve">Ability to fully utilize office IT systems to perform this role </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Analysing and drawing outcome-focused solutions from complex and multiple sources of information</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Ability to act as an ambassador for Greater Manchester and its priorities set out within strategies</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High level of enthusiasm, personal drive, and energy</w:t>
            </w:r>
          </w:p>
          <w:p>
            <w:pPr>
              <w:pStyle w:val="Normal"/>
              <w:ind w:left="360" w:right="0" w:hanging="0"/>
              <w:rPr>
                <w:rFonts w:ascii="Arial" w:hAnsi="Arial" w:cs="Arial"/>
                <w:szCs w:val="20"/>
              </w:rPr>
            </w:pPr>
            <w:r>
              <w:rPr>
                <w:rFonts w:cs="Arial" w:ascii="Arial" w:hAnsi="Arial"/>
                <w:szCs w:val="20"/>
              </w:rPr>
            </w:r>
          </w:p>
          <w:p>
            <w:pPr>
              <w:pStyle w:val="Normal"/>
              <w:ind w:left="-283" w:right="0" w:hanging="0"/>
              <w:rPr>
                <w:rFonts w:ascii="Arial" w:hAnsi="Arial" w:cs="Arial"/>
                <w:b/>
                <w:b/>
                <w:szCs w:val="20"/>
              </w:rPr>
            </w:pPr>
            <w:r>
              <w:rPr>
                <w:rFonts w:cs="Arial" w:ascii="Arial" w:hAnsi="Arial"/>
                <w:b/>
                <w:szCs w:val="20"/>
              </w:rPr>
              <w:t>Experience</w:t>
            </w:r>
          </w:p>
          <w:p>
            <w:pPr>
              <w:pStyle w:val="Normal"/>
              <w:numPr>
                <w:ilvl w:val="0"/>
                <w:numId w:val="5"/>
              </w:numPr>
              <w:tabs>
                <w:tab w:val="clear" w:pos="720"/>
                <w:tab w:val="left" w:pos="540" w:leader="none"/>
              </w:tabs>
              <w:spacing w:lineRule="auto" w:line="240" w:before="0" w:after="0"/>
              <w:ind w:left="360" w:right="0" w:hanging="360"/>
              <w:rPr>
                <w:rFonts w:ascii="Arial" w:hAnsi="Arial" w:cs="Arial"/>
              </w:rPr>
            </w:pPr>
            <w:r>
              <w:rPr>
                <w:rFonts w:cs="Arial" w:ascii="Arial" w:hAnsi="Arial"/>
              </w:rPr>
              <w:t xml:space="preserve">Significant experience in policy and strategy development and implementation relating to economic growth and/or sector and cluster initiatives. </w:t>
            </w:r>
          </w:p>
          <w:p>
            <w:pPr>
              <w:pStyle w:val="Normal"/>
              <w:numPr>
                <w:ilvl w:val="0"/>
                <w:numId w:val="5"/>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 xml:space="preserve">Project and programme management </w:t>
            </w:r>
          </w:p>
          <w:p>
            <w:pPr>
              <w:pStyle w:val="Normal"/>
              <w:numPr>
                <w:ilvl w:val="0"/>
                <w:numId w:val="5"/>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Experience developing and getting things done through collaborations and partnerships, including working with stakeholders from different backgrounds (private, voluntary and public sectors)</w:t>
            </w:r>
          </w:p>
          <w:p>
            <w:pPr>
              <w:pStyle w:val="Normal"/>
              <w:numPr>
                <w:ilvl w:val="0"/>
                <w:numId w:val="5"/>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 xml:space="preserve">Provision of advice to senior officers and politicians on economic issues </w:t>
            </w:r>
          </w:p>
          <w:p>
            <w:pPr>
              <w:pStyle w:val="Normal"/>
              <w:numPr>
                <w:ilvl w:val="0"/>
                <w:numId w:val="6"/>
              </w:numPr>
              <w:tabs>
                <w:tab w:val="clear" w:pos="720"/>
                <w:tab w:val="left" w:pos="540" w:leader="none"/>
              </w:tabs>
              <w:spacing w:lineRule="auto" w:line="240" w:before="0" w:after="0"/>
              <w:ind w:left="360" w:right="0" w:hanging="360"/>
              <w:rPr>
                <w:rFonts w:ascii="Arial" w:hAnsi="Arial" w:cs="Arial"/>
                <w:szCs w:val="20"/>
              </w:rPr>
            </w:pPr>
            <w:r>
              <w:rPr>
                <w:rFonts w:cs="Arial" w:ascii="Arial" w:hAnsi="Arial"/>
                <w:szCs w:val="20"/>
              </w:rPr>
              <w:t>Sourcing, commissioning and managing sub-contractors</w:t>
            </w:r>
          </w:p>
          <w:p>
            <w:pPr>
              <w:pStyle w:val="Normal"/>
              <w:rPr>
                <w:rFonts w:ascii="Arial" w:hAnsi="Arial" w:cs="Arial"/>
                <w:szCs w:val="20"/>
              </w:rPr>
            </w:pPr>
            <w:r>
              <w:rPr>
                <w:rFonts w:cs="Arial" w:ascii="Arial" w:hAnsi="Arial"/>
                <w:szCs w:val="20"/>
              </w:rPr>
            </w:r>
          </w:p>
          <w:p>
            <w:pPr>
              <w:pStyle w:val="Normal"/>
              <w:ind w:left="-283" w:right="0" w:hanging="0"/>
              <w:rPr>
                <w:rFonts w:ascii="Arial" w:hAnsi="Arial" w:cs="Arial"/>
                <w:b/>
                <w:b/>
                <w:szCs w:val="20"/>
              </w:rPr>
            </w:pPr>
            <w:r>
              <w:rPr>
                <w:rFonts w:cs="Arial" w:ascii="Arial" w:hAnsi="Arial"/>
                <w:b/>
                <w:szCs w:val="20"/>
              </w:rPr>
              <w:t>Knowledge</w:t>
            </w:r>
          </w:p>
          <w:p>
            <w:pPr>
              <w:pStyle w:val="Normal"/>
              <w:numPr>
                <w:ilvl w:val="0"/>
                <w:numId w:val="2"/>
              </w:numPr>
              <w:tabs>
                <w:tab w:val="clear" w:pos="720"/>
                <w:tab w:val="left" w:pos="540" w:leader="none"/>
              </w:tabs>
              <w:spacing w:lineRule="auto" w:line="240" w:before="0" w:after="0"/>
              <w:ind w:left="340" w:right="0" w:hanging="360"/>
              <w:rPr>
                <w:rFonts w:ascii="Arial" w:hAnsi="Arial" w:cs="Arial"/>
              </w:rPr>
            </w:pPr>
            <w:r>
              <w:rPr>
                <w:rFonts w:cs="Arial" w:ascii="Arial" w:hAnsi="Arial"/>
              </w:rPr>
              <w:t xml:space="preserve">Educated to degree level, or relevant and proven equivalent experience. </w:t>
            </w:r>
          </w:p>
          <w:p>
            <w:pPr>
              <w:pStyle w:val="Normal"/>
              <w:numPr>
                <w:ilvl w:val="0"/>
                <w:numId w:val="2"/>
              </w:numPr>
              <w:tabs>
                <w:tab w:val="clear" w:pos="720"/>
                <w:tab w:val="left" w:pos="540" w:leader="none"/>
              </w:tabs>
              <w:spacing w:lineRule="auto" w:line="240" w:before="0" w:after="0"/>
              <w:ind w:left="340" w:right="0" w:hanging="360"/>
              <w:rPr>
                <w:rFonts w:ascii="Arial" w:hAnsi="Arial" w:cs="Arial"/>
              </w:rPr>
            </w:pPr>
            <w:r>
              <w:rPr>
                <w:rFonts w:cs="Arial" w:ascii="Arial" w:hAnsi="Arial"/>
              </w:rPr>
              <w:t xml:space="preserve">Demonstrable knowledge of sector and cluster development policy and delivery and its role in economic growth and innovation. </w:t>
            </w:r>
          </w:p>
          <w:p>
            <w:pPr>
              <w:pStyle w:val="Normal"/>
              <w:numPr>
                <w:ilvl w:val="0"/>
                <w:numId w:val="2"/>
              </w:numPr>
              <w:tabs>
                <w:tab w:val="clear" w:pos="720"/>
                <w:tab w:val="left" w:pos="540" w:leader="none"/>
              </w:tabs>
              <w:spacing w:lineRule="auto" w:line="240" w:before="0" w:after="0"/>
              <w:ind w:left="340" w:right="0" w:hanging="360"/>
              <w:rPr>
                <w:rFonts w:ascii="Arial" w:hAnsi="Arial" w:cs="Arial"/>
              </w:rPr>
            </w:pPr>
            <w:r>
              <w:rPr>
                <w:rFonts w:cs="Arial" w:ascii="Arial" w:hAnsi="Arial"/>
              </w:rPr>
              <w:t xml:space="preserve">Understanding of local economic growth policy </w:t>
            </w:r>
          </w:p>
          <w:p>
            <w:pPr>
              <w:pStyle w:val="Normal"/>
              <w:numPr>
                <w:ilvl w:val="0"/>
                <w:numId w:val="2"/>
              </w:numPr>
              <w:tabs>
                <w:tab w:val="clear" w:pos="720"/>
                <w:tab w:val="left" w:pos="540" w:leader="none"/>
              </w:tabs>
              <w:spacing w:lineRule="auto" w:line="240" w:before="0" w:after="0"/>
              <w:ind w:left="340" w:right="0" w:hanging="360"/>
              <w:rPr>
                <w:rFonts w:ascii="Arial" w:hAnsi="Arial" w:cs="Arial"/>
              </w:rPr>
            </w:pPr>
            <w:r>
              <w:rPr>
                <w:rFonts w:cs="Arial" w:ascii="Arial" w:hAnsi="Arial"/>
              </w:rPr>
              <w:t>Understanding of the policy context and operating environment of the GMCA including the Greater Manchester Local Growth Plan (and how it relates to the Greater Manchester Strategy), as well as the priorities of partner agencies as they relate to local economic development, innovation and growth.</w:t>
            </w:r>
          </w:p>
          <w:p>
            <w:pPr>
              <w:pStyle w:val="Normal"/>
              <w:tabs>
                <w:tab w:val="clear" w:pos="720"/>
                <w:tab w:val="left" w:pos="540" w:leader="none"/>
              </w:tabs>
              <w:spacing w:lineRule="auto" w:line="240" w:before="0" w:after="0"/>
              <w:ind w:left="340" w:right="0" w:hanging="0"/>
              <w:rPr>
                <w:rFonts w:ascii="Arial" w:hAnsi="Arial" w:cs="Arial"/>
                <w:b/>
                <w:b/>
                <w:bCs/>
                <w:i/>
                <w:i/>
                <w:iCs/>
              </w:rPr>
            </w:pPr>
            <w:r>
              <w:rPr>
                <w:rFonts w:cs="Arial" w:ascii="Arial" w:hAnsi="Arial"/>
                <w:b/>
                <w:bCs/>
                <w:i/>
                <w:iCs/>
              </w:rPr>
            </w:r>
          </w:p>
        </w:tc>
      </w:tr>
    </w:tbl>
    <w:p>
      <w:pPr>
        <w:pStyle w:val="Body"/>
        <w:ind w:left="0" w:right="261" w:hanging="0"/>
        <w:jc w:val="both"/>
        <w:rPr>
          <w:rFonts w:eastAsia="Calibri"/>
          <w:b/>
          <w:b/>
          <w:bCs/>
          <w:i/>
          <w:i/>
          <w:iCs/>
        </w:rPr>
      </w:pPr>
      <w:r>
        <w:rPr>
          <w:rFonts w:eastAsia="Calibri"/>
          <w:b/>
          <w:bCs/>
          <w:i/>
          <w:iCs/>
        </w:rPr>
      </w:r>
    </w:p>
    <w:p>
      <w:pPr>
        <w:pStyle w:val="Body"/>
        <w:ind w:left="0" w:right="261" w:hanging="0"/>
        <w:jc w:val="both"/>
        <w:rPr>
          <w:rFonts w:eastAsia="Calibri"/>
          <w:b/>
          <w:b/>
          <w:bCs/>
          <w:i/>
          <w:i/>
          <w:iCs/>
        </w:rPr>
      </w:pPr>
      <w:r>
        <w:rPr>
          <w:rFonts w:eastAsia="Calibri"/>
          <w:b/>
          <w:bCs/>
          <w:i/>
          <w:iCs/>
        </w:rPr>
      </w:r>
    </w:p>
    <w:p>
      <w:pPr>
        <w:pStyle w:val="Body"/>
        <w:ind w:left="0" w:right="261" w:hanging="0"/>
        <w:jc w:val="both"/>
        <w:rPr>
          <w:rFonts w:eastAsia="Calibri"/>
          <w:b/>
          <w:b/>
          <w:bCs/>
          <w:i/>
          <w:i/>
          <w:iCs/>
        </w:rPr>
      </w:pPr>
      <w:r>
        <w:rPr>
          <w:rFonts w:eastAsia="Calibri"/>
          <w:b/>
          <w:bCs/>
          <w:i/>
          <w:iCs/>
        </w:rPr>
      </w:r>
    </w:p>
    <w:p>
      <w:pPr>
        <w:pStyle w:val="Normal"/>
        <w:shd w:fill="FFFFFF" w:val="clear"/>
        <w:jc w:val="both"/>
        <w:rPr>
          <w:rFonts w:ascii="Arial" w:hAnsi="Arial" w:eastAsia="Calibri" w:cs="Arial"/>
          <w:b/>
          <w:b/>
          <w:bCs/>
          <w:i/>
          <w:i/>
          <w:iCs/>
          <w:color w:val="595959"/>
        </w:rPr>
      </w:pPr>
      <w:r>
        <w:rPr>
          <w:rFonts w:eastAsia="Calibri" w:cs="Arial" w:ascii="Arial" w:hAnsi="Arial"/>
          <w:b/>
          <w:bCs/>
          <w:i/>
          <w:iCs/>
          <w:color w:val="595959"/>
        </w:rPr>
      </w:r>
    </w:p>
    <w:p>
      <w:pPr>
        <w:pStyle w:val="Normal"/>
        <w:shd w:fill="FFFFFF" w:val="clear"/>
        <w:jc w:val="both"/>
        <w:rPr>
          <w:rFonts w:ascii="Arial" w:hAnsi="Arial" w:cs="Arial"/>
          <w:b/>
          <w:b/>
          <w:color w:val="595959"/>
        </w:rPr>
      </w:pPr>
      <w:r>
        <w:rPr>
          <w:rFonts w:cs="Arial" w:ascii="Arial" w:hAnsi="Arial"/>
          <w:b/>
          <w:color w:val="595959"/>
        </w:rPr>
        <w:t>Corporate Duties</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Normal"/>
        <w:widowControl w:val="false"/>
        <w:tabs>
          <w:tab w:val="clear" w:pos="720"/>
          <w:tab w:val="left" w:pos="-720" w:leader="none"/>
        </w:tabs>
        <w:suppressAutoHyphens w:val="true"/>
        <w:jc w:val="both"/>
        <w:rPr>
          <w:rFonts w:ascii="Arial" w:hAnsi="Arial" w:cs="Arial"/>
          <w:color w:val="595959"/>
        </w:rPr>
      </w:pPr>
      <w:r>
        <w:rPr>
          <w:rFonts w:cs="Arial" w:ascii="Arial" w:hAnsi="Arial"/>
          <w:color w:val="595959"/>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color w:val="595959"/>
        </w:rPr>
      </w:pPr>
      <w:r>
        <w:rPr>
          <w:rFonts w:cs="Arial" w:ascii="Arial" w:hAnsi="Arial"/>
          <w:color w:val="595959"/>
        </w:rPr>
        <w:t>Refrain from smoking in any areas of Service premises.</w:t>
      </w:r>
    </w:p>
    <w:p>
      <w:pPr>
        <w:pStyle w:val="Normal"/>
        <w:widowControl w:val="false"/>
        <w:tabs>
          <w:tab w:val="clear" w:pos="720"/>
          <w:tab w:val="left" w:pos="-720" w:leader="none"/>
        </w:tabs>
        <w:suppressAutoHyphens w:val="true"/>
        <w:jc w:val="both"/>
        <w:rPr>
          <w:rFonts w:ascii="Arial" w:hAnsi="Arial" w:cs="Arial"/>
          <w:color w:val="595959"/>
        </w:rPr>
      </w:pPr>
      <w:r>
        <w:rPr>
          <w:rFonts w:cs="Arial" w:ascii="Arial" w:hAnsi="Arial"/>
          <w:color w:val="595959"/>
        </w:rPr>
        <w:t>Behave in a manner that ensures the security of property and resources.</w:t>
      </w:r>
    </w:p>
    <w:p>
      <w:pPr>
        <w:pStyle w:val="Normal"/>
        <w:widowControl w:val="false"/>
        <w:tabs>
          <w:tab w:val="clear" w:pos="720"/>
          <w:tab w:val="left" w:pos="-720" w:leader="none"/>
        </w:tabs>
        <w:suppressAutoHyphens w:val="true"/>
        <w:jc w:val="both"/>
        <w:rPr>
          <w:rFonts w:ascii="Arial" w:hAnsi="Arial" w:cs="Arial"/>
          <w:color w:val="595959"/>
        </w:rPr>
      </w:pPr>
      <w:r>
        <w:rPr>
          <w:rFonts w:cs="Arial" w:ascii="Arial" w:hAnsi="Arial"/>
          <w:color w:val="595959"/>
        </w:rPr>
        <w:t>Abide by all relevant Service Policies and Procedures.</w:t>
      </w:r>
    </w:p>
    <w:p>
      <w:pPr>
        <w:pStyle w:val="ListParagraph"/>
        <w:ind w:left="0" w:right="0" w:hanging="0"/>
        <w:jc w:val="both"/>
        <w:rPr>
          <w:color w:val="595959"/>
          <w:lang w:val="en-GB"/>
        </w:rPr>
      </w:pPr>
      <w:r>
        <w:rPr>
          <w:color w:val="595959"/>
          <w:lang w:val="en-GB"/>
        </w:rPr>
      </w:r>
    </w:p>
    <w:p>
      <w:pPr>
        <w:pStyle w:val="Normal"/>
        <w:tabs>
          <w:tab w:val="clear" w:pos="720"/>
          <w:tab w:val="left" w:pos="1134" w:leader="none"/>
        </w:tabs>
        <w:spacing w:before="0" w:after="160"/>
        <w:contextualSpacing/>
        <w:jc w:val="both"/>
        <w:rPr/>
      </w:pPr>
      <w:r>
        <w:rPr>
          <w:rFonts w:cs="Arial" w:ascii="Arial" w:hAnsi="Arial"/>
          <w:b/>
          <w:color w:val="595959"/>
        </w:rPr>
        <w:t xml:space="preserve">Records Management/ Data Protection - </w:t>
      </w:r>
      <w:r>
        <w:rPr>
          <w:rFonts w:cs="Arial" w:ascii="Arial" w:hAnsi="Arial"/>
          <w:color w:val="595959"/>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2"/>
          <w:szCs w:val="22"/>
          <w:lang w:val="en-GB"/>
        </w:rPr>
      </w:pPr>
      <w:r>
        <w:rPr>
          <w:rFonts w:cs="Arial" w:ascii="Arial" w:hAnsi="Arial"/>
          <w:color w:val="595959"/>
          <w:sz w:val="22"/>
          <w:szCs w:val="22"/>
          <w:lang w:val="en-GB"/>
        </w:rPr>
      </w:r>
    </w:p>
    <w:p>
      <w:pPr>
        <w:pStyle w:val="Normal"/>
        <w:tabs>
          <w:tab w:val="clear" w:pos="720"/>
          <w:tab w:val="left" w:pos="1134" w:leader="none"/>
        </w:tabs>
        <w:spacing w:before="0" w:after="160"/>
        <w:contextualSpacing/>
        <w:jc w:val="both"/>
        <w:rPr/>
      </w:pPr>
      <w:r>
        <w:rPr>
          <w:rFonts w:cs="Arial" w:ascii="Arial" w:hAnsi="Arial"/>
          <w:b/>
          <w:color w:val="595959"/>
        </w:rPr>
        <w:t xml:space="preserve">Confidentiality and Information Security - </w:t>
      </w:r>
      <w:r>
        <w:rPr>
          <w:rFonts w:cs="Arial" w:ascii="Arial" w:hAnsi="Arial"/>
          <w:color w:val="595959"/>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160"/>
        <w:contextualSpacing/>
        <w:jc w:val="both"/>
        <w:rPr>
          <w:rFonts w:ascii="Arial" w:hAnsi="Arial" w:eastAsia="Arial" w:cs="Arial"/>
          <w:color w:val="595959"/>
        </w:rPr>
      </w:pPr>
      <w:r>
        <w:rPr>
          <w:rFonts w:eastAsia="Arial" w:cs="Arial" w:ascii="Arial" w:hAnsi="Arial"/>
          <w:color w:val="595959"/>
        </w:rPr>
        <w:t xml:space="preserve"> </w:t>
      </w:r>
    </w:p>
    <w:p>
      <w:pPr>
        <w:pStyle w:val="Normal"/>
        <w:spacing w:before="0" w:after="160"/>
        <w:contextualSpacing/>
        <w:jc w:val="both"/>
        <w:rPr/>
      </w:pPr>
      <w:r>
        <w:rPr>
          <w:rFonts w:cs="Arial" w:ascii="Arial" w:hAnsi="Arial"/>
          <w:b/>
          <w:color w:val="595959"/>
        </w:rPr>
        <w:t xml:space="preserve">Data Quality - </w:t>
      </w:r>
      <w:r>
        <w:rPr>
          <w:rFonts w:cs="Arial" w:ascii="Arial" w:hAnsi="Arial"/>
          <w:color w:val="595959"/>
        </w:rPr>
        <w:t>All staff are personally responsible</w:t>
      </w:r>
      <w:r>
        <w:rPr>
          <w:rFonts w:cs="Arial" w:ascii="Arial" w:hAnsi="Arial"/>
          <w:b/>
          <w:bCs/>
          <w:color w:val="595959"/>
        </w:rPr>
        <w:t xml:space="preserve"> </w:t>
      </w:r>
      <w:r>
        <w:rPr>
          <w:rFonts w:cs="Arial" w:ascii="Arial" w:hAnsi="Arial"/>
          <w:color w:val="595959"/>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rPr>
      </w:pPr>
      <w:r>
        <w:rPr>
          <w:rFonts w:cs="Arial" w:ascii="Arial" w:hAnsi="Arial"/>
          <w:color w:val="595959"/>
        </w:rPr>
        <w:t>  </w:t>
      </w:r>
    </w:p>
    <w:p>
      <w:pPr>
        <w:pStyle w:val="Normal"/>
        <w:jc w:val="both"/>
        <w:rPr>
          <w:rFonts w:ascii="Arial" w:hAnsi="Arial" w:cs="Arial"/>
          <w:color w:val="595959"/>
        </w:rPr>
      </w:pPr>
      <w:r>
        <w:rPr>
          <w:rFonts w:cs="Arial" w:ascii="Arial" w:hAnsi="Arial"/>
          <w:color w:val="595959"/>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160"/>
        <w:contextualSpacing/>
        <w:jc w:val="both"/>
        <w:rPr>
          <w:rFonts w:ascii="Arial" w:hAnsi="Arial" w:cs="Arial"/>
          <w:color w:val="595959"/>
        </w:rPr>
      </w:pPr>
      <w:r>
        <w:rPr>
          <w:rFonts w:cs="Arial" w:ascii="Arial" w:hAnsi="Arial"/>
          <w:color w:val="595959"/>
        </w:rPr>
      </w:r>
    </w:p>
    <w:p>
      <w:pPr>
        <w:pStyle w:val="Normal"/>
        <w:tabs>
          <w:tab w:val="clear" w:pos="720"/>
          <w:tab w:val="left" w:pos="1134" w:leader="none"/>
        </w:tabs>
        <w:spacing w:before="0" w:after="160"/>
        <w:contextualSpacing/>
        <w:jc w:val="both"/>
        <w:rPr/>
      </w:pPr>
      <w:r>
        <w:rPr>
          <w:rFonts w:cs="Arial" w:ascii="Arial" w:hAnsi="Arial"/>
          <w:b/>
          <w:color w:val="595959"/>
        </w:rPr>
        <w:t xml:space="preserve">Health and Safety - </w:t>
      </w:r>
      <w:r>
        <w:rPr>
          <w:rFonts w:cs="Arial" w:ascii="Arial" w:hAnsi="Arial"/>
          <w:color w:val="595959"/>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160"/>
        <w:contextualSpacing/>
        <w:jc w:val="both"/>
        <w:rPr>
          <w:rFonts w:ascii="Arial" w:hAnsi="Arial" w:cs="Arial"/>
          <w:color w:val="595959"/>
        </w:rPr>
      </w:pPr>
      <w:r>
        <w:rPr>
          <w:rFonts w:cs="Arial" w:ascii="Arial" w:hAnsi="Arial"/>
          <w:color w:val="595959"/>
        </w:rPr>
      </w:r>
    </w:p>
    <w:p>
      <w:pPr>
        <w:pStyle w:val="Normal"/>
        <w:tabs>
          <w:tab w:val="clear" w:pos="720"/>
          <w:tab w:val="left" w:pos="1134" w:leader="none"/>
        </w:tabs>
        <w:spacing w:before="0" w:after="160"/>
        <w:contextualSpacing/>
        <w:jc w:val="both"/>
        <w:rPr/>
      </w:pPr>
      <w:r>
        <w:rPr>
          <w:rFonts w:cs="Arial" w:ascii="Arial" w:hAnsi="Arial"/>
          <w:b/>
          <w:color w:val="595959"/>
        </w:rPr>
        <w:t xml:space="preserve">Service Policies - </w:t>
      </w:r>
      <w:r>
        <w:rPr>
          <w:rFonts w:cs="Arial" w:ascii="Arial" w:hAnsi="Arial"/>
          <w:color w:val="595959"/>
        </w:rPr>
        <w:t>All GMCA employees must observe and adhere to the provisions outlined in these policies.</w:t>
      </w:r>
    </w:p>
    <w:p>
      <w:pPr>
        <w:pStyle w:val="Normal"/>
        <w:spacing w:before="0" w:after="160"/>
        <w:contextualSpacing/>
        <w:jc w:val="both"/>
        <w:rPr>
          <w:rFonts w:ascii="Arial" w:hAnsi="Arial" w:cs="Arial"/>
          <w:color w:val="595959"/>
        </w:rPr>
      </w:pPr>
      <w:r>
        <w:rPr>
          <w:rFonts w:cs="Arial" w:ascii="Arial" w:hAnsi="Arial"/>
          <w:color w:val="595959"/>
        </w:rPr>
      </w:r>
    </w:p>
    <w:p>
      <w:pPr>
        <w:pStyle w:val="Body"/>
        <w:ind w:left="0" w:right="261" w:hanging="0"/>
        <w:rPr/>
      </w:pPr>
      <w:r>
        <w:rPr>
          <w:b/>
          <w:color w:val="595959"/>
        </w:rPr>
        <w:t xml:space="preserve">Equal Opportunities - </w:t>
      </w:r>
      <w:r>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p>
      <w:pPr>
        <w:pStyle w:val="Normal"/>
        <w:spacing w:before="0" w:after="0"/>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Arial"/>
      <w:color w:val="auto"/>
      <w:kern w:val="0"/>
      <w:sz w:val="22"/>
      <w:szCs w:val="22"/>
      <w:lang w:val="en-GB" w:eastAsia="en-US" w:bidi="ar-SA"/>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游明朝"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BodyTextChar">
    <w:name w:val="Body Text Char"/>
    <w:basedOn w:val="DefaultParagraphFont"/>
    <w:qFormat/>
    <w:rPr>
      <w:rFonts w:ascii="Arial" w:hAnsi="Arial" w:eastAsia="Times New Roman" w:cs="Times New Roman"/>
      <w:sz w:val="24"/>
      <w:szCs w:val="20"/>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InternetLink">
    <w:name w:val="Internet Link"/>
    <w:basedOn w:val="DefaultParagraphFont"/>
    <w:rPr>
      <w:color w:val="0563C1"/>
      <w:u w:val="single"/>
    </w:rPr>
  </w:style>
  <w:style w:type="character" w:styleId="BalloonTextChar">
    <w:name w:val="Balloon Text Char"/>
    <w:basedOn w:val="DefaultParagraphFont"/>
    <w:qFormat/>
    <w:rPr>
      <w:rFonts w:ascii="Segoe UI" w:hAnsi="Segoe UI" w:cs="Segoe UI"/>
      <w:sz w:val="18"/>
      <w:szCs w:val="18"/>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napToGrid w:val="false"/>
      <w:spacing w:lineRule="auto" w:line="240" w:before="0" w:after="0"/>
    </w:pPr>
    <w:rPr>
      <w:rFonts w:ascii="Arial" w:hAnsi="Arial"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2"/>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2"/>
      <w:szCs w:val="22"/>
      <w:u w:val="none" w:color="000000"/>
      <w:lang w:val="en-US" w:eastAsia="en-US" w:bidi="ar-SA"/>
    </w:rPr>
  </w:style>
  <w:style w:type="paragraph" w:styleId="DefaultText">
    <w:name w:val="Default Text"/>
    <w:basedOn w:val="Normal"/>
    <w:qFormat/>
    <w:pPr>
      <w:overflowPunct w:val="true"/>
      <w:spacing w:lineRule="auto" w:line="240" w:before="0" w:after="0"/>
      <w:textAlignment w:val="baseline"/>
    </w:pPr>
    <w:rPr>
      <w:rFonts w:ascii="Arial" w:hAnsi="Arial" w:eastAsia="Times New Roman" w:cs="Times New Roman"/>
      <w:color w:val="000000"/>
      <w:sz w:val="24"/>
      <w:szCs w:val="20"/>
      <w:lang w:val="en-US"/>
    </w:rPr>
  </w:style>
  <w:style w:type="paragraph" w:styleId="BodyTextIndent3">
    <w:name w:val="Body Text Indent 3"/>
    <w:basedOn w:val="Normal"/>
    <w:qFormat/>
    <w:pPr>
      <w:pBdr/>
      <w:spacing w:lineRule="auto" w:line="240" w:before="0" w:after="120"/>
      <w:ind w:left="283" w:right="0" w:hanging="0"/>
    </w:pPr>
    <w:rPr>
      <w:rFonts w:ascii="Times New Roman" w:hAnsi="Times New Roman" w:eastAsia="Arial Unicode MS" w:cs="Times New Roman"/>
      <w:sz w:val="16"/>
      <w:szCs w:val="16"/>
      <w:lang w:val="en-US"/>
    </w:rPr>
  </w:style>
  <w:style w:type="paragraph" w:styleId="Annotationtext">
    <w:name w:val="annotation text"/>
    <w:basedOn w:val="Normal"/>
    <w:qFormat/>
    <w:pPr>
      <w:pBdr/>
      <w:spacing w:lineRule="auto" w:line="240" w:before="0" w:after="0"/>
    </w:pPr>
    <w:rPr>
      <w:rFonts w:ascii="Times New Roman" w:hAnsi="Times New Roman" w:eastAsia="Arial Unicode MS" w:cs="Times New Roman"/>
      <w:sz w:val="20"/>
      <w:szCs w:val="20"/>
      <w:lang w:val="en-U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subject">
    <w:name w:val="annotation subject"/>
    <w:basedOn w:val="Annotationtext"/>
    <w:next w:val="Annotationtext"/>
    <w:qFormat/>
    <w:pPr>
      <w:pBdr/>
      <w:spacing w:before="0" w:after="160"/>
    </w:pPr>
    <w:rPr>
      <w:rFonts w:ascii="Calibri" w:hAnsi="Calibri" w:eastAsia="Calibri" w:cs="Arial"/>
      <w:b/>
      <w:bCs/>
      <w:lang w:val="en-GB"/>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ListBullet">
    <w:name w:val="List Bullet"/>
    <w:basedOn w:val="Normal"/>
    <w:qFormat/>
    <w:pPr>
      <w:spacing w:before="0" w:after="16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GMFRS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2026-04-29T16:07:00Z</dcterms:created>
  <dc:creator>Hobson, Tracy</dc:creator>
  <dc:description/>
  <dc:language>en-US</dc:language>
  <cp:lastModifiedBy>Toland, Adrian</cp:lastModifiedBy>
  <cp:lastPrinted>1995-11-21T17:41:00Z</cp:lastPrinted>
  <dcterms:modified xsi:type="dcterms:W3CDTF">2026-05-15T12:51:00Z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GMFRS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