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ody"/>
        <w:ind w:left="0" w:right="-761" w:hanging="709"/>
        <w:jc w:val="center"/>
        <w:rPr>
          <w:rFonts w:eastAsia="Calibri"/>
          <w:b/>
          <w:b/>
          <w:bCs/>
          <w:iCs/>
        </w:rPr>
      </w:pPr>
      <w:r>
        <w:rPr/>
        <w:drawing>
          <wp:inline distT="0" distB="0" distL="0" distR="0">
            <wp:extent cx="6330315" cy="53467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54" r="-5" b="-54"/>
                    <a:stretch>
                      <a:fillRect/>
                    </a:stretch>
                  </pic:blipFill>
                  <pic:spPr bwMode="auto">
                    <a:xfrm>
                      <a:off x="0" y="0"/>
                      <a:ext cx="6330315" cy="534670"/>
                    </a:xfrm>
                    <a:prstGeom prst="rect">
                      <a:avLst/>
                    </a:prstGeom>
                  </pic:spPr>
                </pic:pic>
              </a:graphicData>
            </a:graphic>
          </wp:inline>
        </w:drawing>
      </w:r>
    </w:p>
    <w:p>
      <w:pPr>
        <w:pStyle w:val="Body"/>
        <w:ind w:left="0" w:right="261" w:hanging="0"/>
        <w:jc w:val="center"/>
        <w:rPr>
          <w:rFonts w:eastAsia="Calibri"/>
          <w:b/>
          <w:b/>
          <w:bCs/>
          <w:iCs/>
        </w:rPr>
      </w:pPr>
      <w:r>
        <w:rPr>
          <w:rFonts w:eastAsia="Calibri"/>
          <w:b/>
          <w:bCs/>
          <w:iCs/>
        </w:rPr>
      </w:r>
    </w:p>
    <w:p>
      <w:pPr>
        <w:pStyle w:val="Body"/>
        <w:ind w:left="0" w:right="261" w:hanging="0"/>
        <w:jc w:val="both"/>
        <w:rPr>
          <w:rFonts w:eastAsia="Calibri"/>
          <w:b/>
          <w:b/>
          <w:bCs/>
          <w:iCs/>
        </w:rPr>
      </w:pPr>
      <w:r>
        <w:rPr>
          <w:rFonts w:eastAsia="Calibri"/>
          <w:b/>
          <w:bCs/>
          <w:iCs/>
        </w:rPr>
      </w:r>
    </w:p>
    <w:tbl>
      <w:tblPr>
        <w:tblW w:w="10357" w:type="dxa"/>
        <w:jc w:val="left"/>
        <w:tblInd w:w="-606" w:type="dxa"/>
        <w:tblCellMar>
          <w:top w:w="0" w:type="dxa"/>
          <w:left w:w="108" w:type="dxa"/>
          <w:bottom w:w="0" w:type="dxa"/>
          <w:right w:w="108" w:type="dxa"/>
        </w:tblCellMar>
      </w:tblPr>
      <w:tblGrid>
        <w:gridCol w:w="2127"/>
        <w:gridCol w:w="3092"/>
        <w:gridCol w:w="2309"/>
        <w:gridCol w:w="2829"/>
      </w:tblGrid>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Job Title:</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Business Support Central Administrator</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Date:</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14/2/2020</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Reporting Line:</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Business Support Manager (Central)</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Salary:</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4</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Team:</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 xml:space="preserve">Central Business Support Assistant </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Business Area:</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 xml:space="preserve">Business Support </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pBdr/>
              <w:snapToGrid w:val="false"/>
              <w:spacing w:lineRule="auto" w:line="240" w:before="120" w:after="120"/>
              <w:ind w:left="0" w:right="261" w:hanging="0"/>
              <w:rPr>
                <w:rFonts w:eastAsia="Calibri"/>
                <w:b/>
                <w:b/>
                <w:bCs/>
                <w:iCs/>
                <w:color w:val="auto"/>
              </w:rPr>
            </w:pPr>
            <w:r>
              <w:rPr>
                <w:rFonts w:eastAsia="Calibri"/>
                <w:b/>
                <w:bCs/>
                <w:iCs/>
                <w:color w:val="auto"/>
              </w:rPr>
            </w:r>
          </w:p>
        </w:tc>
        <w:tc>
          <w:tcPr>
            <w:tcW w:w="3092" w:type="dxa"/>
            <w:tcBorders>
              <w:top w:val="single" w:sz="4" w:space="0" w:color="000000"/>
              <w:left w:val="single" w:sz="4" w:space="0" w:color="000000"/>
              <w:bottom w:val="single" w:sz="4" w:space="0" w:color="000000"/>
            </w:tcBorders>
            <w:shd w:fill="auto" w:val="clear"/>
            <w:vAlign w:val="center"/>
          </w:tcPr>
          <w:p>
            <w:pPr>
              <w:pStyle w:val="Body"/>
              <w:pBdr/>
              <w:snapToGrid w:val="false"/>
              <w:spacing w:lineRule="auto" w:line="240" w:before="120" w:after="120"/>
              <w:ind w:left="0" w:right="261" w:hanging="0"/>
              <w:rPr>
                <w:rFonts w:eastAsia="Calibri"/>
                <w:b/>
                <w:b/>
                <w:bCs/>
                <w:iCs/>
                <w:color w:val="auto"/>
              </w:rPr>
            </w:pPr>
            <w:r>
              <w:rPr>
                <w:rFonts w:eastAsia="Calibri"/>
                <w:b/>
                <w:bCs/>
                <w:iCs/>
                <w:color w:val="auto"/>
              </w:rPr>
            </w:r>
          </w:p>
        </w:tc>
        <w:tc>
          <w:tcPr>
            <w:tcW w:w="2309" w:type="dxa"/>
            <w:tcBorders>
              <w:top w:val="single" w:sz="4" w:space="0" w:color="000000"/>
              <w:left w:val="single" w:sz="4" w:space="0" w:color="000000"/>
              <w:bottom w:val="single" w:sz="4" w:space="0" w:color="000000"/>
            </w:tcBorders>
            <w:shd w:fill="auto" w:val="clear"/>
            <w:vAlign w:val="center"/>
          </w:tcPr>
          <w:p>
            <w:pPr>
              <w:pStyle w:val="Body"/>
              <w:pBdr/>
              <w:snapToGrid w:val="false"/>
              <w:spacing w:lineRule="auto" w:line="240" w:before="120" w:after="120"/>
              <w:ind w:left="0" w:right="261" w:hanging="0"/>
              <w:rPr>
                <w:rFonts w:eastAsia="Calibri"/>
                <w:b/>
                <w:b/>
                <w:bCs/>
                <w:iCs/>
                <w:color w:val="auto"/>
              </w:rPr>
            </w:pPr>
            <w:r>
              <w:rPr>
                <w:rFonts w:eastAsia="Calibri"/>
                <w:b/>
                <w:bCs/>
                <w:iCs/>
                <w:color w:val="auto"/>
              </w:rPr>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napToGrid w:val="false"/>
              <w:spacing w:lineRule="auto" w:line="240" w:before="120" w:after="120"/>
              <w:ind w:left="0" w:right="261" w:hanging="0"/>
              <w:rPr>
                <w:rFonts w:eastAsia="Calibri"/>
                <w:b/>
                <w:b/>
                <w:bCs/>
                <w:iCs/>
                <w:color w:val="auto"/>
              </w:rPr>
            </w:pPr>
            <w:r>
              <w:rPr>
                <w:rFonts w:eastAsia="Calibri"/>
                <w:b/>
                <w:bCs/>
                <w:iCs/>
                <w:color w:val="auto"/>
              </w:rPr>
            </w:r>
          </w:p>
        </w:tc>
      </w:tr>
    </w:tbl>
    <w:p>
      <w:pPr>
        <w:pStyle w:val="Body"/>
        <w:ind w:left="0" w:right="261" w:hanging="0"/>
        <w:jc w:val="both"/>
        <w:rPr>
          <w:rFonts w:eastAsia="Calibri"/>
          <w:b/>
          <w:b/>
          <w:bCs/>
          <w:iCs/>
          <w:color w:val="auto"/>
        </w:rPr>
      </w:pPr>
      <w:r>
        <w:rPr>
          <w:rFonts w:eastAsia="Calibri"/>
          <w:b/>
          <w:bCs/>
          <w:iCs/>
          <w:color w:val="auto"/>
        </w:rPr>
      </w:r>
    </w:p>
    <w:tbl>
      <w:tblPr>
        <w:tblW w:w="10371" w:type="dxa"/>
        <w:jc w:val="center"/>
        <w:tblInd w:w="0" w:type="dxa"/>
        <w:tblCellMar>
          <w:top w:w="80" w:type="dxa"/>
          <w:left w:w="80" w:type="dxa"/>
          <w:bottom w:w="80" w:type="dxa"/>
          <w:right w:w="80" w:type="dxa"/>
        </w:tblCellMar>
      </w:tblPr>
      <w:tblGrid>
        <w:gridCol w:w="10371"/>
      </w:tblGrid>
      <w:tr>
        <w:trPr>
          <w:trHeight w:val="180" w:hRule="atLeast"/>
        </w:trPr>
        <w:tc>
          <w:tcPr>
            <w:tcW w:w="10371" w:type="dxa"/>
            <w:tcBorders>
              <w:top w:val="single" w:sz="6" w:space="0" w:color="000000"/>
              <w:left w:val="single" w:sz="6" w:space="0" w:color="0000FF"/>
              <w:right w:val="single" w:sz="6" w:space="0" w:color="0000FF"/>
            </w:tcBorders>
            <w:shd w:fill="000000" w:val="clear"/>
            <w:vAlign w:val="center"/>
          </w:tcPr>
          <w:p>
            <w:pPr>
              <w:pStyle w:val="Heading3"/>
              <w:ind w:left="0" w:right="261" w:hanging="0"/>
              <w:rPr>
                <w:rFonts w:eastAsia="Calibri"/>
                <w:color w:val="auto"/>
                <w:sz w:val="22"/>
                <w:szCs w:val="22"/>
                <w:lang w:val="en-GB"/>
              </w:rPr>
            </w:pPr>
            <w:r>
              <w:rPr>
                <w:rFonts w:eastAsia="Calibri"/>
                <w:color w:val="auto"/>
                <w:sz w:val="22"/>
                <w:szCs w:val="22"/>
                <w:lang w:val="en-GB"/>
              </w:rPr>
              <w:t>JOB PURPOSE</w:t>
            </w:r>
          </w:p>
        </w:tc>
      </w:tr>
      <w:tr>
        <w:trPr>
          <w:trHeight w:val="793" w:hRule="atLeast"/>
        </w:trPr>
        <w:tc>
          <w:tcPr>
            <w:tcW w:w="10371" w:type="dxa"/>
            <w:tcBorders>
              <w:left w:val="single" w:sz="6" w:space="0" w:color="000000"/>
              <w:bottom w:val="single" w:sz="4" w:space="0" w:color="000000"/>
              <w:right w:val="single" w:sz="6" w:space="0" w:color="000000"/>
            </w:tcBorders>
            <w:shd w:fill="auto" w:val="clear"/>
            <w:vAlign w:val="center"/>
          </w:tcPr>
          <w:p>
            <w:pPr>
              <w:pStyle w:val="Normal"/>
              <w:pBdr/>
              <w:jc w:val="both"/>
              <w:rPr>
                <w:rFonts w:ascii="Arial" w:hAnsi="Arial" w:cs="Arial"/>
                <w:sz w:val="22"/>
                <w:szCs w:val="22"/>
              </w:rPr>
            </w:pPr>
            <w:r>
              <w:rPr>
                <w:rFonts w:cs="Arial" w:ascii="Arial" w:hAnsi="Arial"/>
                <w:sz w:val="22"/>
                <w:szCs w:val="22"/>
              </w:rPr>
              <w:t xml:space="preserve">The Business Support Central Administrator will provide high quality, customer focused, flexible and timely support to assist with the reduction of risk to the people of Greater Manchester. </w:t>
            </w:r>
          </w:p>
          <w:p>
            <w:pPr>
              <w:pStyle w:val="Normal"/>
              <w:pBdr/>
              <w:jc w:val="both"/>
              <w:rPr>
                <w:rFonts w:ascii="Arial" w:hAnsi="Arial" w:cs="Arial"/>
                <w:sz w:val="22"/>
                <w:szCs w:val="22"/>
              </w:rPr>
            </w:pPr>
            <w:r>
              <w:rPr>
                <w:rFonts w:cs="Arial" w:ascii="Arial" w:hAnsi="Arial"/>
                <w:sz w:val="22"/>
                <w:szCs w:val="22"/>
              </w:rPr>
            </w:r>
          </w:p>
          <w:p>
            <w:pPr>
              <w:pStyle w:val="Normal"/>
              <w:pBdr/>
              <w:jc w:val="both"/>
              <w:rPr>
                <w:rFonts w:ascii="Arial" w:hAnsi="Arial" w:cs="Arial"/>
                <w:sz w:val="22"/>
                <w:szCs w:val="22"/>
              </w:rPr>
            </w:pPr>
            <w:r>
              <w:rPr>
                <w:rFonts w:cs="Arial" w:ascii="Arial" w:hAnsi="Arial"/>
                <w:sz w:val="22"/>
                <w:szCs w:val="22"/>
              </w:rPr>
              <w:t>The role holder will be responsible for providing Organisational business support for HQ based Service Support staff, receive enquiries from members of the public and Partners in writing, over the telephone and in person.</w:t>
            </w:r>
          </w:p>
        </w:tc>
      </w:tr>
    </w:tbl>
    <w:p>
      <w:pPr>
        <w:pStyle w:val="Body"/>
        <w:ind w:left="-567" w:right="261" w:hanging="0"/>
        <w:rPr>
          <w:rFonts w:eastAsia="Calibri"/>
          <w:b/>
          <w:b/>
          <w:bCs/>
          <w:iCs/>
          <w:color w:val="auto"/>
        </w:rPr>
      </w:pPr>
      <w:r>
        <w:rPr>
          <w:rFonts w:eastAsia="Calibri"/>
          <w:b/>
          <w:bCs/>
          <w:iCs/>
          <w:color w:val="auto"/>
        </w:rPr>
      </w:r>
    </w:p>
    <w:p>
      <w:pPr>
        <w:pStyle w:val="Body"/>
        <w:ind w:left="-567" w:right="261" w:hanging="0"/>
        <w:rPr>
          <w:rFonts w:eastAsia="Calibri"/>
          <w:b/>
          <w:b/>
          <w:bCs/>
          <w:iCs/>
          <w:color w:val="auto"/>
        </w:rPr>
      </w:pPr>
      <w:r>
        <w:rPr>
          <w:rFonts w:eastAsia="Calibri"/>
          <w:b/>
          <w:bCs/>
          <w:iCs/>
          <w:color w:val="auto"/>
        </w:rPr>
      </w:r>
    </w:p>
    <w:tbl>
      <w:tblPr>
        <w:tblW w:w="10366" w:type="dxa"/>
        <w:jc w:val="center"/>
        <w:tblInd w:w="0" w:type="dxa"/>
        <w:tblCellMar>
          <w:top w:w="80" w:type="dxa"/>
          <w:left w:w="80" w:type="dxa"/>
          <w:bottom w:w="80" w:type="dxa"/>
          <w:right w:w="80" w:type="dxa"/>
        </w:tblCellMar>
      </w:tblPr>
      <w:tblGrid>
        <w:gridCol w:w="10366"/>
      </w:tblGrid>
      <w:tr>
        <w:trPr>
          <w:trHeight w:val="180" w:hRule="atLeast"/>
        </w:trPr>
        <w:tc>
          <w:tcPr>
            <w:tcW w:w="10366" w:type="dxa"/>
            <w:tcBorders>
              <w:top w:val="single" w:sz="4" w:space="0" w:color="000000"/>
              <w:left w:val="single" w:sz="4" w:space="0" w:color="000000"/>
              <w:bottom w:val="single" w:sz="4" w:space="0" w:color="000000"/>
              <w:right w:val="single" w:sz="4" w:space="0" w:color="000000"/>
            </w:tcBorders>
            <w:shd w:fill="000000" w:val="clear"/>
            <w:vAlign w:val="center"/>
          </w:tcPr>
          <w:p>
            <w:pPr>
              <w:pStyle w:val="Body"/>
              <w:pBdr/>
              <w:ind w:left="0" w:right="261" w:hanging="0"/>
              <w:rPr>
                <w:b/>
                <w:b/>
                <w:bCs/>
                <w:color w:val="auto"/>
                <w:u w:val="none" w:color="FFFFFF"/>
              </w:rPr>
            </w:pPr>
            <w:r>
              <w:rPr>
                <w:b/>
                <w:bCs/>
                <w:color w:val="auto"/>
                <w:u w:val="none" w:color="FFFFFF"/>
              </w:rPr>
              <w:t>KEY RELATIONSHIPS</w:t>
            </w:r>
          </w:p>
        </w:tc>
      </w:tr>
      <w:tr>
        <w:trPr>
          <w:trHeight w:val="1201" w:hRule="atLeast"/>
        </w:trPr>
        <w:tc>
          <w:tcPr>
            <w:tcW w:w="10366" w:type="dxa"/>
            <w:tcBorders>
              <w:top w:val="single" w:sz="4" w:space="0" w:color="000000"/>
              <w:left w:val="single" w:sz="4" w:space="0" w:color="000000"/>
              <w:bottom w:val="single" w:sz="4" w:space="0" w:color="000000"/>
              <w:right w:val="single" w:sz="4" w:space="0" w:color="000000"/>
            </w:tcBorders>
            <w:shd w:fill="auto" w:val="clear"/>
            <w:tcMar>
              <w:left w:w="363" w:type="dxa"/>
            </w:tcMar>
            <w:vAlign w:val="center"/>
          </w:tcPr>
          <w:p>
            <w:pPr>
              <w:pStyle w:val="ListParagraph"/>
              <w:numPr>
                <w:ilvl w:val="0"/>
                <w:numId w:val="2"/>
              </w:numPr>
              <w:pBdr/>
              <w:ind w:left="360" w:right="261" w:hanging="360"/>
              <w:rPr>
                <w:color w:val="auto"/>
                <w:lang w:val="en-GB"/>
              </w:rPr>
            </w:pPr>
            <w:r>
              <w:rPr>
                <w:color w:val="auto"/>
                <w:lang w:val="en-GB"/>
              </w:rPr>
              <w:t xml:space="preserve">Operational Support teams </w:t>
            </w:r>
          </w:p>
          <w:p>
            <w:pPr>
              <w:pStyle w:val="ListParagraph"/>
              <w:numPr>
                <w:ilvl w:val="0"/>
                <w:numId w:val="2"/>
              </w:numPr>
              <w:pBdr/>
              <w:ind w:left="360" w:right="261" w:hanging="360"/>
              <w:rPr>
                <w:color w:val="auto"/>
                <w:lang w:val="en-GB"/>
              </w:rPr>
            </w:pPr>
            <w:r>
              <w:rPr>
                <w:color w:val="auto"/>
                <w:lang w:val="en-GB"/>
              </w:rPr>
              <w:t>Corporate Support Directorate</w:t>
            </w:r>
          </w:p>
          <w:p>
            <w:pPr>
              <w:pStyle w:val="ListParagraph"/>
              <w:numPr>
                <w:ilvl w:val="0"/>
                <w:numId w:val="2"/>
              </w:numPr>
              <w:pBdr/>
              <w:ind w:left="360" w:right="261" w:hanging="360"/>
              <w:rPr>
                <w:color w:val="auto"/>
                <w:lang w:val="en-GB"/>
              </w:rPr>
            </w:pPr>
            <w:r>
              <w:rPr>
                <w:color w:val="auto"/>
                <w:lang w:val="en-GB"/>
              </w:rPr>
              <w:t xml:space="preserve">External partner agencies </w:t>
            </w:r>
          </w:p>
          <w:p>
            <w:pPr>
              <w:pStyle w:val="ListParagraph"/>
              <w:numPr>
                <w:ilvl w:val="0"/>
                <w:numId w:val="2"/>
              </w:numPr>
              <w:pBdr/>
              <w:ind w:left="360" w:right="261" w:hanging="360"/>
              <w:rPr>
                <w:color w:val="auto"/>
                <w:lang w:val="en-GB"/>
              </w:rPr>
            </w:pPr>
            <w:r>
              <w:rPr>
                <w:color w:val="auto"/>
                <w:lang w:val="en-GB"/>
              </w:rPr>
              <w:t>General public</w:t>
            </w:r>
          </w:p>
        </w:tc>
      </w:tr>
    </w:tbl>
    <w:p>
      <w:pPr>
        <w:pStyle w:val="Body"/>
        <w:ind w:left="-567" w:right="261" w:hanging="0"/>
        <w:rPr>
          <w:rFonts w:eastAsia="Calibri"/>
          <w:b/>
          <w:b/>
          <w:bCs/>
          <w:iCs/>
          <w:color w:val="auto"/>
        </w:rPr>
      </w:pPr>
      <w:r>
        <w:rPr>
          <w:rFonts w:eastAsia="Calibri"/>
          <w:b/>
          <w:bCs/>
          <w:iCs/>
          <w:color w:val="auto"/>
        </w:rPr>
      </w:r>
    </w:p>
    <w:p>
      <w:pPr>
        <w:pStyle w:val="Body"/>
        <w:ind w:left="-567" w:right="261" w:hanging="0"/>
        <w:rPr>
          <w:rFonts w:eastAsia="Calibri"/>
          <w:b/>
          <w:b/>
          <w:bCs/>
          <w:iCs/>
          <w:color w:val="auto"/>
        </w:rPr>
      </w:pPr>
      <w:r>
        <w:rPr>
          <w:rFonts w:eastAsia="Calibri"/>
          <w:b/>
          <w:bCs/>
          <w:iCs/>
          <w:color w:val="auto"/>
        </w:rPr>
      </w:r>
    </w:p>
    <w:tbl>
      <w:tblPr>
        <w:tblW w:w="10401" w:type="dxa"/>
        <w:jc w:val="center"/>
        <w:tblInd w:w="0" w:type="dxa"/>
        <w:tblCellMar>
          <w:top w:w="80" w:type="dxa"/>
          <w:left w:w="80" w:type="dxa"/>
          <w:bottom w:w="80" w:type="dxa"/>
          <w:right w:w="80" w:type="dxa"/>
        </w:tblCellMar>
      </w:tblPr>
      <w:tblGrid>
        <w:gridCol w:w="10401"/>
      </w:tblGrid>
      <w:tr>
        <w:trPr>
          <w:trHeight w:val="479" w:hRule="atLeast"/>
        </w:trPr>
        <w:tc>
          <w:tcPr>
            <w:tcW w:w="10401" w:type="dxa"/>
            <w:tcBorders>
              <w:top w:val="single" w:sz="6" w:space="0" w:color="000000"/>
              <w:left w:val="single" w:sz="6" w:space="0" w:color="000000"/>
              <w:right w:val="single" w:sz="6" w:space="0" w:color="000000"/>
            </w:tcBorders>
            <w:shd w:fill="000000" w:val="clear"/>
            <w:vAlign w:val="center"/>
          </w:tcPr>
          <w:p>
            <w:pPr>
              <w:pStyle w:val="Body"/>
              <w:ind w:left="0" w:right="261" w:hanging="0"/>
              <w:rPr>
                <w:rFonts w:eastAsia="Calibri"/>
                <w:b/>
                <w:b/>
                <w:bCs/>
                <w:color w:val="auto"/>
                <w:u w:val="none" w:color="FFFFFF"/>
              </w:rPr>
            </w:pPr>
            <w:r>
              <w:rPr>
                <w:rFonts w:eastAsia="Calibri"/>
                <w:b/>
                <w:bCs/>
                <w:color w:val="auto"/>
                <w:u w:val="none" w:color="FFFFFF"/>
              </w:rPr>
              <w:t xml:space="preserve">KEY RESPONSIBILITIES </w:t>
            </w:r>
          </w:p>
        </w:tc>
      </w:tr>
      <w:tr>
        <w:trPr>
          <w:trHeight w:val="739" w:hRule="atLeast"/>
        </w:trPr>
        <w:tc>
          <w:tcPr>
            <w:tcW w:w="10401" w:type="dxa"/>
            <w:tcBorders>
              <w:left w:val="single" w:sz="4" w:space="0" w:color="000000"/>
              <w:right w:val="single" w:sz="6" w:space="0" w:color="000000"/>
            </w:tcBorders>
            <w:shd w:fill="auto" w:val="clear"/>
            <w:vAlign w:val="center"/>
          </w:tcPr>
          <w:p>
            <w:pPr>
              <w:pStyle w:val="ListParagraph"/>
              <w:numPr>
                <w:ilvl w:val="0"/>
                <w:numId w:val="4"/>
              </w:numPr>
              <w:rPr>
                <w:color w:val="auto"/>
                <w:lang w:val="en-GB"/>
              </w:rPr>
            </w:pPr>
            <w:r>
              <w:rPr>
                <w:color w:val="auto"/>
                <w:lang w:val="en-GB"/>
              </w:rPr>
              <w:t>Provide an excellent level of Customer Service and present a positive impression of GMFRS and GMCA to both internal and external customers.</w:t>
              <w:br/>
            </w:r>
          </w:p>
          <w:p>
            <w:pPr>
              <w:pStyle w:val="ListParagraph"/>
              <w:numPr>
                <w:ilvl w:val="0"/>
                <w:numId w:val="4"/>
              </w:numPr>
              <w:rPr>
                <w:color w:val="auto"/>
                <w:lang w:val="en-GB"/>
              </w:rPr>
            </w:pPr>
            <w:r>
              <w:rPr>
                <w:color w:val="auto"/>
                <w:lang w:val="en-GB"/>
              </w:rPr>
              <w:t>Provide effective administration business support in a range of activities* including minute/note taking, arranging meetings, diary management, printing and registry requests, formatting letters and mail merges, ordering stock and uniform for FSHQ based Support staff.</w:t>
            </w:r>
          </w:p>
          <w:p>
            <w:pPr>
              <w:pStyle w:val="Normal"/>
              <w:ind w:left="360" w:right="0" w:hanging="0"/>
              <w:rPr>
                <w:lang w:val="en-GB"/>
              </w:rPr>
            </w:pPr>
            <w:r>
              <w:rPr>
                <w:lang w:val="en-GB"/>
              </w:rPr>
            </w:r>
          </w:p>
          <w:p>
            <w:pPr>
              <w:pStyle w:val="ListParagraph"/>
              <w:numPr>
                <w:ilvl w:val="0"/>
                <w:numId w:val="4"/>
              </w:numPr>
              <w:rPr>
                <w:color w:val="auto"/>
                <w:lang w:val="en-GB"/>
              </w:rPr>
            </w:pPr>
            <w:r>
              <w:rPr>
                <w:color w:val="auto"/>
                <w:lang w:val="en-GB"/>
              </w:rPr>
              <w:t>Provide an efficient Reception service at FSHQ including being the first point of contact for visitors and contractors, dealing effectively with enquires and requests when answering the main switchboard telephone and preparing and sorting the internal and external mail.</w:t>
            </w:r>
          </w:p>
          <w:p>
            <w:pPr>
              <w:pStyle w:val="ListParagraph"/>
              <w:rPr>
                <w:color w:val="auto"/>
                <w:lang w:val="en-GB"/>
              </w:rPr>
            </w:pPr>
            <w:r>
              <w:rPr>
                <w:color w:val="auto"/>
                <w:lang w:val="en-GB"/>
              </w:rPr>
            </w:r>
          </w:p>
          <w:p>
            <w:pPr>
              <w:pStyle w:val="ListParagraph"/>
              <w:numPr>
                <w:ilvl w:val="0"/>
                <w:numId w:val="4"/>
              </w:numPr>
              <w:rPr>
                <w:color w:val="auto"/>
                <w:lang w:val="en-GB"/>
              </w:rPr>
            </w:pPr>
            <w:r>
              <w:rPr>
                <w:color w:val="auto"/>
                <w:lang w:val="en-GB"/>
              </w:rPr>
              <w:t>Produce clear, accurate information at the request of Management Teams using a range of corporate databases and other Microsoft tools, analysing the data and identifying any ways in which business support could be improved.</w:t>
            </w:r>
          </w:p>
          <w:p>
            <w:pPr>
              <w:pStyle w:val="Normal"/>
              <w:ind w:left="360" w:right="0" w:hanging="0"/>
              <w:rPr>
                <w:lang w:val="en-GB"/>
              </w:rPr>
            </w:pPr>
            <w:r>
              <w:rPr>
                <w:lang w:val="en-GB"/>
              </w:rPr>
            </w:r>
          </w:p>
          <w:p>
            <w:pPr>
              <w:pStyle w:val="ListParagraph"/>
              <w:numPr>
                <w:ilvl w:val="0"/>
                <w:numId w:val="4"/>
              </w:numPr>
              <w:rPr>
                <w:color w:val="auto"/>
                <w:lang w:val="en-GB"/>
              </w:rPr>
            </w:pPr>
            <w:r>
              <w:rPr>
                <w:color w:val="auto"/>
                <w:lang w:val="en-GB"/>
              </w:rPr>
              <w:t>Ensure that all business support functions are completed in an accurate and timely manner and in line with relevant processes and procedures, raising any concerns with your line manager.</w:t>
            </w:r>
          </w:p>
          <w:p>
            <w:pPr>
              <w:pStyle w:val="Normal"/>
              <w:ind w:left="360" w:right="0" w:hanging="0"/>
              <w:rPr>
                <w:lang w:val="en-GB"/>
              </w:rPr>
            </w:pPr>
            <w:r>
              <w:rPr>
                <w:lang w:val="en-GB"/>
              </w:rPr>
            </w:r>
          </w:p>
          <w:p>
            <w:pPr>
              <w:pStyle w:val="ListParagraph"/>
              <w:numPr>
                <w:ilvl w:val="0"/>
                <w:numId w:val="4"/>
              </w:numPr>
              <w:rPr>
                <w:color w:val="auto"/>
                <w:lang w:val="en-GB"/>
              </w:rPr>
            </w:pPr>
            <w:r>
              <w:rPr>
                <w:color w:val="auto"/>
                <w:lang w:val="en-GB"/>
              </w:rPr>
              <w:t>Contribute effectively to the development, preparation and review of all procedures and systems, aligning them to service needs and objectives.</w:t>
              <w:br/>
            </w:r>
          </w:p>
          <w:p>
            <w:pPr>
              <w:pStyle w:val="ListParagraph"/>
              <w:numPr>
                <w:ilvl w:val="0"/>
                <w:numId w:val="4"/>
              </w:numPr>
              <w:rPr>
                <w:color w:val="auto"/>
                <w:lang w:val="en-GB"/>
              </w:rPr>
            </w:pPr>
            <w:r>
              <w:rPr>
                <w:color w:val="auto"/>
                <w:lang w:val="en-GB"/>
              </w:rPr>
              <w:t>Maintain a high level of understanding of all FSHQ Support staff activities and functions to provide cover and flexibility to meet the organisational business need.</w:t>
              <w:br/>
            </w:r>
          </w:p>
          <w:p>
            <w:pPr>
              <w:pStyle w:val="ListParagraph"/>
              <w:numPr>
                <w:ilvl w:val="0"/>
                <w:numId w:val="4"/>
              </w:numPr>
              <w:rPr>
                <w:color w:val="auto"/>
                <w:lang w:val="en-GB"/>
              </w:rPr>
            </w:pPr>
            <w:r>
              <w:rPr>
                <w:color w:val="auto"/>
                <w:lang w:val="en-GB"/>
              </w:rPr>
              <w:t>Manage individual performance against Team plans, agreed targets and KPIs.</w:t>
            </w:r>
          </w:p>
          <w:p>
            <w:pPr>
              <w:pStyle w:val="Normal"/>
              <w:ind w:left="360" w:right="0" w:hanging="0"/>
              <w:rPr>
                <w:lang w:val="en-GB"/>
              </w:rPr>
            </w:pPr>
            <w:r>
              <w:rPr>
                <w:lang w:val="en-GB"/>
              </w:rPr>
            </w:r>
          </w:p>
          <w:p>
            <w:pPr>
              <w:pStyle w:val="ListParagraph"/>
              <w:numPr>
                <w:ilvl w:val="0"/>
                <w:numId w:val="4"/>
              </w:numPr>
              <w:rPr>
                <w:color w:val="auto"/>
                <w:lang w:val="en-GB"/>
              </w:rPr>
            </w:pPr>
            <w:r>
              <w:rPr>
                <w:color w:val="auto"/>
                <w:lang w:val="en-GB"/>
              </w:rPr>
              <w:t>Provide support for seasonal events as directed by FSHQ Management Teams.</w:t>
            </w:r>
          </w:p>
          <w:p>
            <w:pPr>
              <w:pStyle w:val="ListParagraph"/>
              <w:rPr>
                <w:color w:val="auto"/>
                <w:lang w:val="en-GB"/>
              </w:rPr>
            </w:pPr>
            <w:r>
              <w:rPr>
                <w:color w:val="auto"/>
                <w:lang w:val="en-GB"/>
              </w:rPr>
            </w:r>
          </w:p>
          <w:p>
            <w:pPr>
              <w:pStyle w:val="ListParagraph"/>
              <w:numPr>
                <w:ilvl w:val="0"/>
                <w:numId w:val="4"/>
              </w:numPr>
              <w:rPr>
                <w:color w:val="auto"/>
              </w:rPr>
            </w:pPr>
            <w:r>
              <w:rPr>
                <w:color w:val="auto"/>
              </w:rPr>
              <w:t>Work flexibly and creatively as part of an effective wider team</w:t>
            </w:r>
          </w:p>
          <w:p>
            <w:pPr>
              <w:pStyle w:val="Normal"/>
              <w:ind w:left="360" w:right="0" w:hanging="0"/>
              <w:rPr>
                <w:lang w:val="en-GB"/>
              </w:rPr>
            </w:pPr>
            <w:r>
              <w:rPr>
                <w:lang w:val="en-GB"/>
              </w:rPr>
            </w:r>
          </w:p>
          <w:p>
            <w:pPr>
              <w:pStyle w:val="Normal"/>
              <w:rPr>
                <w:rFonts w:ascii="Arial" w:hAnsi="Arial" w:cs="Arial"/>
                <w:b/>
                <w:b/>
                <w:sz w:val="22"/>
                <w:szCs w:val="22"/>
                <w:lang w:val="en-GB"/>
              </w:rPr>
            </w:pPr>
            <w:r>
              <w:rPr>
                <w:rFonts w:cs="Arial" w:ascii="Arial" w:hAnsi="Arial"/>
                <w:b/>
                <w:sz w:val="22"/>
                <w:szCs w:val="22"/>
                <w:lang w:val="en-GB"/>
              </w:rPr>
              <w:t>General</w:t>
            </w:r>
          </w:p>
          <w:p>
            <w:pPr>
              <w:pStyle w:val="Normal"/>
              <w:pBdr/>
              <w:jc w:val="both"/>
              <w:rPr>
                <w:rFonts w:ascii="Arial" w:hAnsi="Arial" w:cs="Arial"/>
                <w:b/>
                <w:b/>
                <w:sz w:val="22"/>
                <w:szCs w:val="22"/>
                <w:lang w:val="en-GB"/>
              </w:rPr>
            </w:pPr>
            <w:r>
              <w:rPr>
                <w:rFonts w:cs="Arial" w:ascii="Arial" w:hAnsi="Arial"/>
                <w:b/>
                <w:sz w:val="22"/>
                <w:szCs w:val="22"/>
                <w:lang w:val="en-GB"/>
              </w:rPr>
            </w:r>
          </w:p>
          <w:p>
            <w:pPr>
              <w:pStyle w:val="ListParagraph"/>
              <w:numPr>
                <w:ilvl w:val="0"/>
                <w:numId w:val="4"/>
              </w:numPr>
              <w:rPr>
                <w:color w:val="auto"/>
                <w:lang w:val="en-GB"/>
              </w:rPr>
            </w:pPr>
            <w:r>
              <w:rPr>
                <w:color w:val="auto"/>
                <w:lang w:val="en-GB"/>
              </w:rPr>
              <w:t>Work collaboratively with colleagues and stakeholders to enhance the role of Business Support throughout GMCA.</w:t>
              <w:br/>
            </w:r>
          </w:p>
          <w:p>
            <w:pPr>
              <w:pStyle w:val="ListParagraph"/>
              <w:numPr>
                <w:ilvl w:val="0"/>
                <w:numId w:val="4"/>
              </w:numPr>
              <w:pBdr/>
              <w:rPr>
                <w:color w:val="auto"/>
                <w:lang w:val="en-GB"/>
              </w:rPr>
            </w:pPr>
            <w:r>
              <w:rPr>
                <w:color w:val="auto"/>
                <w:lang w:val="en-GB"/>
              </w:rPr>
              <w:t>Personal commitment to continuous self-development and service improvement.</w:t>
              <w:br/>
            </w:r>
          </w:p>
          <w:p>
            <w:pPr>
              <w:pStyle w:val="ListParagraph"/>
              <w:numPr>
                <w:ilvl w:val="0"/>
                <w:numId w:val="4"/>
              </w:numPr>
              <w:pBdr/>
              <w:rPr>
                <w:color w:val="auto"/>
                <w:lang w:val="en-GB"/>
              </w:rPr>
            </w:pPr>
            <w:r>
              <w:rPr>
                <w:color w:val="auto"/>
                <w:lang w:val="en-GB"/>
              </w:rPr>
              <w:t>Through personal example, open commitment and clear action, ensure diversity is positively valued, resulting in equal access and treatment in employment, service delivery and communications.</w:t>
              <w:br/>
            </w:r>
          </w:p>
          <w:p>
            <w:pPr>
              <w:pStyle w:val="ListParagraph"/>
              <w:numPr>
                <w:ilvl w:val="0"/>
                <w:numId w:val="4"/>
              </w:numPr>
              <w:pBdr/>
              <w:jc w:val="both"/>
              <w:rPr>
                <w:color w:val="auto"/>
                <w:lang w:val="en-GB"/>
              </w:rPr>
            </w:pPr>
            <w:r>
              <w:rPr>
                <w:color w:val="auto"/>
                <w:lang w:val="en-GB"/>
              </w:rPr>
              <w:t>Take part in appropriate training, team meetings and appraisals as directed by the Manager.</w:t>
            </w:r>
          </w:p>
          <w:p>
            <w:pPr>
              <w:pStyle w:val="Normal"/>
              <w:pBdr/>
              <w:jc w:val="both"/>
              <w:rPr/>
            </w:pPr>
            <w:r>
              <w:rPr/>
            </w:r>
          </w:p>
          <w:p>
            <w:pPr>
              <w:pStyle w:val="ListParagraph"/>
              <w:numPr>
                <w:ilvl w:val="0"/>
                <w:numId w:val="4"/>
              </w:numPr>
              <w:pBdr/>
              <w:jc w:val="both"/>
              <w:rPr>
                <w:color w:val="auto"/>
              </w:rPr>
            </w:pPr>
            <w:r>
              <w:rPr>
                <w:color w:val="auto"/>
              </w:rPr>
              <w:t>Through innovation, continuously improve the use of public money in ways the public would value.</w:t>
            </w:r>
          </w:p>
          <w:p>
            <w:pPr>
              <w:pStyle w:val="ListParagraph"/>
              <w:rPr>
                <w:color w:val="auto"/>
              </w:rPr>
            </w:pPr>
            <w:r>
              <w:rPr>
                <w:color w:val="auto"/>
              </w:rPr>
            </w:r>
          </w:p>
          <w:p>
            <w:pPr>
              <w:pStyle w:val="ListParagraph"/>
              <w:numPr>
                <w:ilvl w:val="0"/>
                <w:numId w:val="4"/>
              </w:numPr>
              <w:pBdr/>
              <w:jc w:val="both"/>
              <w:rPr>
                <w:color w:val="auto"/>
              </w:rPr>
            </w:pPr>
            <w:r>
              <w:rPr>
                <w:color w:val="auto"/>
              </w:rPr>
              <w:t>Act in accordance with the law and GMCA values and ensure that safety, sustainability, partnership working and inclusivity run through all Business Support activities.</w:t>
            </w:r>
          </w:p>
          <w:p>
            <w:pPr>
              <w:pStyle w:val="Default"/>
              <w:rPr>
                <w:rFonts w:ascii="Arial" w:hAnsi="Arial" w:cs="Arial"/>
                <w:color w:val="auto"/>
                <w:sz w:val="22"/>
                <w:szCs w:val="22"/>
              </w:rPr>
            </w:pPr>
            <w:r>
              <w:rPr>
                <w:rFonts w:cs="Arial" w:ascii="Arial" w:hAnsi="Arial"/>
                <w:color w:val="auto"/>
                <w:sz w:val="22"/>
                <w:szCs w:val="22"/>
              </w:rPr>
              <w:br/>
            </w:r>
          </w:p>
          <w:p>
            <w:pPr>
              <w:pStyle w:val="Normal"/>
              <w:rPr/>
            </w:pPr>
            <w:r>
              <w:rPr>
                <w:rFonts w:cs="Arial" w:ascii="Arial" w:hAnsi="Arial"/>
                <w:b/>
                <w:bCs/>
                <w:sz w:val="22"/>
                <w:szCs w:val="22"/>
              </w:rPr>
              <w:t xml:space="preserve">*NB: </w:t>
            </w:r>
            <w:r>
              <w:rPr>
                <w:rFonts w:cs="Arial" w:ascii="Arial" w:hAnsi="Arial"/>
                <w:sz w:val="22"/>
                <w:szCs w:val="22"/>
              </w:rPr>
              <w:t>This list of activities and responsibilities is by no means exhaustive, and the post holder may be required to undertake other relevant and appropriate duties as required.</w:t>
            </w:r>
          </w:p>
        </w:tc>
      </w:tr>
      <w:tr>
        <w:trPr>
          <w:trHeight w:val="739" w:hRule="atLeast"/>
        </w:trPr>
        <w:tc>
          <w:tcPr>
            <w:tcW w:w="10401" w:type="dxa"/>
            <w:tcBorders>
              <w:left w:val="single" w:sz="4" w:space="0" w:color="000000"/>
              <w:bottom w:val="single" w:sz="4" w:space="0" w:color="000000"/>
              <w:right w:val="single" w:sz="6" w:space="0" w:color="000000"/>
            </w:tcBorders>
            <w:shd w:fill="auto" w:val="clear"/>
            <w:vAlign w:val="center"/>
          </w:tcPr>
          <w:p>
            <w:pPr>
              <w:pStyle w:val="Normal"/>
              <w:pBdr/>
              <w:snapToGrid w:val="false"/>
              <w:jc w:val="both"/>
              <w:rPr>
                <w:rFonts w:ascii="Arial" w:hAnsi="Arial" w:cs="Arial"/>
                <w:sz w:val="22"/>
                <w:szCs w:val="22"/>
                <w:lang w:val="en-GB"/>
              </w:rPr>
            </w:pPr>
            <w:r>
              <w:rPr>
                <w:rFonts w:cs="Arial" w:ascii="Arial" w:hAnsi="Arial"/>
                <w:sz w:val="22"/>
                <w:szCs w:val="22"/>
                <w:lang w:val="en-GB"/>
              </w:rPr>
            </w:r>
          </w:p>
        </w:tc>
      </w:tr>
    </w:tbl>
    <w:p>
      <w:pPr>
        <w:pStyle w:val="Body"/>
        <w:ind w:left="-567" w:right="261" w:hanging="0"/>
        <w:rPr>
          <w:rFonts w:eastAsia="Calibri"/>
          <w:b/>
          <w:b/>
          <w:bCs/>
          <w:iCs/>
          <w:color w:val="auto"/>
        </w:rPr>
      </w:pPr>
      <w:r>
        <w:rPr>
          <w:rFonts w:eastAsia="Calibri"/>
          <w:b/>
          <w:bCs/>
          <w:iCs/>
          <w:color w:val="auto"/>
        </w:rPr>
      </w:r>
    </w:p>
    <w:p>
      <w:pPr>
        <w:pStyle w:val="Body"/>
        <w:ind w:left="-567" w:right="261" w:hanging="0"/>
        <w:rPr>
          <w:rFonts w:eastAsia="Calibri"/>
          <w:b/>
          <w:b/>
          <w:bCs/>
          <w:iCs/>
          <w:color w:val="auto"/>
        </w:rPr>
      </w:pPr>
      <w:r>
        <w:rPr>
          <w:rFonts w:eastAsia="Calibri"/>
          <w:b/>
          <w:bCs/>
          <w:iCs/>
          <w:color w:val="auto"/>
        </w:rPr>
      </w:r>
    </w:p>
    <w:tbl>
      <w:tblPr>
        <w:tblW w:w="10359" w:type="dxa"/>
        <w:jc w:val="center"/>
        <w:tblInd w:w="0" w:type="dxa"/>
        <w:tblCellMar>
          <w:top w:w="80" w:type="dxa"/>
          <w:left w:w="80" w:type="dxa"/>
          <w:bottom w:w="80" w:type="dxa"/>
          <w:right w:w="80" w:type="dxa"/>
        </w:tblCellMar>
      </w:tblPr>
      <w:tblGrid>
        <w:gridCol w:w="10359"/>
      </w:tblGrid>
      <w:tr>
        <w:trPr>
          <w:trHeight w:val="180" w:hRule="atLeast"/>
        </w:trPr>
        <w:tc>
          <w:tcPr>
            <w:tcW w:w="10359" w:type="dxa"/>
            <w:tcBorders>
              <w:top w:val="single" w:sz="4" w:space="0" w:color="000000"/>
              <w:left w:val="single" w:sz="4" w:space="0" w:color="000000"/>
              <w:bottom w:val="single" w:sz="4" w:space="0" w:color="000000"/>
              <w:right w:val="single" w:sz="4" w:space="0" w:color="000000"/>
            </w:tcBorders>
            <w:shd w:fill="000000" w:val="clear"/>
            <w:vAlign w:val="center"/>
          </w:tcPr>
          <w:p>
            <w:pPr>
              <w:pStyle w:val="Body"/>
              <w:ind w:left="18" w:right="261" w:hanging="0"/>
              <w:rPr>
                <w:rFonts w:eastAsia="Calibri"/>
                <w:b/>
                <w:b/>
                <w:bCs/>
                <w:color w:val="auto"/>
                <w:u w:val="none" w:color="FFFFFF"/>
              </w:rPr>
            </w:pPr>
            <w:r>
              <w:rPr>
                <w:rFonts w:eastAsia="Calibri"/>
                <w:b/>
                <w:bCs/>
                <w:color w:val="auto"/>
                <w:u w:val="none" w:color="FFFFFF"/>
              </w:rPr>
              <w:t>KNOWLEDGE, SKILLS AND EXPERIENCE</w:t>
            </w:r>
          </w:p>
        </w:tc>
      </w:tr>
      <w:tr>
        <w:trPr>
          <w:trHeight w:val="3467" w:hRule="atLeast"/>
        </w:trPr>
        <w:tc>
          <w:tcPr>
            <w:tcW w:w="10359" w:type="dxa"/>
            <w:tcBorders>
              <w:top w:val="single" w:sz="4" w:space="0" w:color="000000"/>
              <w:left w:val="single" w:sz="4" w:space="0" w:color="000000"/>
              <w:bottom w:val="single" w:sz="4" w:space="0" w:color="000000"/>
              <w:right w:val="single" w:sz="4" w:space="0" w:color="000000"/>
            </w:tcBorders>
            <w:shd w:fill="auto" w:val="clear"/>
            <w:tcMar>
              <w:left w:w="363" w:type="dxa"/>
            </w:tcMar>
            <w:vAlign w:val="center"/>
          </w:tcPr>
          <w:p>
            <w:pPr>
              <w:pStyle w:val="Normal"/>
              <w:widowControl w:val="false"/>
              <w:pBdr/>
              <w:spacing w:before="240" w:after="0"/>
              <w:rPr>
                <w:rFonts w:ascii="Arial" w:hAnsi="Arial" w:cs="Arial"/>
                <w:b/>
                <w:b/>
                <w:sz w:val="22"/>
                <w:szCs w:val="22"/>
              </w:rPr>
            </w:pPr>
            <w:r>
              <w:rPr>
                <w:rFonts w:cs="Arial" w:ascii="Arial" w:hAnsi="Arial"/>
                <w:b/>
                <w:sz w:val="22"/>
                <w:szCs w:val="22"/>
              </w:rPr>
              <w:t xml:space="preserve">Essential Knowledge &amp; Experience </w:t>
            </w:r>
          </w:p>
          <w:p>
            <w:pPr>
              <w:pStyle w:val="ListParagraph"/>
              <w:widowControl w:val="false"/>
              <w:numPr>
                <w:ilvl w:val="0"/>
                <w:numId w:val="3"/>
              </w:numPr>
              <w:pBdr/>
              <w:spacing w:before="240" w:after="0"/>
              <w:rPr>
                <w:color w:val="auto"/>
              </w:rPr>
            </w:pPr>
            <w:r>
              <w:rPr>
                <w:color w:val="auto"/>
              </w:rPr>
              <w:t>Educated to GCSE level or equivalent in English and Maths</w:t>
            </w:r>
          </w:p>
          <w:p>
            <w:pPr>
              <w:pStyle w:val="ListParagraph"/>
              <w:widowControl w:val="false"/>
              <w:numPr>
                <w:ilvl w:val="0"/>
                <w:numId w:val="3"/>
              </w:numPr>
              <w:pBdr/>
              <w:spacing w:before="240" w:after="0"/>
              <w:rPr>
                <w:color w:val="auto"/>
              </w:rPr>
            </w:pPr>
            <w:r>
              <w:rPr>
                <w:color w:val="auto"/>
              </w:rPr>
              <w:t>Experience of providing effective office support service within a busy administrative environment</w:t>
            </w:r>
          </w:p>
          <w:p>
            <w:pPr>
              <w:pStyle w:val="ListParagraph"/>
              <w:widowControl w:val="false"/>
              <w:numPr>
                <w:ilvl w:val="0"/>
                <w:numId w:val="3"/>
              </w:numPr>
              <w:pBdr/>
              <w:spacing w:before="240" w:after="0"/>
              <w:rPr>
                <w:color w:val="auto"/>
              </w:rPr>
            </w:pPr>
            <w:r>
              <w:rPr>
                <w:color w:val="auto"/>
              </w:rPr>
              <w:t>Considerable organisational knowledge, to efficiently connect callers and enquirers with the right person</w:t>
            </w:r>
          </w:p>
          <w:p>
            <w:pPr>
              <w:pStyle w:val="ListParagraph"/>
              <w:widowControl w:val="false"/>
              <w:numPr>
                <w:ilvl w:val="0"/>
                <w:numId w:val="3"/>
              </w:numPr>
              <w:pBdr/>
              <w:spacing w:before="240" w:after="0"/>
              <w:rPr>
                <w:color w:val="auto"/>
              </w:rPr>
            </w:pPr>
            <w:r>
              <w:rPr>
                <w:color w:val="auto"/>
              </w:rPr>
              <w:t>Experience of using corporate data management system to manage customer records.</w:t>
            </w:r>
          </w:p>
          <w:p>
            <w:pPr>
              <w:pStyle w:val="ListParagraph"/>
              <w:widowControl w:val="false"/>
              <w:numPr>
                <w:ilvl w:val="0"/>
                <w:numId w:val="3"/>
              </w:numPr>
              <w:pBdr/>
              <w:spacing w:before="240" w:after="0"/>
              <w:rPr>
                <w:color w:val="auto"/>
              </w:rPr>
            </w:pPr>
            <w:r>
              <w:rPr>
                <w:color w:val="auto"/>
              </w:rPr>
              <w:t>Competent user of Microsoft Office products</w:t>
            </w:r>
          </w:p>
          <w:p>
            <w:pPr>
              <w:pStyle w:val="ListParagraph"/>
              <w:widowControl w:val="false"/>
              <w:numPr>
                <w:ilvl w:val="0"/>
                <w:numId w:val="3"/>
              </w:numPr>
              <w:pBdr/>
              <w:spacing w:before="240" w:after="0"/>
              <w:rPr>
                <w:color w:val="auto"/>
              </w:rPr>
            </w:pPr>
            <w:r>
              <w:rPr>
                <w:color w:val="auto"/>
              </w:rPr>
              <w:t>Experience of establishing effective relationships with internal and external stakeholders and members of the public</w:t>
            </w:r>
          </w:p>
          <w:p>
            <w:pPr>
              <w:pStyle w:val="ListParagraph"/>
              <w:widowControl w:val="false"/>
              <w:numPr>
                <w:ilvl w:val="0"/>
                <w:numId w:val="3"/>
              </w:numPr>
              <w:pBdr/>
              <w:spacing w:before="240" w:after="0"/>
              <w:rPr>
                <w:color w:val="auto"/>
              </w:rPr>
            </w:pPr>
            <w:r>
              <w:rPr>
                <w:color w:val="auto"/>
              </w:rPr>
              <w:t>Able to demonstrate accuracy and attention to detail</w:t>
            </w:r>
          </w:p>
          <w:p>
            <w:pPr>
              <w:pStyle w:val="ListParagraph"/>
              <w:widowControl w:val="false"/>
              <w:pBdr/>
              <w:spacing w:before="240" w:after="0"/>
              <w:rPr>
                <w:color w:val="auto"/>
              </w:rPr>
            </w:pPr>
            <w:r>
              <w:rPr>
                <w:color w:val="auto"/>
              </w:rPr>
            </w:r>
          </w:p>
          <w:p>
            <w:pPr>
              <w:pStyle w:val="Body"/>
              <w:rPr>
                <w:b/>
                <w:b/>
                <w:color w:val="auto"/>
                <w:lang w:val="en-US"/>
              </w:rPr>
            </w:pPr>
            <w:r>
              <w:rPr>
                <w:b/>
                <w:color w:val="auto"/>
                <w:lang w:val="en-US"/>
              </w:rPr>
              <w:t xml:space="preserve">Skills &amp; Behaviours </w:t>
            </w:r>
          </w:p>
          <w:p>
            <w:pPr>
              <w:pStyle w:val="ListParagraph"/>
              <w:widowControl w:val="false"/>
              <w:numPr>
                <w:ilvl w:val="0"/>
                <w:numId w:val="3"/>
              </w:numPr>
              <w:pBdr/>
              <w:spacing w:before="240" w:after="0"/>
              <w:rPr>
                <w:color w:val="auto"/>
              </w:rPr>
            </w:pPr>
            <w:r>
              <w:rPr>
                <w:color w:val="auto"/>
              </w:rPr>
              <w:t>Strong customer service and interpersonal skills</w:t>
            </w:r>
          </w:p>
          <w:p>
            <w:pPr>
              <w:pStyle w:val="ListParagraph"/>
              <w:widowControl w:val="false"/>
              <w:numPr>
                <w:ilvl w:val="0"/>
                <w:numId w:val="3"/>
              </w:numPr>
              <w:pBdr/>
              <w:spacing w:before="240" w:after="0"/>
              <w:rPr>
                <w:color w:val="auto"/>
              </w:rPr>
            </w:pPr>
            <w:r>
              <w:rPr>
                <w:color w:val="auto"/>
              </w:rPr>
              <w:t>Self-motivation and ability to deal with a demanding workload and deliver consistently to deadlines</w:t>
            </w:r>
          </w:p>
          <w:p>
            <w:pPr>
              <w:pStyle w:val="ListParagraph"/>
              <w:widowControl w:val="false"/>
              <w:numPr>
                <w:ilvl w:val="0"/>
                <w:numId w:val="3"/>
              </w:numPr>
              <w:pBdr/>
              <w:spacing w:before="240" w:after="0"/>
              <w:rPr>
                <w:color w:val="auto"/>
              </w:rPr>
            </w:pPr>
            <w:r>
              <w:rPr>
                <w:color w:val="auto"/>
              </w:rPr>
              <w:t>Ability to work flexibly and creatively as part of an effective team including providing cover for FHSQ Reception during core business hours</w:t>
            </w:r>
          </w:p>
          <w:p>
            <w:pPr>
              <w:pStyle w:val="ListParagraph"/>
              <w:widowControl w:val="false"/>
              <w:numPr>
                <w:ilvl w:val="0"/>
                <w:numId w:val="3"/>
              </w:numPr>
              <w:pBdr/>
              <w:spacing w:before="240" w:after="0"/>
              <w:rPr>
                <w:color w:val="auto"/>
              </w:rPr>
            </w:pPr>
            <w:r>
              <w:rPr>
                <w:color w:val="auto"/>
              </w:rPr>
              <w:t>Highly organised with the ability to multi task and prioritise workloads, working accurately and methodically</w:t>
            </w:r>
          </w:p>
          <w:p>
            <w:pPr>
              <w:pStyle w:val="Normal"/>
              <w:ind w:left="360" w:right="0" w:hanging="0"/>
              <w:rPr/>
            </w:pPr>
            <w:r>
              <w:rPr/>
            </w:r>
          </w:p>
          <w:p>
            <w:pPr>
              <w:pStyle w:val="ListParagraph"/>
              <w:numPr>
                <w:ilvl w:val="0"/>
                <w:numId w:val="3"/>
              </w:numPr>
              <w:rPr>
                <w:color w:val="auto"/>
              </w:rPr>
            </w:pPr>
            <w:r>
              <w:rPr>
                <w:color w:val="auto"/>
              </w:rPr>
              <w:t>Excellent telephone manner, oral and written skills and IT literate</w:t>
            </w:r>
          </w:p>
          <w:p>
            <w:pPr>
              <w:pStyle w:val="ListParagraph"/>
              <w:widowControl w:val="false"/>
              <w:numPr>
                <w:ilvl w:val="0"/>
                <w:numId w:val="3"/>
              </w:numPr>
              <w:pBdr/>
              <w:spacing w:before="240" w:after="0"/>
              <w:rPr>
                <w:color w:val="auto"/>
              </w:rPr>
            </w:pPr>
            <w:r>
              <w:rPr>
                <w:color w:val="auto"/>
              </w:rPr>
              <w:t>Commitment to high standards of customer care and public service</w:t>
            </w:r>
          </w:p>
          <w:p>
            <w:pPr>
              <w:pStyle w:val="ListParagraph"/>
              <w:widowControl w:val="false"/>
              <w:numPr>
                <w:ilvl w:val="0"/>
                <w:numId w:val="3"/>
              </w:numPr>
              <w:pBdr/>
              <w:spacing w:before="240" w:after="0"/>
              <w:rPr>
                <w:color w:val="auto"/>
              </w:rPr>
            </w:pPr>
            <w:r>
              <w:rPr>
                <w:color w:val="auto"/>
              </w:rPr>
              <w:t>Occasional requirement to attend training courses</w:t>
            </w:r>
          </w:p>
          <w:p>
            <w:pPr>
              <w:pStyle w:val="ListParagraph"/>
              <w:widowControl w:val="false"/>
              <w:numPr>
                <w:ilvl w:val="0"/>
                <w:numId w:val="3"/>
              </w:numPr>
              <w:pBdr/>
              <w:spacing w:before="240" w:after="0"/>
              <w:rPr>
                <w:color w:val="auto"/>
              </w:rPr>
            </w:pPr>
            <w:r>
              <w:rPr>
                <w:color w:val="auto"/>
              </w:rPr>
              <w:t>Willingness and ability to travel across the county when required, within a reasonable time to meet the role demands (individuals providing their own vehicle for use will be eligible for casual car user rate).</w:t>
            </w:r>
          </w:p>
          <w:p>
            <w:pPr>
              <w:pStyle w:val="Normal"/>
              <w:pBdr/>
              <w:ind w:left="360" w:right="0" w:hanging="0"/>
              <w:rPr>
                <w:rFonts w:ascii="Arial" w:hAnsi="Arial" w:cs="Arial"/>
                <w:sz w:val="22"/>
                <w:szCs w:val="22"/>
              </w:rPr>
            </w:pPr>
            <w:r>
              <w:rPr>
                <w:rFonts w:cs="Arial" w:ascii="Arial" w:hAnsi="Arial"/>
                <w:sz w:val="22"/>
                <w:szCs w:val="22"/>
              </w:rPr>
            </w:r>
          </w:p>
        </w:tc>
      </w:tr>
    </w:tbl>
    <w:p>
      <w:pPr>
        <w:pStyle w:val="Normal"/>
        <w:shd w:fill="FFFFFF" w:val="clear"/>
        <w:jc w:val="both"/>
        <w:rPr>
          <w:rFonts w:ascii="Arial" w:hAnsi="Arial" w:cs="Arial"/>
          <w:b/>
          <w:b/>
          <w:color w:val="595959"/>
          <w:sz w:val="22"/>
          <w:szCs w:val="22"/>
        </w:rPr>
      </w:pPr>
      <w:r>
        <w:rPr>
          <w:rFonts w:cs="Arial" w:ascii="Arial" w:hAnsi="Arial"/>
          <w:b/>
          <w:color w:val="595959"/>
          <w:sz w:val="22"/>
          <w:szCs w:val="22"/>
        </w:rPr>
      </w:r>
    </w:p>
    <w:p>
      <w:pPr>
        <w:pStyle w:val="Normal"/>
        <w:shd w:fill="FFFFFF" w:val="clear"/>
        <w:jc w:val="both"/>
        <w:rPr>
          <w:rFonts w:ascii="Arial" w:hAnsi="Arial" w:cs="Arial"/>
          <w:b/>
          <w:b/>
          <w:color w:val="595959"/>
          <w:sz w:val="22"/>
          <w:szCs w:val="22"/>
        </w:rPr>
      </w:pPr>
      <w:r>
        <w:rPr>
          <w:rFonts w:cs="Arial" w:ascii="Arial" w:hAnsi="Arial"/>
          <w:b/>
          <w:color w:val="595959"/>
          <w:sz w:val="22"/>
          <w:szCs w:val="22"/>
        </w:rPr>
        <w:t>Corporate Duties</w:t>
      </w:r>
    </w:p>
    <w:p>
      <w:pPr>
        <w:pStyle w:val="TextBody"/>
        <w:widowControl w:val="false"/>
        <w:tabs>
          <w:tab w:val="clear" w:pos="720"/>
          <w:tab w:val="left" w:pos="-720" w:leader="none"/>
        </w:tabs>
        <w:suppressAutoHyphens w:val="true"/>
        <w:rPr>
          <w:rFonts w:cs="Arial"/>
          <w:color w:val="595959"/>
          <w:sz w:val="22"/>
          <w:szCs w:val="22"/>
        </w:rPr>
      </w:pPr>
      <w:r>
        <w:rPr>
          <w:rFonts w:cs="Arial"/>
          <w:color w:val="595959"/>
          <w:sz w:val="22"/>
          <w:szCs w:val="22"/>
        </w:rPr>
      </w:r>
    </w:p>
    <w:p>
      <w:pPr>
        <w:pStyle w:val="TextBody"/>
        <w:widowControl w:val="false"/>
        <w:tabs>
          <w:tab w:val="clear" w:pos="720"/>
          <w:tab w:val="left" w:pos="-720" w:leader="none"/>
        </w:tabs>
        <w:suppressAutoHyphens w:val="true"/>
        <w:rPr>
          <w:rFonts w:cs="Arial"/>
          <w:color w:val="595959"/>
          <w:sz w:val="22"/>
          <w:szCs w:val="22"/>
        </w:rPr>
      </w:pPr>
      <w:r>
        <w:rPr>
          <w:rFonts w:cs="Arial"/>
          <w:color w:val="595959"/>
          <w:sz w:val="22"/>
          <w:szCs w:val="22"/>
        </w:rPr>
        <w:t>Avoid any behaviour which discriminates against your fellow employees, or potential employees on the grounds of their sex, sexual orientation, marital status, race, religion, creed, colour, nationality, ethnic origin or disability.</w:t>
      </w:r>
    </w:p>
    <w:p>
      <w:pPr>
        <w:pStyle w:val="TextBody"/>
        <w:widowControl w:val="false"/>
        <w:tabs>
          <w:tab w:val="clear" w:pos="720"/>
          <w:tab w:val="left" w:pos="-720" w:leader="none"/>
        </w:tabs>
        <w:suppressAutoHyphens w:val="true"/>
        <w:rPr>
          <w:rFonts w:cs="Arial"/>
          <w:color w:val="595959"/>
          <w:sz w:val="22"/>
          <w:szCs w:val="22"/>
        </w:rPr>
      </w:pPr>
      <w:r>
        <w:rPr>
          <w:rFonts w:cs="Arial"/>
          <w:color w:val="595959"/>
          <w:sz w:val="22"/>
          <w:szCs w:val="22"/>
        </w:rPr>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Safeguard at all times confidentiality of information relating to staff and pensioners.</w:t>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Refrain from smoking in any areas of Service premises.</w:t>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Behave in a manner that ensures the security of property and resources.</w:t>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Abide by all relevant Service Policies and Procedures.</w:t>
      </w:r>
    </w:p>
    <w:p>
      <w:pPr>
        <w:pStyle w:val="ListParagraph"/>
        <w:ind w:left="0" w:right="0" w:hanging="0"/>
        <w:jc w:val="both"/>
        <w:rPr>
          <w:color w:val="595959"/>
        </w:rPr>
      </w:pPr>
      <w:r>
        <w:rPr>
          <w:color w:val="595959"/>
        </w:rPr>
      </w:r>
    </w:p>
    <w:p>
      <w:pPr>
        <w:pStyle w:val="Normal"/>
        <w:tabs>
          <w:tab w:val="clear" w:pos="720"/>
          <w:tab w:val="left" w:pos="1134" w:leader="none"/>
        </w:tabs>
        <w:spacing w:before="0" w:after="0"/>
        <w:contextualSpacing/>
        <w:jc w:val="both"/>
        <w:rPr/>
      </w:pPr>
      <w:r>
        <w:rPr>
          <w:rFonts w:cs="Arial" w:ascii="Arial" w:hAnsi="Arial"/>
          <w:b/>
          <w:color w:val="595959"/>
          <w:sz w:val="22"/>
          <w:szCs w:val="22"/>
        </w:rPr>
        <w:t xml:space="preserve">Records Management/ Data Protection - </w:t>
      </w:r>
      <w:r>
        <w:rPr>
          <w:rFonts w:cs="Arial" w:ascii="Arial" w:hAnsi="Arial"/>
          <w:color w:val="595959"/>
          <w:sz w:val="22"/>
          <w:szCs w:val="22"/>
        </w:rPr>
        <w:t>As an employee of the GMCA, you have a legal responsibility for all records (including employee health, financial, personal and administrative) that you gather or use as part of your work with the Service. The records may be paper, electronic, audio or videotapes. You must consult your manager if you have any doubt as to the correct management of the records with which you work.</w:t>
      </w:r>
    </w:p>
    <w:p>
      <w:pPr>
        <w:pStyle w:val="BodyTextIndent3"/>
        <w:tabs>
          <w:tab w:val="clear" w:pos="720"/>
          <w:tab w:val="left" w:pos="1134" w:leader="none"/>
        </w:tabs>
        <w:spacing w:before="0" w:after="0"/>
        <w:ind w:left="0" w:right="0" w:hanging="0"/>
        <w:contextualSpacing/>
        <w:jc w:val="both"/>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contextualSpacing/>
        <w:jc w:val="both"/>
        <w:rPr/>
      </w:pPr>
      <w:r>
        <w:rPr>
          <w:rFonts w:cs="Arial" w:ascii="Arial" w:hAnsi="Arial"/>
          <w:b/>
          <w:color w:val="595959"/>
          <w:sz w:val="22"/>
          <w:szCs w:val="22"/>
        </w:rPr>
        <w:t xml:space="preserve">Confidentiality and Information Security - </w:t>
      </w:r>
      <w:r>
        <w:rPr>
          <w:rFonts w:cs="Arial" w:ascii="Arial" w:hAnsi="Arial"/>
          <w:color w:val="595959"/>
          <w:sz w:val="22"/>
          <w:szCs w:val="22"/>
        </w:rPr>
        <w:t>As a GMCA employee you are required to uphold the confidentiality of all records held by the GMCA, whether employee records or GMCA information. This duty lasts indefinitely and will continue after you leave the GMCA employment. All employees must maintain confidentiality and abide by the Data Protection Act.</w:t>
      </w:r>
    </w:p>
    <w:p>
      <w:pPr>
        <w:pStyle w:val="Normal"/>
        <w:spacing w:before="0" w:after="0"/>
        <w:contextualSpacing/>
        <w:jc w:val="both"/>
        <w:rPr>
          <w:rFonts w:ascii="Arial" w:hAnsi="Arial" w:eastAsia="Arial" w:cs="Arial"/>
          <w:color w:val="595959"/>
          <w:sz w:val="22"/>
          <w:szCs w:val="22"/>
        </w:rPr>
      </w:pPr>
      <w:r>
        <w:rPr>
          <w:rFonts w:eastAsia="Arial" w:cs="Arial" w:ascii="Arial" w:hAnsi="Arial"/>
          <w:color w:val="595959"/>
          <w:sz w:val="22"/>
          <w:szCs w:val="22"/>
        </w:rPr>
        <w:t xml:space="preserve"> </w:t>
      </w:r>
    </w:p>
    <w:p>
      <w:pPr>
        <w:pStyle w:val="Normal"/>
        <w:spacing w:before="0" w:after="0"/>
        <w:contextualSpacing/>
        <w:jc w:val="both"/>
        <w:rPr/>
      </w:pPr>
      <w:r>
        <w:rPr>
          <w:rFonts w:cs="Arial" w:ascii="Arial" w:hAnsi="Arial"/>
          <w:b/>
          <w:color w:val="595959"/>
          <w:sz w:val="22"/>
          <w:szCs w:val="22"/>
        </w:rPr>
        <w:t xml:space="preserve">Data Quality - </w:t>
      </w:r>
      <w:r>
        <w:rPr>
          <w:rFonts w:cs="Arial" w:ascii="Arial" w:hAnsi="Arial"/>
          <w:color w:val="595959"/>
          <w:sz w:val="22"/>
          <w:szCs w:val="22"/>
        </w:rPr>
        <w:t>All staff are personally responsible</w:t>
      </w:r>
      <w:r>
        <w:rPr>
          <w:rFonts w:cs="Arial" w:ascii="Arial" w:hAnsi="Arial"/>
          <w:b/>
          <w:bCs/>
          <w:color w:val="595959"/>
          <w:sz w:val="22"/>
          <w:szCs w:val="22"/>
        </w:rPr>
        <w:t xml:space="preserve"> </w:t>
      </w:r>
      <w:r>
        <w:rPr>
          <w:rFonts w:cs="Arial" w:ascii="Arial" w:hAnsi="Arial"/>
          <w:color w:val="595959"/>
          <w:sz w:val="22"/>
          <w:szCs w:val="22"/>
        </w:rPr>
        <w:t>for the quality of data entered by themselves, or on their behalf, on GMCAs computerised systems or manual records (paper records) and must ensure that such data is entered accurately and, in a timely manner, to ensure high standards of data quality in accordance with Departmental protocols.</w:t>
      </w:r>
    </w:p>
    <w:p>
      <w:pPr>
        <w:pStyle w:val="Normal"/>
        <w:jc w:val="both"/>
        <w:rPr>
          <w:rFonts w:ascii="Arial" w:hAnsi="Arial" w:cs="Arial"/>
          <w:color w:val="595959"/>
          <w:sz w:val="22"/>
          <w:szCs w:val="22"/>
        </w:rPr>
      </w:pPr>
      <w:r>
        <w:rPr>
          <w:rFonts w:cs="Arial" w:ascii="Arial" w:hAnsi="Arial"/>
          <w:color w:val="595959"/>
          <w:sz w:val="22"/>
          <w:szCs w:val="22"/>
        </w:rPr>
        <w:t>  </w:t>
      </w:r>
    </w:p>
    <w:p>
      <w:pPr>
        <w:pStyle w:val="Normal"/>
        <w:jc w:val="both"/>
        <w:rPr>
          <w:rFonts w:ascii="Arial" w:hAnsi="Arial" w:cs="Arial"/>
          <w:color w:val="595959"/>
          <w:sz w:val="22"/>
          <w:szCs w:val="22"/>
        </w:rPr>
      </w:pPr>
      <w:r>
        <w:rPr>
          <w:rFonts w:cs="Arial" w:ascii="Arial" w:hAnsi="Arial"/>
          <w:color w:val="595959"/>
          <w:sz w:val="22"/>
          <w:szCs w:val="22"/>
        </w:rPr>
        <w:t xml:space="preserve">To ensure data is handled in a secure manner protecting the confidentiality of any personal data held in meeting the requirements of the Data Protection Act. </w:t>
      </w:r>
    </w:p>
    <w:p>
      <w:pPr>
        <w:pStyle w:val="Normal"/>
        <w:tabs>
          <w:tab w:val="clear" w:pos="720"/>
          <w:tab w:val="left" w:pos="1134" w:leader="none"/>
        </w:tabs>
        <w:spacing w:before="0" w:after="0"/>
        <w:contextualSpacing/>
        <w:jc w:val="both"/>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contextualSpacing/>
        <w:jc w:val="both"/>
        <w:rPr/>
      </w:pPr>
      <w:r>
        <w:rPr>
          <w:rFonts w:cs="Arial" w:ascii="Arial" w:hAnsi="Arial"/>
          <w:b/>
          <w:color w:val="595959"/>
          <w:sz w:val="22"/>
          <w:szCs w:val="22"/>
        </w:rPr>
        <w:t xml:space="preserve">Health and Safety - </w:t>
      </w:r>
      <w:r>
        <w:rPr>
          <w:rFonts w:cs="Arial" w:ascii="Arial" w:hAnsi="Arial"/>
          <w:color w:val="595959"/>
          <w:sz w:val="22"/>
          <w:szCs w:val="22"/>
        </w:rPr>
        <w:t>All employees of GMCA have a statutory duty of care for their own personal safety and that of others who may be affected by their acts or omissions. Employees are required to co-operate with management to enable GMCA to meet its own legal duties and to report any circumstances that may compromise the health, safety and welfare of those affected by the Service’s undertakings.</w:t>
      </w:r>
    </w:p>
    <w:p>
      <w:pPr>
        <w:pStyle w:val="Normal"/>
        <w:tabs>
          <w:tab w:val="clear" w:pos="720"/>
          <w:tab w:val="left" w:pos="1134" w:leader="none"/>
        </w:tabs>
        <w:spacing w:before="0" w:after="0"/>
        <w:contextualSpacing/>
        <w:jc w:val="both"/>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contextualSpacing/>
        <w:jc w:val="both"/>
        <w:rPr/>
      </w:pPr>
      <w:r>
        <w:rPr>
          <w:rFonts w:cs="Arial" w:ascii="Arial" w:hAnsi="Arial"/>
          <w:b/>
          <w:color w:val="595959"/>
          <w:sz w:val="22"/>
          <w:szCs w:val="22"/>
        </w:rPr>
        <w:t xml:space="preserve">Service Policies - </w:t>
      </w:r>
      <w:r>
        <w:rPr>
          <w:rFonts w:cs="Arial" w:ascii="Arial" w:hAnsi="Arial"/>
          <w:color w:val="595959"/>
          <w:sz w:val="22"/>
          <w:szCs w:val="22"/>
        </w:rPr>
        <w:t>All GMCA employees must observe and adhere to the provisions outlined in these policies.</w:t>
      </w:r>
    </w:p>
    <w:p>
      <w:pPr>
        <w:pStyle w:val="Normal"/>
        <w:spacing w:before="0" w:after="0"/>
        <w:contextualSpacing/>
        <w:jc w:val="both"/>
        <w:rPr>
          <w:rFonts w:ascii="Arial" w:hAnsi="Arial" w:cs="Arial"/>
          <w:color w:val="595959"/>
          <w:sz w:val="22"/>
          <w:szCs w:val="22"/>
        </w:rPr>
      </w:pPr>
      <w:r>
        <w:rPr>
          <w:rFonts w:cs="Arial" w:ascii="Arial" w:hAnsi="Arial"/>
          <w:color w:val="595959"/>
          <w:sz w:val="22"/>
          <w:szCs w:val="22"/>
        </w:rPr>
      </w:r>
    </w:p>
    <w:p>
      <w:pPr>
        <w:pStyle w:val="Body"/>
        <w:ind w:left="0" w:right="261" w:hanging="0"/>
        <w:rPr/>
      </w:pPr>
      <w:r>
        <w:rPr>
          <w:b/>
          <w:color w:val="595959"/>
        </w:rPr>
        <w:t xml:space="preserve">Equal Opportunities - </w:t>
      </w:r>
      <w:r>
        <w:rPr>
          <w:color w:val="595959"/>
        </w:rPr>
        <w:t>GMCA provides a range of services and employment opportunities for a diverse population. As a GMCA employee you are expected to treat all employees / partners / members of the public and work colleagues with dignity and respect irrespective of their background</w:t>
      </w:r>
    </w:p>
    <w:sectPr>
      <w:headerReference w:type="default" r:id="rId3"/>
      <w:headerReference w:type="first" r:id="rId4"/>
      <w:footerReference w:type="default" r:id="rId5"/>
      <w:footerReference w:type="first" r:id="rId6"/>
      <w:type w:val="nextPage"/>
      <w:pgSz w:w="11906" w:h="16838"/>
      <w:pgMar w:left="1440" w:right="1440" w:header="426" w:top="993" w:footer="144" w:bottom="851"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Courier New">
    <w:charset w:val="00"/>
    <w:family w:val="roman"/>
    <w:pitch w:val="variable"/>
  </w:font>
  <w:font w:name="Liberation Sans">
    <w:altName w:val="Arial"/>
    <w:charset w:val="00"/>
    <w:family w:val="swiss"/>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4</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PowerPlusWaterMarkObject357831064" o:spid="shape_0" fillcolor="silver" stroked="f" style="position:absolute;margin-left:19.5pt;margin-top:298.1pt;width:412.35pt;height:159.9pt;rotation:315;mso-position-horizontal:center;mso-position-vertical:center;mso-position-vertical-relative:margin" type="shapetype_136">
          <v:path textpathok="t"/>
          <v:textpath on="t" fitshape="t" string="DRAFT" trim="t" style="font-family:&quot;Calibri&quot;;font-size:1pt"/>
          <w10:wrap type="none"/>
          <v:fill o:detectmouseclick="t" type="solid" color2="#3f3f3f" opacity="0.5"/>
          <v:stroke color="#3465a4" joinstyle="round" endcap="flat"/>
        </v:shape>
      </w:pic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458" w:hanging="360"/>
      </w:pPr>
      <w:rPr>
        <w:rFonts w:ascii="Symbol" w:hAnsi="Symbol" w:cs="Symbol" w:hint="default"/>
        <w:rFonts w:cs="Symbol"/>
      </w:rPr>
    </w:lvl>
    <w:lvl w:ilvl="1">
      <w:start w:val="1"/>
      <w:numFmt w:val="bullet"/>
      <w:lvlText w:val="o"/>
      <w:lvlJc w:val="left"/>
      <w:pPr>
        <w:ind w:left="1178" w:hanging="360"/>
      </w:pPr>
      <w:rPr>
        <w:rFonts w:ascii="Courier New" w:hAnsi="Courier New" w:cs="Courier New" w:hint="default"/>
        <w:rFonts w:cs="Courier New"/>
      </w:rPr>
    </w:lvl>
    <w:lvl w:ilvl="2">
      <w:start w:val="1"/>
      <w:numFmt w:val="bullet"/>
      <w:lvlText w:val=""/>
      <w:lvlJc w:val="left"/>
      <w:pPr>
        <w:ind w:left="1898" w:hanging="360"/>
      </w:pPr>
      <w:rPr>
        <w:rFonts w:ascii="Wingdings" w:hAnsi="Wingdings" w:cs="Wingdings" w:hint="default"/>
        <w:rFonts w:cs="Wingdings"/>
      </w:rPr>
    </w:lvl>
    <w:lvl w:ilvl="3">
      <w:start w:val="1"/>
      <w:numFmt w:val="bullet"/>
      <w:lvlText w:val=""/>
      <w:lvlJc w:val="left"/>
      <w:pPr>
        <w:ind w:left="2618" w:hanging="360"/>
      </w:pPr>
      <w:rPr>
        <w:rFonts w:ascii="Symbol" w:hAnsi="Symbol" w:cs="Symbol" w:hint="default"/>
        <w:rFonts w:cs="Symbol"/>
      </w:rPr>
    </w:lvl>
    <w:lvl w:ilvl="4">
      <w:start w:val="1"/>
      <w:numFmt w:val="bullet"/>
      <w:lvlText w:val="o"/>
      <w:lvlJc w:val="left"/>
      <w:pPr>
        <w:ind w:left="3338" w:hanging="360"/>
      </w:pPr>
      <w:rPr>
        <w:rFonts w:ascii="Courier New" w:hAnsi="Courier New" w:cs="Courier New" w:hint="default"/>
        <w:rFonts w:cs="Courier New"/>
      </w:rPr>
    </w:lvl>
    <w:lvl w:ilvl="5">
      <w:start w:val="1"/>
      <w:numFmt w:val="bullet"/>
      <w:lvlText w:val=""/>
      <w:lvlJc w:val="left"/>
      <w:pPr>
        <w:ind w:left="4058" w:hanging="360"/>
      </w:pPr>
      <w:rPr>
        <w:rFonts w:ascii="Wingdings" w:hAnsi="Wingdings" w:cs="Wingdings" w:hint="default"/>
        <w:rFonts w:cs="Wingdings"/>
      </w:rPr>
    </w:lvl>
    <w:lvl w:ilvl="6">
      <w:start w:val="1"/>
      <w:numFmt w:val="bullet"/>
      <w:lvlText w:val=""/>
      <w:lvlJc w:val="left"/>
      <w:pPr>
        <w:ind w:left="4778" w:hanging="360"/>
      </w:pPr>
      <w:rPr>
        <w:rFonts w:ascii="Symbol" w:hAnsi="Symbol" w:cs="Symbol" w:hint="default"/>
        <w:rFonts w:cs="Symbol"/>
      </w:rPr>
    </w:lvl>
    <w:lvl w:ilvl="7">
      <w:start w:val="1"/>
      <w:numFmt w:val="bullet"/>
      <w:lvlText w:val="o"/>
      <w:lvlJc w:val="left"/>
      <w:pPr>
        <w:ind w:left="5498" w:hanging="360"/>
      </w:pPr>
      <w:rPr>
        <w:rFonts w:ascii="Courier New" w:hAnsi="Courier New" w:cs="Courier New" w:hint="default"/>
        <w:rFonts w:cs="Courier New"/>
      </w:rPr>
    </w:lvl>
    <w:lvl w:ilvl="8">
      <w:start w:val="1"/>
      <w:numFmt w:val="bullet"/>
      <w:lvlText w:val=""/>
      <w:lvlJc w:val="left"/>
      <w:pPr>
        <w:ind w:left="6218"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pBdr/>
      <w:suppressAutoHyphens w:val="true"/>
      <w:bidi w:val="0"/>
      <w:spacing w:lineRule="auto" w:line="240" w:before="0" w:after="0"/>
      <w:jc w:val="left"/>
    </w:pPr>
    <w:rPr>
      <w:rFonts w:ascii="Times New Roman" w:hAnsi="Times New Roman" w:eastAsia="Arial Unicode MS" w:cs="Times New Roman"/>
      <w:color w:val="auto"/>
      <w:kern w:val="0"/>
      <w:sz w:val="24"/>
      <w:szCs w:val="24"/>
      <w:lang w:val="en-US"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mbria" w:hAnsi="Cambria" w:eastAsia="" w:cs=""/>
      <w:b/>
      <w:bCs/>
      <w:color w:val="365F91"/>
      <w:sz w:val="28"/>
      <w:szCs w:val="28"/>
    </w:rPr>
  </w:style>
  <w:style w:type="paragraph" w:styleId="Heading2">
    <w:name w:val="Heading 2"/>
    <w:basedOn w:val="Normal"/>
    <w:next w:val="Normal"/>
    <w:qFormat/>
    <w:pPr>
      <w:keepNext w:val="true"/>
      <w:keepLines/>
      <w:numPr>
        <w:ilvl w:val="1"/>
        <w:numId w:val="1"/>
      </w:numPr>
      <w:spacing w:before="200" w:after="0"/>
      <w:outlineLvl w:val="1"/>
    </w:pPr>
    <w:rPr>
      <w:rFonts w:ascii="Cambria" w:hAnsi="Cambria" w:eastAsia="" w:cs=""/>
      <w:b/>
      <w:bCs/>
      <w:color w:val="4F81BD"/>
      <w:sz w:val="26"/>
      <w:szCs w:val="26"/>
    </w:rPr>
  </w:style>
  <w:style w:type="paragraph" w:styleId="Heading3">
    <w:name w:val="Heading 3"/>
    <w:next w:val="Body"/>
    <w:qFormat/>
    <w:pPr>
      <w:keepNext w:val="true"/>
      <w:widowControl/>
      <w:numPr>
        <w:ilvl w:val="2"/>
        <w:numId w:val="1"/>
      </w:numPr>
      <w:pBdr/>
      <w:suppressAutoHyphens w:val="true"/>
      <w:bidi w:val="0"/>
      <w:spacing w:lineRule="auto" w:line="240" w:before="0" w:after="0"/>
      <w:jc w:val="left"/>
      <w:outlineLvl w:val="2"/>
    </w:pPr>
    <w:rPr>
      <w:rFonts w:ascii="Arial" w:hAnsi="Arial" w:eastAsia="Arial" w:cs="Arial"/>
      <w:b/>
      <w:bCs/>
      <w:color w:val="FFFFFF"/>
      <w:kern w:val="0"/>
      <w:sz w:val="24"/>
      <w:szCs w:val="24"/>
      <w:u w:val="none" w:color="FFFFFF"/>
      <w:lang w:val="en-US"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ing3Char">
    <w:name w:val="Heading 3 Char"/>
    <w:basedOn w:val="DefaultParagraphFont"/>
    <w:qFormat/>
    <w:rPr>
      <w:rFonts w:ascii="Arial" w:hAnsi="Arial" w:eastAsia="Arial" w:cs="Arial"/>
      <w:b/>
      <w:bCs/>
      <w:color w:val="FFFFFF"/>
      <w:sz w:val="24"/>
      <w:szCs w:val="24"/>
      <w:u w:val="none" w:color="FFFFFF"/>
      <w:lang w:val="en-US"/>
    </w:rPr>
  </w:style>
  <w:style w:type="character" w:styleId="HeaderChar">
    <w:name w:val="Header Char"/>
    <w:basedOn w:val="DefaultParagraphFont"/>
    <w:qFormat/>
    <w:rPr>
      <w:rFonts w:ascii="Arial" w:hAnsi="Arial" w:eastAsia="Arial" w:cs="Arial"/>
      <w:color w:val="000000"/>
      <w:u w:val="none" w:color="000000"/>
      <w:lang w:val="en-US"/>
    </w:rPr>
  </w:style>
  <w:style w:type="character" w:styleId="FooterChar">
    <w:name w:val="Footer Char"/>
    <w:basedOn w:val="DefaultParagraphFont"/>
    <w:qFormat/>
    <w:rPr>
      <w:rFonts w:ascii="Arial" w:hAnsi="Arial" w:eastAsia="Arial" w:cs="Arial"/>
      <w:color w:val="000000"/>
      <w:u w:val="none" w:color="000000"/>
      <w:lang w:val="en-US"/>
    </w:rPr>
  </w:style>
  <w:style w:type="character" w:styleId="Heading1Char">
    <w:name w:val="Heading 1 Char"/>
    <w:basedOn w:val="DefaultParagraphFont"/>
    <w:qFormat/>
    <w:rPr>
      <w:rFonts w:ascii="Cambria" w:hAnsi="Cambria" w:eastAsia="" w:cs=""/>
      <w:b/>
      <w:bCs/>
      <w:color w:val="365F91"/>
      <w:sz w:val="28"/>
      <w:szCs w:val="28"/>
      <w:lang w:val="en-US"/>
    </w:rPr>
  </w:style>
  <w:style w:type="character" w:styleId="Heading2Char">
    <w:name w:val="Heading 2 Char"/>
    <w:basedOn w:val="DefaultParagraphFont"/>
    <w:qFormat/>
    <w:rPr>
      <w:rFonts w:ascii="Cambria" w:hAnsi="Cambria" w:eastAsia="" w:cs=""/>
      <w:b/>
      <w:bCs/>
      <w:color w:val="4F81BD"/>
      <w:sz w:val="26"/>
      <w:szCs w:val="26"/>
      <w:lang w:val="en-US"/>
    </w:rPr>
  </w:style>
  <w:style w:type="character" w:styleId="BalloonTextChar">
    <w:name w:val="Balloon Text Char"/>
    <w:basedOn w:val="DefaultParagraphFont"/>
    <w:qFormat/>
    <w:rPr>
      <w:rFonts w:ascii="Tahoma" w:hAnsi="Tahoma" w:eastAsia="Arial Unicode MS" w:cs="Tahoma"/>
      <w:sz w:val="16"/>
      <w:szCs w:val="16"/>
      <w:lang w:val="en-US"/>
    </w:rPr>
  </w:style>
  <w:style w:type="character" w:styleId="PlainTextChar">
    <w:name w:val="Plain Text Char"/>
    <w:basedOn w:val="DefaultParagraphFont"/>
    <w:qFormat/>
    <w:rPr>
      <w:rFonts w:ascii="Courier New" w:hAnsi="Courier New" w:eastAsia="Times New Roman" w:cs="Times New Roman"/>
      <w:sz w:val="20"/>
      <w:szCs w:val="20"/>
    </w:rPr>
  </w:style>
  <w:style w:type="character" w:styleId="BodyTextChar">
    <w:name w:val="Body Text Char"/>
    <w:basedOn w:val="DefaultParagraphFont"/>
    <w:qFormat/>
    <w:rPr>
      <w:rFonts w:ascii="Arial" w:hAnsi="Arial" w:eastAsia="Times New Roman" w:cs="Times New Roman"/>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Arial Unicode MS" w:cs="Times New Roman"/>
      <w:sz w:val="20"/>
      <w:szCs w:val="20"/>
      <w:lang w:val="en-US"/>
    </w:rPr>
  </w:style>
  <w:style w:type="character" w:styleId="CommentSubjectChar">
    <w:name w:val="Comment Subject Char"/>
    <w:basedOn w:val="CommentTextChar"/>
    <w:qFormat/>
    <w:rPr>
      <w:rFonts w:ascii="Times New Roman" w:hAnsi="Times New Roman" w:eastAsia="Arial Unicode MS" w:cs="Times New Roman"/>
      <w:b/>
      <w:bCs/>
      <w:sz w:val="20"/>
      <w:szCs w:val="20"/>
      <w:lang w:val="en-US"/>
    </w:rPr>
  </w:style>
  <w:style w:type="character" w:styleId="BodyTextIndent3Char">
    <w:name w:val="Body Text Indent 3 Char"/>
    <w:basedOn w:val="DefaultParagraphFont"/>
    <w:qFormat/>
    <w:rPr>
      <w:rFonts w:ascii="Times New Roman" w:hAnsi="Times New Roman" w:eastAsia="Arial Unicode MS" w:cs="Times New Roman"/>
      <w:sz w:val="16"/>
      <w:szCs w:val="16"/>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pBdr/>
      <w:snapToGrid w:val="false"/>
    </w:pPr>
    <w:rPr>
      <w:rFonts w:ascii="Arial" w:hAnsi="Arial" w:eastAsia="Times New Roman" w:cs="Arial"/>
      <w:szCs w:val="20"/>
      <w:lang w:val="en-G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pPr>
      <w:widowControl/>
      <w:pBdr/>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Footer">
    <w:name w:val="Footer"/>
    <w:pPr>
      <w:widowControl/>
      <w:pBdr/>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Body">
    <w:name w:val="Body"/>
    <w:qFormat/>
    <w:pPr>
      <w:widowControl/>
      <w:pBdr/>
      <w:suppressAutoHyphens w:val="true"/>
      <w:bidi w:val="0"/>
      <w:spacing w:lineRule="auto" w:line="240" w:before="0" w:after="0"/>
      <w:jc w:val="left"/>
    </w:pPr>
    <w:rPr>
      <w:rFonts w:ascii="Arial" w:hAnsi="Arial" w:eastAsia="Arial" w:cs="Arial"/>
      <w:color w:val="000000"/>
      <w:kern w:val="0"/>
      <w:sz w:val="24"/>
      <w:szCs w:val="22"/>
      <w:u w:val="none" w:color="000000"/>
      <w:lang w:val="en-GB" w:eastAsia="en-US" w:bidi="ar-SA"/>
    </w:rPr>
  </w:style>
  <w:style w:type="paragraph" w:styleId="ListParagraph">
    <w:name w:val="List Paragraph"/>
    <w:qFormat/>
    <w:pPr>
      <w:widowControl/>
      <w:pBdr/>
      <w:suppressAutoHyphens w:val="true"/>
      <w:bidi w:val="0"/>
      <w:spacing w:lineRule="auto" w:line="240" w:before="0" w:after="0"/>
      <w:ind w:left="720" w:right="0" w:hanging="0"/>
      <w:jc w:val="left"/>
    </w:pPr>
    <w:rPr>
      <w:rFonts w:ascii="Arial" w:hAnsi="Arial" w:eastAsia="Arial" w:cs="Arial"/>
      <w:color w:val="000000"/>
      <w:kern w:val="0"/>
      <w:sz w:val="24"/>
      <w:szCs w:val="22"/>
      <w:u w:val="none" w:color="000000"/>
      <w:lang w:val="en-US" w:eastAsia="en-US" w:bidi="ar-SA"/>
    </w:rPr>
  </w:style>
  <w:style w:type="paragraph" w:styleId="BalloonText">
    <w:name w:val="Balloon Text"/>
    <w:basedOn w:val="Normal"/>
    <w:qFormat/>
    <w:pPr/>
    <w:rPr>
      <w:rFonts w:ascii="Tahoma" w:hAnsi="Tahoma" w:cs="Tahoma"/>
      <w:sz w:val="16"/>
      <w:szCs w:val="16"/>
    </w:rPr>
  </w:style>
  <w:style w:type="paragraph" w:styleId="Default">
    <w:name w:val="Default"/>
    <w:qFormat/>
    <w:pPr>
      <w:widowControl/>
      <w:suppressAutoHyphens w:val="true"/>
      <w:bidi w:val="0"/>
      <w:spacing w:lineRule="auto" w:line="240" w:before="0" w:after="0"/>
      <w:jc w:val="left"/>
    </w:pPr>
    <w:rPr>
      <w:rFonts w:ascii="Verdana" w:hAnsi="Verdana" w:eastAsia="Times New Roman" w:cs="Verdana"/>
      <w:color w:val="000000"/>
      <w:kern w:val="0"/>
      <w:sz w:val="24"/>
      <w:szCs w:val="24"/>
      <w:lang w:val="en-GB" w:eastAsia="en-GB" w:bidi="ar-SA"/>
    </w:rPr>
  </w:style>
  <w:style w:type="paragraph" w:styleId="PlainText">
    <w:name w:val="Plain Text"/>
    <w:basedOn w:val="Normal"/>
    <w:qFormat/>
    <w:pPr>
      <w:pBdr/>
    </w:pPr>
    <w:rPr>
      <w:rFonts w:ascii="Courier New" w:hAnsi="Courier New" w:eastAsia="Times New Roman" w:cs="Courier New"/>
      <w:sz w:val="20"/>
      <w:szCs w:val="20"/>
      <w:lang w:val="en-GB"/>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BodyTextIndent3">
    <w:name w:val="Body Text Indent 3"/>
    <w:basedOn w:val="Normal"/>
    <w:qFormat/>
    <w:pPr>
      <w:spacing w:before="0" w:after="120"/>
      <w:ind w:left="283" w:right="0" w:hanging="0"/>
    </w:pPr>
    <w:rPr>
      <w:sz w:val="16"/>
      <w:szCs w:val="16"/>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