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Body"/>
        <w:ind w:left="0" w:right="-761" w:hanging="709"/>
        <w:jc w:val="center"/>
        <w:rPr>
          <w:rFonts w:eastAsia="Calibri"/>
          <w:b/>
          <w:b/>
          <w:bCs/>
          <w:iCs/>
          <w:sz w:val="24"/>
          <w:szCs w:val="24"/>
        </w:rPr>
      </w:pPr>
      <w:r>
        <w:rPr/>
        <w:drawing>
          <wp:inline distT="0" distB="0" distL="0" distR="0">
            <wp:extent cx="6330950" cy="53467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5" t="-161" r="-15" b="-161"/>
                    <a:stretch>
                      <a:fillRect/>
                    </a:stretch>
                  </pic:blipFill>
                  <pic:spPr bwMode="auto">
                    <a:xfrm>
                      <a:off x="0" y="0"/>
                      <a:ext cx="6330950" cy="534670"/>
                    </a:xfrm>
                    <a:prstGeom prst="rect">
                      <a:avLst/>
                    </a:prstGeom>
                  </pic:spPr>
                </pic:pic>
              </a:graphicData>
            </a:graphic>
          </wp:inline>
        </w:drawing>
      </w:r>
    </w:p>
    <w:p>
      <w:pPr>
        <w:pStyle w:val="Body"/>
        <w:ind w:left="0" w:right="261" w:hanging="0"/>
        <w:jc w:val="center"/>
        <w:rPr>
          <w:rFonts w:eastAsia="Calibri"/>
          <w:b/>
          <w:b/>
          <w:bCs/>
          <w:iCs/>
          <w:sz w:val="24"/>
          <w:szCs w:val="24"/>
        </w:rPr>
      </w:pPr>
      <w:r>
        <w:rPr>
          <w:rFonts w:eastAsia="Calibri"/>
          <w:b/>
          <w:bCs/>
          <w:iCs/>
          <w:sz w:val="24"/>
          <w:szCs w:val="24"/>
        </w:rPr>
      </w:r>
    </w:p>
    <w:p>
      <w:pPr>
        <w:pStyle w:val="Body"/>
        <w:ind w:left="0" w:right="261" w:hanging="0"/>
        <w:jc w:val="both"/>
        <w:rPr>
          <w:rFonts w:eastAsia="Calibri"/>
          <w:b/>
          <w:b/>
          <w:bCs/>
          <w:iCs/>
          <w:sz w:val="24"/>
          <w:szCs w:val="24"/>
        </w:rPr>
      </w:pPr>
      <w:r>
        <w:rPr>
          <w:rFonts w:eastAsia="Calibri"/>
          <w:b/>
          <w:bCs/>
          <w:iCs/>
          <w:sz w:val="24"/>
          <w:szCs w:val="24"/>
        </w:rPr>
      </w:r>
    </w:p>
    <w:tbl>
      <w:tblPr>
        <w:tblW w:w="10366" w:type="dxa"/>
        <w:jc w:val="left"/>
        <w:tblInd w:w="-611" w:type="dxa"/>
        <w:tblCellMar>
          <w:top w:w="0" w:type="dxa"/>
          <w:left w:w="108" w:type="dxa"/>
          <w:bottom w:w="0" w:type="dxa"/>
          <w:right w:w="108" w:type="dxa"/>
        </w:tblCellMar>
      </w:tblPr>
      <w:tblGrid>
        <w:gridCol w:w="2127"/>
        <w:gridCol w:w="3091"/>
        <w:gridCol w:w="2310"/>
        <w:gridCol w:w="2838"/>
      </w:tblGrid>
      <w:tr>
        <w:trPr/>
        <w:tc>
          <w:tcPr>
            <w:tcW w:w="2127" w:type="dxa"/>
            <w:tcBorders>
              <w:top w:val="single" w:sz="4" w:space="0" w:color="000000"/>
              <w:left w:val="single" w:sz="4" w:space="0" w:color="000000"/>
              <w:bottom w:val="single" w:sz="4" w:space="0" w:color="000000"/>
            </w:tcBorders>
            <w:shd w:fill="auto" w:val="clear"/>
            <w:vAlign w:val="center"/>
          </w:tcPr>
          <w:p>
            <w:pPr>
              <w:pStyle w:val="Body"/>
              <w:spacing w:before="120" w:after="120"/>
              <w:ind w:left="0" w:right="261" w:hanging="0"/>
              <w:rPr>
                <w:rFonts w:eastAsia="Calibri"/>
                <w:b/>
                <w:b/>
                <w:bCs/>
                <w:iCs/>
                <w:sz w:val="24"/>
                <w:szCs w:val="24"/>
              </w:rPr>
            </w:pPr>
            <w:r>
              <w:rPr>
                <w:rFonts w:eastAsia="Calibri"/>
                <w:b/>
                <w:bCs/>
                <w:iCs/>
                <w:sz w:val="24"/>
                <w:szCs w:val="24"/>
              </w:rPr>
              <w:t>Job Title:</w:t>
            </w:r>
          </w:p>
        </w:tc>
        <w:tc>
          <w:tcPr>
            <w:tcW w:w="3091" w:type="dxa"/>
            <w:tcBorders>
              <w:top w:val="single" w:sz="4" w:space="0" w:color="000000"/>
              <w:left w:val="single" w:sz="4" w:space="0" w:color="000000"/>
              <w:bottom w:val="single" w:sz="4" w:space="0" w:color="000000"/>
            </w:tcBorders>
            <w:shd w:fill="auto" w:val="clear"/>
            <w:vAlign w:val="center"/>
          </w:tcPr>
          <w:p>
            <w:pPr>
              <w:pStyle w:val="Body"/>
              <w:spacing w:before="120" w:after="120"/>
              <w:ind w:left="0" w:right="261" w:hanging="0"/>
              <w:rPr>
                <w:rFonts w:eastAsia="Calibri"/>
                <w:bCs/>
                <w:iCs/>
                <w:sz w:val="24"/>
                <w:szCs w:val="24"/>
              </w:rPr>
            </w:pPr>
            <w:r>
              <w:rPr>
                <w:rFonts w:eastAsia="Calibri"/>
                <w:bCs/>
                <w:iCs/>
                <w:sz w:val="24"/>
                <w:szCs w:val="24"/>
              </w:rPr>
              <w:t>Information and Data Governance Team Leader</w:t>
            </w:r>
          </w:p>
        </w:tc>
        <w:tc>
          <w:tcPr>
            <w:tcW w:w="2310" w:type="dxa"/>
            <w:tcBorders>
              <w:top w:val="single" w:sz="4" w:space="0" w:color="000000"/>
              <w:left w:val="single" w:sz="4" w:space="0" w:color="000000"/>
              <w:bottom w:val="single" w:sz="4" w:space="0" w:color="000000"/>
            </w:tcBorders>
            <w:shd w:fill="auto" w:val="clear"/>
            <w:vAlign w:val="center"/>
          </w:tcPr>
          <w:p>
            <w:pPr>
              <w:pStyle w:val="Body"/>
              <w:spacing w:before="120" w:after="120"/>
              <w:ind w:left="0" w:right="261" w:hanging="0"/>
              <w:rPr>
                <w:rFonts w:eastAsia="Calibri"/>
                <w:b/>
                <w:b/>
                <w:bCs/>
                <w:iCs/>
                <w:color w:val="auto"/>
                <w:sz w:val="24"/>
                <w:szCs w:val="24"/>
              </w:rPr>
            </w:pPr>
            <w:r>
              <w:rPr>
                <w:rFonts w:eastAsia="Calibri"/>
                <w:b/>
                <w:bCs/>
                <w:iCs/>
                <w:color w:val="auto"/>
                <w:sz w:val="24"/>
                <w:szCs w:val="24"/>
              </w:rPr>
              <w:t>Date:</w:t>
            </w:r>
          </w:p>
        </w:tc>
        <w:tc>
          <w:tcPr>
            <w:tcW w:w="2838"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spacing w:before="120" w:after="120"/>
              <w:ind w:left="0" w:right="261" w:hanging="0"/>
              <w:rPr>
                <w:rFonts w:eastAsia="Calibri"/>
                <w:bCs/>
                <w:iCs/>
                <w:color w:val="auto"/>
                <w:sz w:val="24"/>
                <w:szCs w:val="24"/>
              </w:rPr>
            </w:pPr>
            <w:r>
              <w:rPr>
                <w:rFonts w:eastAsia="Calibri"/>
                <w:bCs/>
                <w:iCs/>
                <w:color w:val="auto"/>
                <w:sz w:val="24"/>
                <w:szCs w:val="24"/>
              </w:rPr>
              <w:t>May 2026</w:t>
            </w:r>
          </w:p>
        </w:tc>
      </w:tr>
      <w:tr>
        <w:trPr/>
        <w:tc>
          <w:tcPr>
            <w:tcW w:w="2127" w:type="dxa"/>
            <w:tcBorders>
              <w:top w:val="single" w:sz="4" w:space="0" w:color="000000"/>
              <w:left w:val="single" w:sz="4" w:space="0" w:color="000000"/>
              <w:bottom w:val="single" w:sz="4" w:space="0" w:color="000000"/>
            </w:tcBorders>
            <w:shd w:fill="auto" w:val="clear"/>
            <w:vAlign w:val="center"/>
          </w:tcPr>
          <w:p>
            <w:pPr>
              <w:pStyle w:val="Body"/>
              <w:spacing w:before="120" w:after="120"/>
              <w:ind w:left="0" w:right="261" w:hanging="0"/>
              <w:rPr>
                <w:rFonts w:eastAsia="Calibri"/>
                <w:b/>
                <w:b/>
                <w:bCs/>
                <w:iCs/>
                <w:sz w:val="24"/>
                <w:szCs w:val="24"/>
              </w:rPr>
            </w:pPr>
            <w:r>
              <w:rPr>
                <w:rFonts w:eastAsia="Calibri"/>
                <w:b/>
                <w:bCs/>
                <w:iCs/>
                <w:sz w:val="24"/>
                <w:szCs w:val="24"/>
              </w:rPr>
              <w:t>Reporting Line:</w:t>
            </w:r>
          </w:p>
        </w:tc>
        <w:tc>
          <w:tcPr>
            <w:tcW w:w="3091" w:type="dxa"/>
            <w:tcBorders>
              <w:top w:val="single" w:sz="4" w:space="0" w:color="000000"/>
              <w:left w:val="single" w:sz="4" w:space="0" w:color="000000"/>
              <w:bottom w:val="single" w:sz="4" w:space="0" w:color="000000"/>
            </w:tcBorders>
            <w:shd w:fill="auto" w:val="clear"/>
            <w:vAlign w:val="center"/>
          </w:tcPr>
          <w:p>
            <w:pPr>
              <w:pStyle w:val="Body"/>
              <w:spacing w:before="120" w:after="120"/>
              <w:ind w:left="0" w:right="261" w:hanging="0"/>
              <w:rPr>
                <w:rFonts w:eastAsia="Calibri"/>
                <w:bCs/>
                <w:iCs/>
                <w:color w:val="auto"/>
                <w:sz w:val="24"/>
                <w:szCs w:val="24"/>
              </w:rPr>
            </w:pPr>
            <w:r>
              <w:rPr>
                <w:rFonts w:eastAsia="Calibri"/>
                <w:bCs/>
                <w:iCs/>
                <w:color w:val="auto"/>
                <w:sz w:val="24"/>
                <w:szCs w:val="24"/>
              </w:rPr>
              <w:t>Head of Service and Deputy DPO</w:t>
            </w:r>
          </w:p>
        </w:tc>
        <w:tc>
          <w:tcPr>
            <w:tcW w:w="2310" w:type="dxa"/>
            <w:tcBorders>
              <w:top w:val="single" w:sz="4" w:space="0" w:color="000000"/>
              <w:left w:val="single" w:sz="4" w:space="0" w:color="000000"/>
              <w:bottom w:val="single" w:sz="4" w:space="0" w:color="000000"/>
            </w:tcBorders>
            <w:shd w:fill="auto" w:val="clear"/>
            <w:vAlign w:val="center"/>
          </w:tcPr>
          <w:p>
            <w:pPr>
              <w:pStyle w:val="Body"/>
              <w:spacing w:before="120" w:after="120"/>
              <w:ind w:left="0" w:right="261" w:hanging="0"/>
              <w:rPr>
                <w:rFonts w:eastAsia="Calibri"/>
                <w:b/>
                <w:b/>
                <w:bCs/>
                <w:iCs/>
                <w:color w:val="auto"/>
                <w:sz w:val="24"/>
                <w:szCs w:val="24"/>
              </w:rPr>
            </w:pPr>
            <w:r>
              <w:rPr>
                <w:rFonts w:eastAsia="Calibri"/>
                <w:b/>
                <w:bCs/>
                <w:iCs/>
                <w:color w:val="auto"/>
                <w:sz w:val="24"/>
                <w:szCs w:val="24"/>
              </w:rPr>
              <w:t>Salary:</w:t>
            </w:r>
          </w:p>
        </w:tc>
        <w:tc>
          <w:tcPr>
            <w:tcW w:w="2838"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spacing w:before="120" w:after="120"/>
              <w:ind w:left="0" w:right="261" w:hanging="0"/>
              <w:rPr>
                <w:rFonts w:eastAsia="Calibri"/>
                <w:bCs/>
                <w:iCs/>
                <w:color w:val="auto"/>
                <w:sz w:val="24"/>
                <w:szCs w:val="24"/>
              </w:rPr>
            </w:pPr>
            <w:r>
              <w:rPr>
                <w:rFonts w:eastAsia="Calibri"/>
                <w:bCs/>
                <w:iCs/>
                <w:color w:val="auto"/>
                <w:sz w:val="24"/>
                <w:szCs w:val="24"/>
              </w:rPr>
              <w:t>Grade 9 (subject to Job Evaluation)</w:t>
            </w:r>
          </w:p>
        </w:tc>
      </w:tr>
      <w:tr>
        <w:trPr/>
        <w:tc>
          <w:tcPr>
            <w:tcW w:w="2127" w:type="dxa"/>
            <w:tcBorders>
              <w:top w:val="single" w:sz="4" w:space="0" w:color="000000"/>
              <w:left w:val="single" w:sz="4" w:space="0" w:color="000000"/>
              <w:bottom w:val="single" w:sz="4" w:space="0" w:color="000000"/>
            </w:tcBorders>
            <w:shd w:fill="auto" w:val="clear"/>
            <w:vAlign w:val="center"/>
          </w:tcPr>
          <w:p>
            <w:pPr>
              <w:pStyle w:val="Body"/>
              <w:spacing w:before="120" w:after="120"/>
              <w:ind w:left="0" w:right="261" w:hanging="0"/>
              <w:rPr>
                <w:rFonts w:eastAsia="Calibri"/>
                <w:b/>
                <w:b/>
                <w:bCs/>
                <w:iCs/>
                <w:sz w:val="24"/>
                <w:szCs w:val="24"/>
              </w:rPr>
            </w:pPr>
            <w:r>
              <w:rPr>
                <w:rFonts w:eastAsia="Calibri"/>
                <w:b/>
                <w:bCs/>
                <w:iCs/>
                <w:sz w:val="24"/>
                <w:szCs w:val="24"/>
              </w:rPr>
              <w:t>Team:</w:t>
            </w:r>
          </w:p>
        </w:tc>
        <w:tc>
          <w:tcPr>
            <w:tcW w:w="3091" w:type="dxa"/>
            <w:tcBorders>
              <w:top w:val="single" w:sz="4" w:space="0" w:color="000000"/>
              <w:left w:val="single" w:sz="4" w:space="0" w:color="000000"/>
              <w:bottom w:val="single" w:sz="4" w:space="0" w:color="000000"/>
            </w:tcBorders>
            <w:shd w:fill="auto" w:val="clear"/>
            <w:vAlign w:val="center"/>
          </w:tcPr>
          <w:p>
            <w:pPr>
              <w:pStyle w:val="Body"/>
              <w:spacing w:before="120" w:after="120"/>
              <w:ind w:left="0" w:right="261" w:hanging="0"/>
              <w:rPr>
                <w:rFonts w:eastAsia="Calibri"/>
                <w:bCs/>
                <w:iCs/>
                <w:sz w:val="24"/>
                <w:szCs w:val="24"/>
              </w:rPr>
            </w:pPr>
            <w:r>
              <w:rPr>
                <w:rFonts w:eastAsia="Calibri"/>
                <w:bCs/>
                <w:iCs/>
                <w:sz w:val="24"/>
                <w:szCs w:val="24"/>
              </w:rPr>
              <w:t>Information and Data Governance</w:t>
            </w:r>
          </w:p>
        </w:tc>
        <w:tc>
          <w:tcPr>
            <w:tcW w:w="2310" w:type="dxa"/>
            <w:tcBorders>
              <w:top w:val="single" w:sz="4" w:space="0" w:color="000000"/>
              <w:left w:val="single" w:sz="4" w:space="0" w:color="000000"/>
              <w:bottom w:val="single" w:sz="4" w:space="0" w:color="000000"/>
            </w:tcBorders>
            <w:shd w:fill="auto" w:val="clear"/>
            <w:vAlign w:val="center"/>
          </w:tcPr>
          <w:p>
            <w:pPr>
              <w:pStyle w:val="Body"/>
              <w:spacing w:before="120" w:after="120"/>
              <w:ind w:left="0" w:right="261" w:hanging="0"/>
              <w:rPr>
                <w:rFonts w:eastAsia="Calibri"/>
                <w:b/>
                <w:b/>
                <w:bCs/>
                <w:iCs/>
                <w:sz w:val="24"/>
                <w:szCs w:val="24"/>
              </w:rPr>
            </w:pPr>
            <w:r>
              <w:rPr>
                <w:rFonts w:eastAsia="Calibri"/>
                <w:b/>
                <w:bCs/>
                <w:iCs/>
                <w:sz w:val="24"/>
                <w:szCs w:val="24"/>
              </w:rPr>
              <w:t>Business Area:</w:t>
            </w:r>
          </w:p>
        </w:tc>
        <w:tc>
          <w:tcPr>
            <w:tcW w:w="2838"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spacing w:before="120" w:after="120"/>
              <w:ind w:left="0" w:right="261" w:hanging="0"/>
              <w:rPr>
                <w:rFonts w:eastAsia="Calibri"/>
                <w:bCs/>
                <w:iCs/>
                <w:sz w:val="24"/>
                <w:szCs w:val="24"/>
              </w:rPr>
            </w:pPr>
            <w:r>
              <w:rPr>
                <w:rFonts w:eastAsia="Calibri"/>
                <w:bCs/>
                <w:iCs/>
                <w:sz w:val="24"/>
                <w:szCs w:val="24"/>
              </w:rPr>
              <w:t>Legal Services</w:t>
            </w:r>
          </w:p>
        </w:tc>
      </w:tr>
    </w:tbl>
    <w:p>
      <w:pPr>
        <w:pStyle w:val="Body"/>
        <w:ind w:left="0" w:right="261" w:hanging="0"/>
        <w:jc w:val="both"/>
        <w:rPr>
          <w:rFonts w:eastAsia="Calibri"/>
          <w:b/>
          <w:b/>
          <w:bCs/>
          <w:iCs/>
          <w:sz w:val="24"/>
          <w:szCs w:val="24"/>
        </w:rPr>
      </w:pPr>
      <w:r>
        <w:rPr>
          <w:rFonts w:eastAsia="Calibri"/>
          <w:b/>
          <w:bCs/>
          <w:iCs/>
          <w:sz w:val="24"/>
          <w:szCs w:val="24"/>
        </w:rPr>
      </w:r>
    </w:p>
    <w:tbl>
      <w:tblPr>
        <w:tblW w:w="10386" w:type="dxa"/>
        <w:jc w:val="center"/>
        <w:tblInd w:w="0" w:type="dxa"/>
        <w:tblCellMar>
          <w:top w:w="80" w:type="dxa"/>
          <w:left w:w="80" w:type="dxa"/>
          <w:bottom w:w="80" w:type="dxa"/>
          <w:right w:w="80" w:type="dxa"/>
        </w:tblCellMar>
      </w:tblPr>
      <w:tblGrid>
        <w:gridCol w:w="10386"/>
      </w:tblGrid>
      <w:tr>
        <w:trPr>
          <w:trHeight w:val="180" w:hRule="atLeast"/>
        </w:trPr>
        <w:tc>
          <w:tcPr>
            <w:tcW w:w="10386" w:type="dxa"/>
            <w:tcBorders>
              <w:top w:val="single" w:sz="6" w:space="0" w:color="000000"/>
              <w:left w:val="single" w:sz="6" w:space="0" w:color="0000FF"/>
              <w:right w:val="single" w:sz="6" w:space="0" w:color="0000FF"/>
            </w:tcBorders>
            <w:shd w:fill="000000" w:val="clear"/>
            <w:vAlign w:val="center"/>
          </w:tcPr>
          <w:p>
            <w:pPr>
              <w:pStyle w:val="Heading3"/>
              <w:spacing w:before="40" w:after="0"/>
              <w:ind w:left="0" w:right="261" w:hanging="0"/>
              <w:rPr>
                <w:rFonts w:ascii="Arial" w:hAnsi="Arial" w:cs="Arial"/>
              </w:rPr>
            </w:pPr>
            <w:r>
              <w:rPr>
                <w:rFonts w:cs="Arial" w:ascii="Arial" w:hAnsi="Arial"/>
              </w:rPr>
              <w:t>JOB PURPOSE</w:t>
            </w:r>
          </w:p>
        </w:tc>
      </w:tr>
      <w:tr>
        <w:trPr>
          <w:trHeight w:val="793" w:hRule="atLeast"/>
        </w:trPr>
        <w:tc>
          <w:tcPr>
            <w:tcW w:w="10386" w:type="dxa"/>
            <w:tcBorders>
              <w:left w:val="single" w:sz="6" w:space="0" w:color="000000"/>
              <w:bottom w:val="single" w:sz="4" w:space="0" w:color="000000"/>
              <w:right w:val="single" w:sz="6" w:space="0" w:color="000000"/>
            </w:tcBorders>
            <w:shd w:fill="auto" w:val="clear"/>
            <w:vAlign w:val="center"/>
          </w:tcPr>
          <w:p>
            <w:pPr>
              <w:pStyle w:val="Normal"/>
              <w:rPr>
                <w:rFonts w:ascii="Arial" w:hAnsi="Arial" w:cs="Arial"/>
                <w:sz w:val="24"/>
                <w:szCs w:val="24"/>
              </w:rPr>
            </w:pPr>
            <w:r>
              <w:rPr>
                <w:rFonts w:cs="Arial" w:ascii="Arial" w:hAnsi="Arial"/>
                <w:sz w:val="24"/>
                <w:szCs w:val="24"/>
              </w:rPr>
              <w:t>The Information &amp; Data Governance Team Leader is responsible for the day-to-day, management and professional oversight of the Information and Data Governance function, (Information Requests and Incident Management Reporting) including Information &amp; Data Governance Officers, Senior Information Governance Officers and information rights compliance activity.</w:t>
            </w:r>
          </w:p>
          <w:p>
            <w:pPr>
              <w:pStyle w:val="Normal"/>
              <w:rPr>
                <w:rFonts w:ascii="Arial" w:hAnsi="Arial" w:cs="Arial"/>
                <w:sz w:val="24"/>
                <w:szCs w:val="24"/>
              </w:rPr>
            </w:pPr>
            <w:r>
              <w:rPr>
                <w:rFonts w:cs="Arial" w:ascii="Arial" w:hAnsi="Arial"/>
                <w:sz w:val="24"/>
                <w:szCs w:val="24"/>
              </w:rPr>
              <w:t xml:space="preserve">The postholder will ensure the organisation meets its statutory and regulatory obligations in relation to information rights, data protection, records management, transparency and information access and incident/ breach management reporting, while driving continuous improvement, consistency and resilience across the service.  </w:t>
            </w:r>
          </w:p>
          <w:p>
            <w:pPr>
              <w:pStyle w:val="Normal"/>
              <w:rPr>
                <w:rFonts w:ascii="Arial" w:hAnsi="Arial" w:cs="Arial"/>
                <w:sz w:val="24"/>
                <w:szCs w:val="24"/>
              </w:rPr>
            </w:pPr>
            <w:r>
              <w:rPr>
                <w:rFonts w:cs="Arial" w:ascii="Arial" w:hAnsi="Arial"/>
                <w:sz w:val="24"/>
                <w:szCs w:val="24"/>
              </w:rPr>
              <w:t>The role acts as a key operational link between the Head of Service and Deputy DPO and the wider organisation, translating strategic objectives into effective delivery and providing assurance on compliance, risk and performance.</w:t>
            </w:r>
          </w:p>
          <w:p>
            <w:pPr>
              <w:pStyle w:val="Normal"/>
              <w:spacing w:before="0" w:after="160"/>
              <w:jc w:val="both"/>
              <w:rPr>
                <w:rFonts w:ascii="Arial" w:hAnsi="Arial" w:cs="Arial"/>
                <w:sz w:val="24"/>
                <w:szCs w:val="24"/>
              </w:rPr>
            </w:pPr>
            <w:r>
              <w:rPr>
                <w:rFonts w:cs="Arial" w:ascii="Arial" w:hAnsi="Arial"/>
                <w:sz w:val="24"/>
                <w:szCs w:val="24"/>
              </w:rPr>
            </w:r>
          </w:p>
        </w:tc>
      </w:tr>
    </w:tbl>
    <w:p>
      <w:pPr>
        <w:pStyle w:val="Body"/>
        <w:ind w:left="-567" w:right="261" w:hanging="0"/>
        <w:rPr>
          <w:rFonts w:eastAsia="Calibri"/>
          <w:b/>
          <w:b/>
          <w:bCs/>
          <w:iCs/>
          <w:sz w:val="24"/>
          <w:szCs w:val="24"/>
        </w:rPr>
      </w:pPr>
      <w:r>
        <w:rPr>
          <w:rFonts w:eastAsia="Calibri"/>
          <w:b/>
          <w:bCs/>
          <w:iCs/>
          <w:sz w:val="24"/>
          <w:szCs w:val="24"/>
        </w:rPr>
      </w:r>
    </w:p>
    <w:p>
      <w:pPr>
        <w:pStyle w:val="Body"/>
        <w:ind w:left="-567" w:right="261" w:hanging="0"/>
        <w:rPr>
          <w:rFonts w:eastAsia="Calibri"/>
          <w:b/>
          <w:b/>
          <w:bCs/>
          <w:iCs/>
          <w:sz w:val="24"/>
          <w:szCs w:val="24"/>
        </w:rPr>
      </w:pPr>
      <w:r>
        <w:rPr>
          <w:rFonts w:eastAsia="Calibri"/>
          <w:b/>
          <w:bCs/>
          <w:iCs/>
          <w:sz w:val="24"/>
          <w:szCs w:val="24"/>
        </w:rPr>
      </w:r>
    </w:p>
    <w:tbl>
      <w:tblPr>
        <w:tblW w:w="10376" w:type="dxa"/>
        <w:jc w:val="center"/>
        <w:tblInd w:w="0" w:type="dxa"/>
        <w:tblCellMar>
          <w:top w:w="80" w:type="dxa"/>
          <w:left w:w="80" w:type="dxa"/>
          <w:bottom w:w="80" w:type="dxa"/>
          <w:right w:w="80" w:type="dxa"/>
        </w:tblCellMar>
      </w:tblPr>
      <w:tblGrid>
        <w:gridCol w:w="10376"/>
      </w:tblGrid>
      <w:tr>
        <w:trPr>
          <w:trHeight w:val="180" w:hRule="atLeast"/>
        </w:trPr>
        <w:tc>
          <w:tcPr>
            <w:tcW w:w="10376" w:type="dxa"/>
            <w:tcBorders>
              <w:top w:val="single" w:sz="4" w:space="0" w:color="000000"/>
              <w:left w:val="single" w:sz="4" w:space="0" w:color="000000"/>
              <w:bottom w:val="single" w:sz="4" w:space="0" w:color="000000"/>
              <w:right w:val="single" w:sz="4" w:space="0" w:color="000000"/>
            </w:tcBorders>
            <w:shd w:fill="000000" w:val="clear"/>
            <w:vAlign w:val="center"/>
          </w:tcPr>
          <w:p>
            <w:pPr>
              <w:pStyle w:val="Body"/>
              <w:ind w:left="0" w:right="261" w:hanging="0"/>
              <w:rPr>
                <w:b/>
                <w:b/>
                <w:bCs/>
                <w:color w:val="FFFFFF"/>
                <w:sz w:val="24"/>
                <w:szCs w:val="24"/>
                <w:u w:val="none" w:color="FFFFFF"/>
              </w:rPr>
            </w:pPr>
            <w:r>
              <w:rPr>
                <w:b/>
                <w:bCs/>
                <w:color w:val="FFFFFF"/>
                <w:sz w:val="24"/>
                <w:szCs w:val="24"/>
                <w:u w:val="none" w:color="FFFFFF"/>
              </w:rPr>
              <w:t>KEY RELATIONSHIPS</w:t>
            </w:r>
          </w:p>
        </w:tc>
      </w:tr>
      <w:tr>
        <w:trPr>
          <w:trHeight w:val="1201" w:hRule="atLeast"/>
        </w:trPr>
        <w:tc>
          <w:tcPr>
            <w:tcW w:w="10376" w:type="dxa"/>
            <w:tcBorders>
              <w:top w:val="single" w:sz="4" w:space="0" w:color="000000"/>
              <w:left w:val="single" w:sz="4" w:space="0" w:color="000000"/>
              <w:bottom w:val="single" w:sz="4" w:space="0" w:color="000000"/>
              <w:right w:val="single" w:sz="4" w:space="0" w:color="000000"/>
            </w:tcBorders>
            <w:shd w:fill="auto" w:val="clear"/>
            <w:tcMar>
              <w:left w:w="363" w:type="dxa"/>
            </w:tcMar>
            <w:vAlign w:val="center"/>
          </w:tcPr>
          <w:p>
            <w:pPr>
              <w:pStyle w:val="ListParagraph"/>
              <w:numPr>
                <w:ilvl w:val="0"/>
                <w:numId w:val="2"/>
              </w:numPr>
              <w:spacing w:lineRule="auto" w:line="240" w:before="0" w:after="0"/>
              <w:ind w:left="458" w:right="261" w:hanging="360"/>
              <w:contextualSpacing/>
              <w:rPr>
                <w:rFonts w:ascii="Arial" w:hAnsi="Arial" w:cs="Arial"/>
                <w:color w:val="000000"/>
                <w:sz w:val="24"/>
                <w:szCs w:val="24"/>
              </w:rPr>
            </w:pPr>
            <w:r>
              <w:rPr>
                <w:rFonts w:cs="Arial" w:ascii="Arial" w:hAnsi="Arial"/>
                <w:color w:val="000000"/>
                <w:sz w:val="24"/>
                <w:szCs w:val="24"/>
              </w:rPr>
              <w:t>Information Managers within the GM Localities</w:t>
            </w:r>
          </w:p>
          <w:p>
            <w:pPr>
              <w:pStyle w:val="ListParagraph"/>
              <w:numPr>
                <w:ilvl w:val="0"/>
                <w:numId w:val="2"/>
              </w:numPr>
              <w:spacing w:lineRule="auto" w:line="240" w:before="0" w:after="0"/>
              <w:ind w:left="458" w:right="261" w:hanging="360"/>
              <w:contextualSpacing/>
              <w:rPr>
                <w:rFonts w:ascii="Arial" w:hAnsi="Arial" w:cs="Arial"/>
                <w:color w:val="000000"/>
                <w:sz w:val="24"/>
                <w:szCs w:val="24"/>
              </w:rPr>
            </w:pPr>
            <w:r>
              <w:rPr>
                <w:rFonts w:cs="Arial" w:ascii="Arial" w:hAnsi="Arial"/>
                <w:color w:val="000000"/>
                <w:sz w:val="24"/>
                <w:szCs w:val="24"/>
              </w:rPr>
              <w:t>District Secretaries</w:t>
            </w:r>
          </w:p>
          <w:p>
            <w:pPr>
              <w:pStyle w:val="ListParagraph"/>
              <w:numPr>
                <w:ilvl w:val="0"/>
                <w:numId w:val="2"/>
              </w:numPr>
              <w:spacing w:lineRule="auto" w:line="240" w:before="0" w:after="0"/>
              <w:ind w:left="458" w:right="261" w:hanging="360"/>
              <w:contextualSpacing/>
              <w:rPr>
                <w:rFonts w:ascii="Arial" w:hAnsi="Arial" w:cs="Arial"/>
                <w:color w:val="000000"/>
                <w:sz w:val="24"/>
                <w:szCs w:val="24"/>
              </w:rPr>
            </w:pPr>
            <w:r>
              <w:rPr>
                <w:rFonts w:cs="Arial" w:ascii="Arial" w:hAnsi="Arial"/>
                <w:color w:val="000000"/>
                <w:sz w:val="24"/>
                <w:szCs w:val="24"/>
              </w:rPr>
              <w:t>The Office of the Information Commissioner</w:t>
            </w:r>
          </w:p>
          <w:p>
            <w:pPr>
              <w:pStyle w:val="ListParagraph"/>
              <w:numPr>
                <w:ilvl w:val="0"/>
                <w:numId w:val="2"/>
              </w:numPr>
              <w:spacing w:lineRule="auto" w:line="240" w:before="0" w:after="0"/>
              <w:ind w:left="458" w:right="261" w:hanging="360"/>
              <w:contextualSpacing/>
              <w:rPr>
                <w:rFonts w:ascii="Arial" w:hAnsi="Arial" w:cs="Arial"/>
                <w:color w:val="000000"/>
                <w:sz w:val="24"/>
                <w:szCs w:val="24"/>
              </w:rPr>
            </w:pPr>
            <w:r>
              <w:rPr>
                <w:rFonts w:cs="Arial" w:ascii="Arial" w:hAnsi="Arial"/>
                <w:color w:val="000000"/>
                <w:sz w:val="24"/>
                <w:szCs w:val="24"/>
              </w:rPr>
              <w:t>Legal Officers attached to the GM Localities</w:t>
            </w:r>
          </w:p>
          <w:p>
            <w:pPr>
              <w:pStyle w:val="ListParagraph"/>
              <w:numPr>
                <w:ilvl w:val="0"/>
                <w:numId w:val="2"/>
              </w:numPr>
              <w:spacing w:lineRule="auto" w:line="240" w:before="0" w:after="0"/>
              <w:ind w:left="458" w:right="261" w:hanging="360"/>
              <w:contextualSpacing/>
              <w:rPr>
                <w:rFonts w:ascii="Arial" w:hAnsi="Arial" w:cs="Arial"/>
                <w:color w:val="000000"/>
                <w:sz w:val="24"/>
                <w:szCs w:val="24"/>
              </w:rPr>
            </w:pPr>
            <w:r>
              <w:rPr>
                <w:rFonts w:cs="Arial" w:ascii="Arial" w:hAnsi="Arial"/>
                <w:color w:val="000000"/>
                <w:sz w:val="24"/>
                <w:szCs w:val="24"/>
              </w:rPr>
              <w:t>Records Managers</w:t>
            </w:r>
          </w:p>
          <w:p>
            <w:pPr>
              <w:pStyle w:val="ListParagraph"/>
              <w:numPr>
                <w:ilvl w:val="0"/>
                <w:numId w:val="2"/>
              </w:numPr>
              <w:spacing w:lineRule="auto" w:line="240" w:before="0" w:after="0"/>
              <w:ind w:left="458" w:right="261" w:hanging="360"/>
              <w:contextualSpacing/>
              <w:rPr>
                <w:rFonts w:ascii="Arial" w:hAnsi="Arial" w:cs="Arial"/>
                <w:color w:val="000000"/>
                <w:sz w:val="24"/>
                <w:szCs w:val="24"/>
              </w:rPr>
            </w:pPr>
            <w:r>
              <w:rPr>
                <w:rFonts w:cs="Arial" w:ascii="Arial" w:hAnsi="Arial"/>
                <w:color w:val="000000"/>
                <w:sz w:val="24"/>
                <w:szCs w:val="24"/>
              </w:rPr>
              <w:t>Elected Members</w:t>
            </w:r>
          </w:p>
          <w:p>
            <w:pPr>
              <w:pStyle w:val="ListParagraph"/>
              <w:numPr>
                <w:ilvl w:val="0"/>
                <w:numId w:val="2"/>
              </w:numPr>
              <w:spacing w:lineRule="auto" w:line="240" w:before="0" w:after="0"/>
              <w:ind w:left="458" w:right="261" w:hanging="360"/>
              <w:contextualSpacing/>
              <w:rPr>
                <w:rFonts w:ascii="Arial" w:hAnsi="Arial" w:cs="Arial"/>
                <w:color w:val="000000"/>
                <w:sz w:val="24"/>
                <w:szCs w:val="24"/>
              </w:rPr>
            </w:pPr>
            <w:r>
              <w:rPr>
                <w:rFonts w:cs="Arial" w:ascii="Arial" w:hAnsi="Arial"/>
                <w:color w:val="000000"/>
                <w:sz w:val="24"/>
                <w:szCs w:val="24"/>
              </w:rPr>
              <w:t>Information Security Managers</w:t>
            </w:r>
          </w:p>
          <w:p>
            <w:pPr>
              <w:pStyle w:val="ListParagraph"/>
              <w:numPr>
                <w:ilvl w:val="0"/>
                <w:numId w:val="2"/>
              </w:numPr>
              <w:spacing w:lineRule="auto" w:line="240" w:before="0" w:after="0"/>
              <w:ind w:left="458" w:right="261" w:hanging="360"/>
              <w:contextualSpacing/>
              <w:rPr>
                <w:rFonts w:ascii="Arial" w:hAnsi="Arial" w:cs="Arial"/>
                <w:color w:val="000000"/>
                <w:sz w:val="24"/>
                <w:szCs w:val="24"/>
              </w:rPr>
            </w:pPr>
            <w:r>
              <w:rPr>
                <w:rFonts w:cs="Arial" w:ascii="Arial" w:hAnsi="Arial"/>
                <w:color w:val="000000"/>
                <w:sz w:val="24"/>
                <w:szCs w:val="24"/>
              </w:rPr>
              <w:t>Representatives of employees of partner sectors and organisations</w:t>
            </w:r>
          </w:p>
          <w:p>
            <w:pPr>
              <w:pStyle w:val="ListParagraph"/>
              <w:numPr>
                <w:ilvl w:val="0"/>
                <w:numId w:val="2"/>
              </w:numPr>
              <w:spacing w:lineRule="auto" w:line="240" w:before="0" w:after="0"/>
              <w:ind w:left="458" w:right="261" w:hanging="360"/>
              <w:contextualSpacing/>
              <w:rPr>
                <w:rFonts w:ascii="Arial" w:hAnsi="Arial" w:cs="Arial"/>
                <w:color w:val="000000"/>
                <w:sz w:val="24"/>
                <w:szCs w:val="24"/>
              </w:rPr>
            </w:pPr>
            <w:r>
              <w:rPr>
                <w:rFonts w:cs="Arial" w:ascii="Arial" w:hAnsi="Arial"/>
                <w:color w:val="000000"/>
                <w:sz w:val="24"/>
                <w:szCs w:val="24"/>
              </w:rPr>
              <w:t>Companies owned by the Council/s</w:t>
            </w:r>
          </w:p>
        </w:tc>
      </w:tr>
    </w:tbl>
    <w:p>
      <w:pPr>
        <w:pStyle w:val="Body"/>
        <w:ind w:left="-567" w:right="261" w:hanging="0"/>
        <w:rPr>
          <w:rFonts w:eastAsia="Calibri"/>
          <w:b/>
          <w:b/>
          <w:bCs/>
          <w:iCs/>
          <w:sz w:val="24"/>
          <w:szCs w:val="24"/>
        </w:rPr>
      </w:pPr>
      <w:r>
        <w:rPr>
          <w:rFonts w:eastAsia="Calibri"/>
          <w:b/>
          <w:bCs/>
          <w:iCs/>
          <w:sz w:val="24"/>
          <w:szCs w:val="24"/>
        </w:rPr>
      </w:r>
    </w:p>
    <w:p>
      <w:pPr>
        <w:pStyle w:val="Body"/>
        <w:ind w:left="-567" w:right="261" w:hanging="0"/>
        <w:rPr>
          <w:rFonts w:eastAsia="Calibri"/>
          <w:b/>
          <w:b/>
          <w:bCs/>
          <w:iCs/>
          <w:sz w:val="24"/>
          <w:szCs w:val="24"/>
        </w:rPr>
      </w:pPr>
      <w:r>
        <w:rPr>
          <w:rFonts w:eastAsia="Calibri"/>
          <w:b/>
          <w:bCs/>
          <w:iCs/>
          <w:sz w:val="24"/>
          <w:szCs w:val="24"/>
        </w:rPr>
      </w:r>
    </w:p>
    <w:tbl>
      <w:tblPr>
        <w:tblW w:w="10416" w:type="dxa"/>
        <w:jc w:val="center"/>
        <w:tblInd w:w="0" w:type="dxa"/>
        <w:tblCellMar>
          <w:top w:w="80" w:type="dxa"/>
          <w:left w:w="80" w:type="dxa"/>
          <w:bottom w:w="80" w:type="dxa"/>
          <w:right w:w="80" w:type="dxa"/>
        </w:tblCellMar>
      </w:tblPr>
      <w:tblGrid>
        <w:gridCol w:w="10416"/>
      </w:tblGrid>
      <w:tr>
        <w:trPr>
          <w:trHeight w:val="479" w:hRule="atLeast"/>
        </w:trPr>
        <w:tc>
          <w:tcPr>
            <w:tcW w:w="10416" w:type="dxa"/>
            <w:tcBorders>
              <w:top w:val="single" w:sz="6" w:space="0" w:color="000000"/>
              <w:left w:val="single" w:sz="6" w:space="0" w:color="000000"/>
              <w:right w:val="single" w:sz="6" w:space="0" w:color="000000"/>
            </w:tcBorders>
            <w:shd w:fill="000000" w:val="clear"/>
            <w:vAlign w:val="center"/>
          </w:tcPr>
          <w:p>
            <w:pPr>
              <w:pStyle w:val="Body"/>
              <w:ind w:left="0" w:right="261" w:hanging="0"/>
              <w:rPr>
                <w:rFonts w:eastAsia="Calibri"/>
                <w:b/>
                <w:b/>
                <w:bCs/>
                <w:color w:val="FFFFFF"/>
                <w:sz w:val="24"/>
                <w:szCs w:val="24"/>
                <w:u w:val="none" w:color="FFFFFF"/>
              </w:rPr>
            </w:pPr>
            <w:r>
              <w:rPr>
                <w:rFonts w:eastAsia="Calibri"/>
                <w:b/>
                <w:bCs/>
                <w:color w:val="FFFFFF"/>
                <w:sz w:val="24"/>
                <w:szCs w:val="24"/>
                <w:u w:val="none" w:color="FFFFFF"/>
              </w:rPr>
              <w:t xml:space="preserve">KEY RESPONSIBILITIES </w:t>
            </w:r>
          </w:p>
        </w:tc>
      </w:tr>
      <w:tr>
        <w:trPr>
          <w:trHeight w:val="739" w:hRule="atLeast"/>
        </w:trPr>
        <w:tc>
          <w:tcPr>
            <w:tcW w:w="10416" w:type="dxa"/>
            <w:tcBorders>
              <w:left w:val="single" w:sz="4" w:space="0" w:color="000000"/>
              <w:bottom w:val="single" w:sz="4" w:space="0" w:color="000000"/>
              <w:right w:val="single" w:sz="6" w:space="0" w:color="000000"/>
            </w:tcBorders>
            <w:shd w:fill="auto" w:val="clear"/>
            <w:vAlign w:val="center"/>
          </w:tcPr>
          <w:p>
            <w:pPr>
              <w:pStyle w:val="Normal"/>
              <w:rPr>
                <w:rFonts w:ascii="Arial" w:hAnsi="Arial" w:cs="Arial"/>
                <w:b/>
                <w:b/>
                <w:bCs/>
                <w:sz w:val="24"/>
                <w:szCs w:val="24"/>
              </w:rPr>
            </w:pPr>
            <w:r>
              <w:rPr>
                <w:rFonts w:cs="Arial" w:ascii="Arial" w:hAnsi="Arial"/>
                <w:b/>
                <w:bCs/>
                <w:sz w:val="24"/>
                <w:szCs w:val="24"/>
              </w:rPr>
              <w:t>Leadership and People Management</w:t>
            </w:r>
          </w:p>
          <w:p>
            <w:pPr>
              <w:pStyle w:val="Normal"/>
              <w:numPr>
                <w:ilvl w:val="0"/>
                <w:numId w:val="4"/>
              </w:numPr>
              <w:rPr>
                <w:rFonts w:ascii="Arial" w:hAnsi="Arial" w:cs="Arial"/>
                <w:sz w:val="24"/>
                <w:szCs w:val="24"/>
              </w:rPr>
            </w:pPr>
            <w:r>
              <w:rPr>
                <w:rFonts w:cs="Arial" w:ascii="Arial" w:hAnsi="Arial"/>
                <w:sz w:val="24"/>
                <w:szCs w:val="24"/>
              </w:rPr>
              <w:t>Provide direct line management and professional leadership to Information &amp; Data Governance Officers and Senior Information Governance Officers.</w:t>
            </w:r>
          </w:p>
          <w:p>
            <w:pPr>
              <w:pStyle w:val="Normal"/>
              <w:numPr>
                <w:ilvl w:val="0"/>
                <w:numId w:val="4"/>
              </w:numPr>
              <w:rPr>
                <w:rFonts w:ascii="Arial" w:hAnsi="Arial" w:cs="Arial"/>
                <w:sz w:val="24"/>
                <w:szCs w:val="24"/>
              </w:rPr>
            </w:pPr>
            <w:r>
              <w:rPr>
                <w:rFonts w:cs="Arial" w:ascii="Arial" w:hAnsi="Arial"/>
                <w:sz w:val="24"/>
                <w:szCs w:val="24"/>
              </w:rPr>
              <w:t>Set clear objectives, manage performance, support development and build a resilient, high</w:t>
              <w:noBreakHyphen/>
              <w:t>performing Information Governance team.</w:t>
            </w:r>
          </w:p>
          <w:p>
            <w:pPr>
              <w:pStyle w:val="Normal"/>
              <w:numPr>
                <w:ilvl w:val="0"/>
                <w:numId w:val="4"/>
              </w:numPr>
              <w:rPr>
                <w:rFonts w:ascii="Arial" w:hAnsi="Arial" w:cs="Arial"/>
                <w:sz w:val="24"/>
                <w:szCs w:val="24"/>
              </w:rPr>
            </w:pPr>
            <w:r>
              <w:rPr>
                <w:rFonts w:cs="Arial" w:ascii="Arial" w:hAnsi="Arial"/>
                <w:sz w:val="24"/>
                <w:szCs w:val="24"/>
              </w:rPr>
              <w:t>Act as a senior point of escalation for complex, sensitive or high</w:t>
              <w:noBreakHyphen/>
              <w:t>risk information governance and information rights matters.</w:t>
            </w:r>
          </w:p>
          <w:p>
            <w:pPr>
              <w:pStyle w:val="Normal"/>
              <w:numPr>
                <w:ilvl w:val="0"/>
                <w:numId w:val="4"/>
              </w:numPr>
              <w:rPr>
                <w:rFonts w:ascii="Arial" w:hAnsi="Arial" w:cs="Arial"/>
                <w:sz w:val="24"/>
                <w:szCs w:val="24"/>
              </w:rPr>
            </w:pPr>
            <w:r>
              <w:rPr>
                <w:rFonts w:cs="Arial" w:ascii="Arial" w:hAnsi="Arial"/>
                <w:sz w:val="24"/>
                <w:szCs w:val="24"/>
              </w:rPr>
              <w:t>Foster a culture of accountability, collaboration, continuous improvement and high professional standards.</w:t>
            </w:r>
          </w:p>
          <w:p>
            <w:pPr>
              <w:pStyle w:val="Normal"/>
              <w:rPr>
                <w:rFonts w:ascii="Arial" w:hAnsi="Arial" w:cs="Arial"/>
                <w:b/>
                <w:b/>
                <w:bCs/>
                <w:sz w:val="24"/>
                <w:szCs w:val="24"/>
              </w:rPr>
            </w:pPr>
            <w:r>
              <w:rPr>
                <w:rFonts w:cs="Arial" w:ascii="Arial" w:hAnsi="Arial"/>
                <w:b/>
                <w:bCs/>
                <w:sz w:val="24"/>
                <w:szCs w:val="24"/>
              </w:rPr>
              <w:t>Information Rights &amp; Compliance Oversight</w:t>
            </w:r>
          </w:p>
          <w:p>
            <w:pPr>
              <w:pStyle w:val="Normal"/>
              <w:numPr>
                <w:ilvl w:val="0"/>
                <w:numId w:val="5"/>
              </w:numPr>
              <w:rPr>
                <w:rFonts w:ascii="Arial" w:hAnsi="Arial" w:cs="Arial"/>
                <w:sz w:val="24"/>
                <w:szCs w:val="24"/>
              </w:rPr>
            </w:pPr>
            <w:r>
              <w:rPr>
                <w:rFonts w:cs="Arial" w:ascii="Arial" w:hAnsi="Arial"/>
                <w:sz w:val="24"/>
                <w:szCs w:val="24"/>
              </w:rPr>
              <w:t xml:space="preserve">Oversee and assure the organisation’s compliance with information rights legislation, including: </w:t>
            </w:r>
          </w:p>
          <w:p>
            <w:pPr>
              <w:pStyle w:val="Normal"/>
              <w:numPr>
                <w:ilvl w:val="1"/>
                <w:numId w:val="5"/>
              </w:numPr>
              <w:rPr>
                <w:rFonts w:ascii="Arial" w:hAnsi="Arial" w:cs="Arial"/>
                <w:sz w:val="24"/>
                <w:szCs w:val="24"/>
              </w:rPr>
            </w:pPr>
            <w:r>
              <w:rPr>
                <w:rFonts w:cs="Arial" w:ascii="Arial" w:hAnsi="Arial"/>
                <w:sz w:val="24"/>
                <w:szCs w:val="24"/>
              </w:rPr>
              <w:t>Freedom of Information Act 2000</w:t>
            </w:r>
          </w:p>
          <w:p>
            <w:pPr>
              <w:pStyle w:val="Normal"/>
              <w:numPr>
                <w:ilvl w:val="1"/>
                <w:numId w:val="5"/>
              </w:numPr>
              <w:rPr>
                <w:rFonts w:ascii="Arial" w:hAnsi="Arial" w:cs="Arial"/>
                <w:sz w:val="24"/>
                <w:szCs w:val="24"/>
              </w:rPr>
            </w:pPr>
            <w:r>
              <w:rPr>
                <w:rFonts w:cs="Arial" w:ascii="Arial" w:hAnsi="Arial"/>
                <w:sz w:val="24"/>
                <w:szCs w:val="24"/>
              </w:rPr>
              <w:t>Environmental Information Regulations 2004</w:t>
            </w:r>
          </w:p>
          <w:p>
            <w:pPr>
              <w:pStyle w:val="Normal"/>
              <w:numPr>
                <w:ilvl w:val="1"/>
                <w:numId w:val="5"/>
              </w:numPr>
              <w:rPr>
                <w:rFonts w:ascii="Arial" w:hAnsi="Arial" w:cs="Arial"/>
                <w:sz w:val="24"/>
                <w:szCs w:val="24"/>
              </w:rPr>
            </w:pPr>
            <w:r>
              <w:rPr>
                <w:rFonts w:cs="Arial" w:ascii="Arial" w:hAnsi="Arial"/>
                <w:sz w:val="24"/>
                <w:szCs w:val="24"/>
              </w:rPr>
              <w:t>UK GDPR and Data Protection Act 2018</w:t>
            </w:r>
          </w:p>
          <w:p>
            <w:pPr>
              <w:pStyle w:val="Normal"/>
              <w:numPr>
                <w:ilvl w:val="1"/>
                <w:numId w:val="5"/>
              </w:numPr>
              <w:rPr>
                <w:rFonts w:ascii="Arial" w:hAnsi="Arial" w:cs="Arial"/>
                <w:sz w:val="24"/>
                <w:szCs w:val="24"/>
              </w:rPr>
            </w:pPr>
            <w:r>
              <w:rPr>
                <w:rFonts w:cs="Arial" w:ascii="Arial" w:hAnsi="Arial"/>
                <w:sz w:val="24"/>
                <w:szCs w:val="24"/>
              </w:rPr>
              <w:t>Data Use and Access Act 2025.</w:t>
            </w:r>
          </w:p>
          <w:p>
            <w:pPr>
              <w:pStyle w:val="Normal"/>
              <w:numPr>
                <w:ilvl w:val="0"/>
                <w:numId w:val="5"/>
              </w:numPr>
              <w:rPr>
                <w:rFonts w:ascii="Arial" w:hAnsi="Arial" w:cs="Arial"/>
                <w:sz w:val="24"/>
                <w:szCs w:val="24"/>
              </w:rPr>
            </w:pPr>
            <w:r>
              <w:rPr>
                <w:rFonts w:cs="Arial" w:ascii="Arial" w:hAnsi="Arial"/>
                <w:sz w:val="24"/>
                <w:szCs w:val="24"/>
              </w:rPr>
              <w:t>Provide senior oversight of complex, high</w:t>
              <w:noBreakHyphen/>
              <w:t>profile or politically sensitive FOI, EIR and data subject rights requests, ensuring statutory timescales and quality standards are met.</w:t>
            </w:r>
          </w:p>
          <w:p>
            <w:pPr>
              <w:pStyle w:val="Normal"/>
              <w:numPr>
                <w:ilvl w:val="0"/>
                <w:numId w:val="5"/>
              </w:numPr>
              <w:rPr>
                <w:rFonts w:ascii="Arial" w:hAnsi="Arial" w:cs="Arial"/>
                <w:sz w:val="24"/>
                <w:szCs w:val="24"/>
              </w:rPr>
            </w:pPr>
            <w:r>
              <w:rPr>
                <w:rFonts w:cs="Arial" w:ascii="Arial" w:hAnsi="Arial"/>
                <w:sz w:val="24"/>
                <w:szCs w:val="24"/>
              </w:rPr>
              <w:t>Ensure effective management of data breaches, complaints, internal reviews and regulatory correspondence, including liaison with the Information Commissioner’s Office where required.</w:t>
            </w:r>
          </w:p>
          <w:p>
            <w:pPr>
              <w:pStyle w:val="Normal"/>
              <w:rPr>
                <w:rFonts w:ascii="Arial" w:hAnsi="Arial" w:cs="Arial"/>
                <w:b/>
                <w:b/>
                <w:bCs/>
                <w:sz w:val="24"/>
                <w:szCs w:val="24"/>
              </w:rPr>
            </w:pPr>
            <w:r>
              <w:rPr>
                <w:rFonts w:cs="Arial" w:ascii="Arial" w:hAnsi="Arial"/>
                <w:b/>
                <w:bCs/>
                <w:sz w:val="24"/>
                <w:szCs w:val="24"/>
              </w:rPr>
              <w:t>Operational Management &amp; Assurance</w:t>
            </w:r>
          </w:p>
          <w:p>
            <w:pPr>
              <w:pStyle w:val="Normal"/>
              <w:numPr>
                <w:ilvl w:val="0"/>
                <w:numId w:val="6"/>
              </w:numPr>
              <w:rPr>
                <w:rFonts w:ascii="Arial" w:hAnsi="Arial" w:cs="Arial"/>
                <w:sz w:val="24"/>
                <w:szCs w:val="24"/>
              </w:rPr>
            </w:pPr>
            <w:r>
              <w:rPr>
                <w:rFonts w:cs="Arial" w:ascii="Arial" w:hAnsi="Arial"/>
                <w:sz w:val="24"/>
                <w:szCs w:val="24"/>
              </w:rPr>
              <w:t xml:space="preserve">Lead the operational delivery of the Information Governance framework, ensuring consistency, quality and compliance across: </w:t>
            </w:r>
          </w:p>
          <w:p>
            <w:pPr>
              <w:pStyle w:val="Normal"/>
              <w:numPr>
                <w:ilvl w:val="1"/>
                <w:numId w:val="6"/>
              </w:numPr>
              <w:rPr>
                <w:rFonts w:ascii="Arial" w:hAnsi="Arial" w:cs="Arial"/>
                <w:sz w:val="24"/>
                <w:szCs w:val="24"/>
              </w:rPr>
            </w:pPr>
            <w:r>
              <w:rPr>
                <w:rFonts w:cs="Arial" w:ascii="Arial" w:hAnsi="Arial"/>
                <w:sz w:val="24"/>
                <w:szCs w:val="24"/>
              </w:rPr>
              <w:t>Information rights handling</w:t>
            </w:r>
          </w:p>
          <w:p>
            <w:pPr>
              <w:pStyle w:val="Normal"/>
              <w:numPr>
                <w:ilvl w:val="1"/>
                <w:numId w:val="6"/>
              </w:numPr>
              <w:rPr>
                <w:rFonts w:ascii="Arial" w:hAnsi="Arial" w:cs="Arial"/>
                <w:sz w:val="24"/>
                <w:szCs w:val="24"/>
              </w:rPr>
            </w:pPr>
            <w:r>
              <w:rPr>
                <w:rFonts w:cs="Arial" w:ascii="Arial" w:hAnsi="Arial"/>
                <w:sz w:val="24"/>
                <w:szCs w:val="24"/>
              </w:rPr>
              <w:t>Records management and retention</w:t>
            </w:r>
          </w:p>
          <w:p>
            <w:pPr>
              <w:pStyle w:val="Normal"/>
              <w:numPr>
                <w:ilvl w:val="1"/>
                <w:numId w:val="6"/>
              </w:numPr>
              <w:rPr>
                <w:rFonts w:ascii="Arial" w:hAnsi="Arial" w:cs="Arial"/>
                <w:sz w:val="24"/>
                <w:szCs w:val="24"/>
              </w:rPr>
            </w:pPr>
            <w:r>
              <w:rPr>
                <w:rFonts w:cs="Arial" w:ascii="Arial" w:hAnsi="Arial"/>
                <w:sz w:val="24"/>
                <w:szCs w:val="24"/>
              </w:rPr>
              <w:t>Information asset management</w:t>
            </w:r>
          </w:p>
          <w:p>
            <w:pPr>
              <w:pStyle w:val="Normal"/>
              <w:numPr>
                <w:ilvl w:val="1"/>
                <w:numId w:val="6"/>
              </w:numPr>
              <w:rPr>
                <w:rFonts w:ascii="Arial" w:hAnsi="Arial" w:cs="Arial"/>
                <w:sz w:val="24"/>
                <w:szCs w:val="24"/>
              </w:rPr>
            </w:pPr>
            <w:r>
              <w:rPr>
                <w:rFonts w:cs="Arial" w:ascii="Arial" w:hAnsi="Arial"/>
                <w:sz w:val="24"/>
                <w:szCs w:val="24"/>
              </w:rPr>
              <w:t>Publication scheme and transparency obligations</w:t>
            </w:r>
          </w:p>
          <w:p>
            <w:pPr>
              <w:pStyle w:val="Normal"/>
              <w:numPr>
                <w:ilvl w:val="0"/>
                <w:numId w:val="6"/>
              </w:numPr>
              <w:rPr>
                <w:rFonts w:ascii="Arial" w:hAnsi="Arial" w:cs="Arial"/>
                <w:sz w:val="24"/>
                <w:szCs w:val="24"/>
              </w:rPr>
            </w:pPr>
            <w:r>
              <w:rPr>
                <w:rFonts w:cs="Arial" w:ascii="Arial" w:hAnsi="Arial"/>
                <w:sz w:val="24"/>
                <w:szCs w:val="24"/>
              </w:rPr>
              <w:t>Monitor performance, risks and trends, using management information and assurance reporting to inform senior leaders and governance boards.</w:t>
            </w:r>
          </w:p>
          <w:p>
            <w:pPr>
              <w:pStyle w:val="Normal"/>
              <w:numPr>
                <w:ilvl w:val="0"/>
                <w:numId w:val="6"/>
              </w:numPr>
              <w:rPr>
                <w:rFonts w:ascii="Arial" w:hAnsi="Arial" w:cs="Arial"/>
                <w:sz w:val="24"/>
                <w:szCs w:val="24"/>
              </w:rPr>
            </w:pPr>
            <w:r>
              <w:rPr>
                <w:rFonts w:cs="Arial" w:ascii="Arial" w:hAnsi="Arial"/>
                <w:sz w:val="24"/>
                <w:szCs w:val="24"/>
              </w:rPr>
              <w:t>Ensure Incident and Data Breach management is maintained and embedded into practice and ways of working</w:t>
            </w:r>
          </w:p>
          <w:p>
            <w:pPr>
              <w:pStyle w:val="Normal"/>
              <w:numPr>
                <w:ilvl w:val="0"/>
                <w:numId w:val="6"/>
              </w:numPr>
              <w:rPr>
                <w:rFonts w:ascii="Arial" w:hAnsi="Arial" w:cs="Arial"/>
                <w:sz w:val="24"/>
                <w:szCs w:val="24"/>
              </w:rPr>
            </w:pPr>
            <w:r>
              <w:rPr>
                <w:rFonts w:cs="Arial" w:ascii="Arial" w:hAnsi="Arial"/>
                <w:sz w:val="24"/>
                <w:szCs w:val="24"/>
              </w:rPr>
              <w:t>Ensure systems (in particular our case management system), processes and guidance are maintained, embedded and kept under review in line with legislative, regulatory and best</w:t>
              <w:noBreakHyphen/>
              <w:t>practice developments.</w:t>
            </w:r>
          </w:p>
          <w:p>
            <w:pPr>
              <w:pStyle w:val="Normal"/>
              <w:rPr>
                <w:rFonts w:ascii="Arial" w:hAnsi="Arial" w:cs="Arial"/>
                <w:b/>
                <w:b/>
                <w:bCs/>
                <w:sz w:val="24"/>
                <w:szCs w:val="24"/>
              </w:rPr>
            </w:pPr>
            <w:r>
              <w:rPr>
                <w:rFonts w:cs="Arial" w:ascii="Arial" w:hAnsi="Arial"/>
                <w:b/>
                <w:bCs/>
                <w:sz w:val="24"/>
                <w:szCs w:val="24"/>
              </w:rPr>
              <w:t>Policy, Strategy and Change</w:t>
            </w:r>
          </w:p>
          <w:p>
            <w:pPr>
              <w:pStyle w:val="Normal"/>
              <w:numPr>
                <w:ilvl w:val="0"/>
                <w:numId w:val="7"/>
              </w:numPr>
              <w:rPr>
                <w:rFonts w:ascii="Arial" w:hAnsi="Arial" w:cs="Arial"/>
                <w:sz w:val="24"/>
                <w:szCs w:val="24"/>
              </w:rPr>
            </w:pPr>
            <w:r>
              <w:rPr>
                <w:rFonts w:cs="Arial" w:ascii="Arial" w:hAnsi="Arial"/>
                <w:sz w:val="24"/>
                <w:szCs w:val="24"/>
              </w:rPr>
              <w:t>Support the Information Governance Lead / DPO in the development, implementation and delivery of information governance strategies, policies and improvement programmes.</w:t>
            </w:r>
          </w:p>
          <w:p>
            <w:pPr>
              <w:pStyle w:val="Normal"/>
              <w:numPr>
                <w:ilvl w:val="0"/>
                <w:numId w:val="7"/>
              </w:numPr>
              <w:rPr>
                <w:rFonts w:ascii="Arial" w:hAnsi="Arial" w:cs="Arial"/>
                <w:sz w:val="24"/>
                <w:szCs w:val="24"/>
              </w:rPr>
            </w:pPr>
            <w:r>
              <w:rPr>
                <w:rFonts w:cs="Arial" w:ascii="Arial" w:hAnsi="Arial"/>
                <w:sz w:val="24"/>
                <w:szCs w:val="24"/>
              </w:rPr>
              <w:t>Lead on translating strategic priorities into operational plans, ensuring delivery against agreed outcomes.</w:t>
            </w:r>
          </w:p>
          <w:p>
            <w:pPr>
              <w:pStyle w:val="Normal"/>
              <w:numPr>
                <w:ilvl w:val="0"/>
                <w:numId w:val="7"/>
              </w:numPr>
              <w:rPr>
                <w:rFonts w:ascii="Arial" w:hAnsi="Arial" w:cs="Arial"/>
                <w:sz w:val="24"/>
                <w:szCs w:val="24"/>
              </w:rPr>
            </w:pPr>
            <w:r>
              <w:rPr>
                <w:rFonts w:cs="Arial" w:ascii="Arial" w:hAnsi="Arial"/>
                <w:sz w:val="24"/>
                <w:szCs w:val="24"/>
              </w:rPr>
              <w:t>Contribute expert advice to organisational change programmes, digital initiatives and data</w:t>
              <w:noBreakHyphen/>
              <w:t>driven projects to ensure information governance requirements are built in by design.</w:t>
            </w:r>
          </w:p>
          <w:p>
            <w:pPr>
              <w:pStyle w:val="Normal"/>
              <w:rPr>
                <w:rFonts w:ascii="Arial" w:hAnsi="Arial" w:cs="Arial"/>
                <w:b/>
                <w:b/>
                <w:bCs/>
                <w:sz w:val="24"/>
                <w:szCs w:val="24"/>
              </w:rPr>
            </w:pPr>
            <w:r>
              <w:rPr>
                <w:rFonts w:cs="Arial" w:ascii="Arial" w:hAnsi="Arial"/>
                <w:b/>
                <w:bCs/>
                <w:sz w:val="24"/>
                <w:szCs w:val="24"/>
              </w:rPr>
              <w:t>Stakeholder Engagement &amp; Advice</w:t>
            </w:r>
          </w:p>
          <w:p>
            <w:pPr>
              <w:pStyle w:val="Normal"/>
              <w:numPr>
                <w:ilvl w:val="0"/>
                <w:numId w:val="8"/>
              </w:numPr>
              <w:rPr>
                <w:rFonts w:ascii="Arial" w:hAnsi="Arial" w:cs="Arial"/>
                <w:sz w:val="24"/>
                <w:szCs w:val="24"/>
              </w:rPr>
            </w:pPr>
            <w:r>
              <w:rPr>
                <w:rFonts w:cs="Arial" w:ascii="Arial" w:hAnsi="Arial"/>
                <w:sz w:val="24"/>
                <w:szCs w:val="24"/>
              </w:rPr>
              <w:t>Act as a senior professional advisor to managers, services and partners on information governance and information rights matters.</w:t>
            </w:r>
          </w:p>
          <w:p>
            <w:pPr>
              <w:pStyle w:val="Normal"/>
              <w:numPr>
                <w:ilvl w:val="0"/>
                <w:numId w:val="8"/>
              </w:numPr>
              <w:rPr>
                <w:rFonts w:ascii="Arial" w:hAnsi="Arial" w:cs="Arial"/>
                <w:sz w:val="24"/>
                <w:szCs w:val="24"/>
              </w:rPr>
            </w:pPr>
            <w:r>
              <w:rPr>
                <w:rFonts w:cs="Arial" w:ascii="Arial" w:hAnsi="Arial"/>
                <w:sz w:val="24"/>
                <w:szCs w:val="24"/>
              </w:rPr>
              <w:t>Build effective working relationships across the organisation and with external partners to promote compliance, consistency and good practice.</w:t>
            </w:r>
          </w:p>
          <w:p>
            <w:pPr>
              <w:pStyle w:val="Normal"/>
              <w:numPr>
                <w:ilvl w:val="0"/>
                <w:numId w:val="8"/>
              </w:numPr>
              <w:rPr>
                <w:rFonts w:ascii="Arial" w:hAnsi="Arial" w:cs="Arial"/>
                <w:sz w:val="24"/>
                <w:szCs w:val="24"/>
              </w:rPr>
            </w:pPr>
            <w:r>
              <w:rPr>
                <w:rFonts w:cs="Arial" w:ascii="Arial" w:hAnsi="Arial"/>
                <w:sz w:val="24"/>
                <w:szCs w:val="24"/>
              </w:rPr>
              <w:t>Represent the Information Governance service at internal forums, working groups and assurance meetings as required.</w:t>
            </w:r>
          </w:p>
          <w:p>
            <w:pPr>
              <w:pStyle w:val="Default"/>
              <w:rPr>
                <w:rFonts w:ascii="Arial" w:hAnsi="Arial" w:cs="Arial"/>
                <w:color w:val="auto"/>
              </w:rPr>
            </w:pPr>
            <w:r>
              <w:rPr>
                <w:rFonts w:cs="Arial" w:ascii="Arial" w:hAnsi="Arial"/>
                <w:color w:val="auto"/>
              </w:rPr>
            </w:r>
          </w:p>
          <w:p>
            <w:pPr>
              <w:pStyle w:val="Normal"/>
              <w:rPr/>
            </w:pPr>
            <w:r>
              <w:rPr>
                <w:rFonts w:cs="Arial" w:ascii="Arial" w:hAnsi="Arial"/>
                <w:b/>
                <w:bCs/>
                <w:sz w:val="24"/>
                <w:szCs w:val="24"/>
              </w:rPr>
              <w:t xml:space="preserve">NB: </w:t>
            </w:r>
            <w:r>
              <w:rPr>
                <w:rFonts w:cs="Arial" w:ascii="Arial" w:hAnsi="Arial"/>
                <w:sz w:val="24"/>
                <w:szCs w:val="24"/>
              </w:rPr>
              <w:t>This list of duties and responsibilities is by no means exhaustive, and the post holder may be required to undertake other relevant and appropriate duties as required.</w:t>
            </w:r>
          </w:p>
          <w:p>
            <w:pPr>
              <w:pStyle w:val="Normal"/>
              <w:spacing w:before="0" w:after="160"/>
              <w:jc w:val="both"/>
              <w:rPr>
                <w:rFonts w:ascii="Arial" w:hAnsi="Arial" w:cs="Arial"/>
                <w:sz w:val="24"/>
                <w:szCs w:val="24"/>
              </w:rPr>
            </w:pPr>
            <w:r>
              <w:rPr>
                <w:rFonts w:cs="Arial" w:ascii="Arial" w:hAnsi="Arial"/>
                <w:sz w:val="24"/>
                <w:szCs w:val="24"/>
              </w:rPr>
            </w:r>
          </w:p>
        </w:tc>
      </w:tr>
    </w:tbl>
    <w:p>
      <w:pPr>
        <w:pStyle w:val="Body"/>
        <w:ind w:left="-567" w:right="261" w:hanging="0"/>
        <w:rPr>
          <w:rFonts w:eastAsia="Calibri"/>
          <w:b/>
          <w:b/>
          <w:bCs/>
          <w:iCs/>
          <w:sz w:val="24"/>
          <w:szCs w:val="24"/>
        </w:rPr>
      </w:pPr>
      <w:r>
        <w:rPr>
          <w:rFonts w:eastAsia="Calibri"/>
          <w:b/>
          <w:bCs/>
          <w:iCs/>
          <w:sz w:val="24"/>
          <w:szCs w:val="24"/>
        </w:rPr>
      </w:r>
    </w:p>
    <w:p>
      <w:pPr>
        <w:pStyle w:val="Body"/>
        <w:ind w:left="-567" w:right="261" w:hanging="0"/>
        <w:rPr>
          <w:rFonts w:eastAsia="Calibri"/>
          <w:b/>
          <w:b/>
          <w:bCs/>
          <w:iCs/>
          <w:sz w:val="24"/>
          <w:szCs w:val="24"/>
        </w:rPr>
      </w:pPr>
      <w:r>
        <w:rPr>
          <w:rFonts w:eastAsia="Calibri"/>
          <w:b/>
          <w:bCs/>
          <w:iCs/>
          <w:sz w:val="24"/>
          <w:szCs w:val="24"/>
        </w:rPr>
      </w:r>
    </w:p>
    <w:tbl>
      <w:tblPr>
        <w:tblW w:w="10369" w:type="dxa"/>
        <w:jc w:val="center"/>
        <w:tblInd w:w="0" w:type="dxa"/>
        <w:tblCellMar>
          <w:top w:w="80" w:type="dxa"/>
          <w:left w:w="80" w:type="dxa"/>
          <w:bottom w:w="80" w:type="dxa"/>
          <w:right w:w="80" w:type="dxa"/>
        </w:tblCellMar>
      </w:tblPr>
      <w:tblGrid>
        <w:gridCol w:w="10369"/>
      </w:tblGrid>
      <w:tr>
        <w:trPr>
          <w:trHeight w:val="180" w:hRule="atLeast"/>
        </w:trPr>
        <w:tc>
          <w:tcPr>
            <w:tcW w:w="10369" w:type="dxa"/>
            <w:tcBorders>
              <w:top w:val="single" w:sz="4" w:space="0" w:color="000000"/>
              <w:left w:val="single" w:sz="4" w:space="0" w:color="000000"/>
              <w:bottom w:val="single" w:sz="4" w:space="0" w:color="000000"/>
              <w:right w:val="single" w:sz="4" w:space="0" w:color="000000"/>
            </w:tcBorders>
            <w:shd w:fill="000000" w:val="clear"/>
            <w:vAlign w:val="center"/>
          </w:tcPr>
          <w:p>
            <w:pPr>
              <w:pStyle w:val="Body"/>
              <w:ind w:left="18" w:right="261" w:hanging="0"/>
              <w:rPr>
                <w:rFonts w:eastAsia="Calibri"/>
                <w:b/>
                <w:b/>
                <w:bCs/>
                <w:color w:val="FFFFFF"/>
                <w:sz w:val="24"/>
                <w:szCs w:val="24"/>
                <w:u w:val="none" w:color="FFFFFF"/>
              </w:rPr>
            </w:pPr>
            <w:r>
              <w:rPr>
                <w:rFonts w:eastAsia="Calibri"/>
                <w:b/>
                <w:bCs/>
                <w:color w:val="FFFFFF"/>
                <w:sz w:val="24"/>
                <w:szCs w:val="24"/>
                <w:u w:val="none" w:color="FFFFFF"/>
              </w:rPr>
              <w:t>KNOWLEDGE, SKILLS AND EXPERIENCE</w:t>
            </w:r>
          </w:p>
        </w:tc>
      </w:tr>
      <w:tr>
        <w:trPr>
          <w:trHeight w:val="3467" w:hRule="atLeast"/>
        </w:trPr>
        <w:tc>
          <w:tcPr>
            <w:tcW w:w="10369" w:type="dxa"/>
            <w:tcBorders>
              <w:top w:val="single" w:sz="4" w:space="0" w:color="000000"/>
              <w:left w:val="single" w:sz="4" w:space="0" w:color="000000"/>
              <w:bottom w:val="single" w:sz="4" w:space="0" w:color="000000"/>
              <w:right w:val="single" w:sz="4" w:space="0" w:color="000000"/>
            </w:tcBorders>
            <w:shd w:fill="auto" w:val="clear"/>
            <w:tcMar>
              <w:left w:w="363" w:type="dxa"/>
            </w:tcMar>
            <w:vAlign w:val="center"/>
          </w:tcPr>
          <w:p>
            <w:pPr>
              <w:pStyle w:val="Normal"/>
              <w:widowControl w:val="false"/>
              <w:spacing w:before="240" w:after="160"/>
              <w:rPr>
                <w:rFonts w:ascii="Arial" w:hAnsi="Arial" w:cs="Arial"/>
                <w:b/>
                <w:b/>
                <w:sz w:val="24"/>
                <w:szCs w:val="24"/>
              </w:rPr>
            </w:pPr>
            <w:r>
              <w:rPr>
                <w:rFonts w:cs="Arial" w:ascii="Arial" w:hAnsi="Arial"/>
                <w:b/>
                <w:sz w:val="24"/>
                <w:szCs w:val="24"/>
              </w:rPr>
              <w:t xml:space="preserve">Knowledge &amp; Experience </w:t>
            </w:r>
          </w:p>
          <w:p>
            <w:pPr>
              <w:pStyle w:val="Normal"/>
              <w:rPr>
                <w:rFonts w:ascii="Arial" w:hAnsi="Arial" w:cs="Arial"/>
                <w:b/>
                <w:b/>
                <w:bCs/>
                <w:sz w:val="24"/>
                <w:szCs w:val="24"/>
              </w:rPr>
            </w:pPr>
            <w:r>
              <w:rPr>
                <w:rFonts w:cs="Arial" w:ascii="Arial" w:hAnsi="Arial"/>
                <w:b/>
                <w:bCs/>
                <w:sz w:val="24"/>
                <w:szCs w:val="24"/>
              </w:rPr>
              <w:t>Essential</w:t>
            </w:r>
          </w:p>
          <w:p>
            <w:pPr>
              <w:pStyle w:val="Normal"/>
              <w:numPr>
                <w:ilvl w:val="0"/>
                <w:numId w:val="3"/>
              </w:numPr>
              <w:rPr>
                <w:rFonts w:ascii="Arial" w:hAnsi="Arial" w:cs="Arial"/>
                <w:sz w:val="24"/>
                <w:szCs w:val="24"/>
              </w:rPr>
            </w:pPr>
            <w:r>
              <w:rPr>
                <w:rFonts w:cs="Arial" w:ascii="Arial" w:hAnsi="Arial"/>
                <w:sz w:val="24"/>
                <w:szCs w:val="24"/>
              </w:rPr>
              <w:t>Extensive experience working in information and data governance, information rights or data protection, ideally within a public sector or complex regulatory environment.</w:t>
            </w:r>
          </w:p>
          <w:p>
            <w:pPr>
              <w:pStyle w:val="Normal"/>
              <w:numPr>
                <w:ilvl w:val="0"/>
                <w:numId w:val="3"/>
              </w:numPr>
              <w:rPr>
                <w:rFonts w:ascii="Arial" w:hAnsi="Arial" w:cs="Arial"/>
                <w:sz w:val="24"/>
                <w:szCs w:val="24"/>
              </w:rPr>
            </w:pPr>
            <w:r>
              <w:rPr>
                <w:rFonts w:cs="Arial" w:ascii="Arial" w:hAnsi="Arial"/>
                <w:sz w:val="24"/>
                <w:szCs w:val="24"/>
              </w:rPr>
              <w:t>Proven experience of leading and managing professional teams, including performance management and staff development.</w:t>
            </w:r>
          </w:p>
          <w:p>
            <w:pPr>
              <w:pStyle w:val="Normal"/>
              <w:numPr>
                <w:ilvl w:val="0"/>
                <w:numId w:val="3"/>
              </w:numPr>
              <w:rPr>
                <w:rFonts w:ascii="Arial" w:hAnsi="Arial" w:cs="Arial"/>
                <w:sz w:val="24"/>
                <w:szCs w:val="24"/>
              </w:rPr>
            </w:pPr>
            <w:r>
              <w:rPr>
                <w:rFonts w:cs="Arial" w:ascii="Arial" w:hAnsi="Arial"/>
                <w:sz w:val="24"/>
                <w:szCs w:val="24"/>
              </w:rPr>
              <w:t>Strong working knowledge of information rights legislation and regulatory expectations.</w:t>
            </w:r>
          </w:p>
          <w:p>
            <w:pPr>
              <w:pStyle w:val="Normal"/>
              <w:numPr>
                <w:ilvl w:val="0"/>
                <w:numId w:val="3"/>
              </w:numPr>
              <w:rPr>
                <w:rFonts w:ascii="Arial" w:hAnsi="Arial" w:cs="Arial"/>
                <w:sz w:val="24"/>
                <w:szCs w:val="24"/>
              </w:rPr>
            </w:pPr>
            <w:r>
              <w:rPr>
                <w:rFonts w:cs="Arial" w:ascii="Arial" w:hAnsi="Arial"/>
                <w:sz w:val="24"/>
                <w:szCs w:val="24"/>
              </w:rPr>
              <w:t>Experience of managing complex, high</w:t>
              <w:noBreakHyphen/>
              <w:t>risk or sensitive information and data governance issues and providing assurance to senior leaders.</w:t>
            </w:r>
          </w:p>
          <w:p>
            <w:pPr>
              <w:pStyle w:val="Normal"/>
              <w:numPr>
                <w:ilvl w:val="0"/>
                <w:numId w:val="3"/>
              </w:numPr>
              <w:rPr>
                <w:rFonts w:ascii="Arial" w:hAnsi="Arial" w:cs="Arial"/>
                <w:sz w:val="24"/>
                <w:szCs w:val="24"/>
              </w:rPr>
            </w:pPr>
            <w:r>
              <w:rPr>
                <w:rFonts w:cs="Arial" w:ascii="Arial" w:hAnsi="Arial"/>
                <w:sz w:val="24"/>
                <w:szCs w:val="24"/>
              </w:rPr>
              <w:t>Demonstrable ability to balance operational delivery with strategic thinking and continuous improvement.</w:t>
            </w:r>
          </w:p>
          <w:p>
            <w:pPr>
              <w:pStyle w:val="Normal"/>
              <w:numPr>
                <w:ilvl w:val="0"/>
                <w:numId w:val="3"/>
              </w:numPr>
              <w:rPr>
                <w:rFonts w:ascii="Arial" w:hAnsi="Arial" w:cs="Arial"/>
                <w:sz w:val="24"/>
                <w:szCs w:val="24"/>
              </w:rPr>
            </w:pPr>
            <w:r>
              <w:rPr>
                <w:rFonts w:cs="Arial" w:ascii="Arial" w:hAnsi="Arial"/>
                <w:sz w:val="24"/>
                <w:szCs w:val="24"/>
              </w:rPr>
              <w:t>Excellent written and verbal communication skills, with the ability to explain complex issues clearly to different audiences.</w:t>
            </w:r>
          </w:p>
          <w:p>
            <w:pPr>
              <w:pStyle w:val="Normal"/>
              <w:rPr>
                <w:rFonts w:ascii="Arial" w:hAnsi="Arial" w:cs="Arial"/>
                <w:b/>
                <w:b/>
                <w:bCs/>
                <w:sz w:val="24"/>
                <w:szCs w:val="24"/>
              </w:rPr>
            </w:pPr>
            <w:r>
              <w:rPr>
                <w:rFonts w:cs="Arial" w:ascii="Arial" w:hAnsi="Arial"/>
                <w:b/>
                <w:bCs/>
                <w:sz w:val="24"/>
                <w:szCs w:val="24"/>
              </w:rPr>
              <w:t>Desirable</w:t>
            </w:r>
          </w:p>
          <w:p>
            <w:pPr>
              <w:pStyle w:val="Normal"/>
              <w:numPr>
                <w:ilvl w:val="0"/>
                <w:numId w:val="3"/>
              </w:numPr>
              <w:rPr>
                <w:rFonts w:ascii="Arial" w:hAnsi="Arial" w:cs="Arial"/>
                <w:sz w:val="24"/>
                <w:szCs w:val="24"/>
              </w:rPr>
            </w:pPr>
            <w:r>
              <w:rPr>
                <w:rFonts w:cs="Arial" w:ascii="Arial" w:hAnsi="Arial"/>
                <w:sz w:val="24"/>
                <w:szCs w:val="24"/>
              </w:rPr>
              <w:t>Relevant professional qualifications (e.g. data protection, information governance, records management or information security).</w:t>
            </w:r>
          </w:p>
          <w:p>
            <w:pPr>
              <w:pStyle w:val="Normal"/>
              <w:numPr>
                <w:ilvl w:val="0"/>
                <w:numId w:val="3"/>
              </w:numPr>
              <w:rPr>
                <w:rFonts w:ascii="Arial" w:hAnsi="Arial" w:cs="Arial"/>
                <w:sz w:val="24"/>
                <w:szCs w:val="24"/>
              </w:rPr>
            </w:pPr>
            <w:r>
              <w:rPr>
                <w:rFonts w:cs="Arial" w:ascii="Arial" w:hAnsi="Arial"/>
                <w:sz w:val="24"/>
                <w:szCs w:val="24"/>
              </w:rPr>
              <w:t>Experience of supporting or leading organisational change, transformation or improvement programmes.</w:t>
            </w:r>
          </w:p>
          <w:p>
            <w:pPr>
              <w:pStyle w:val="Normal"/>
              <w:numPr>
                <w:ilvl w:val="0"/>
                <w:numId w:val="3"/>
              </w:numPr>
              <w:rPr>
                <w:rFonts w:ascii="Arial" w:hAnsi="Arial" w:cs="Arial"/>
                <w:sz w:val="24"/>
                <w:szCs w:val="24"/>
              </w:rPr>
            </w:pPr>
            <w:r>
              <w:rPr>
                <w:rFonts w:cs="Arial" w:ascii="Arial" w:hAnsi="Arial"/>
                <w:sz w:val="24"/>
                <w:szCs w:val="24"/>
              </w:rPr>
              <w:t>Experience of working closely with a DPO or in a senior assurance or compliance role.</w:t>
            </w:r>
          </w:p>
          <w:p>
            <w:pPr>
              <w:pStyle w:val="Normal"/>
              <w:numPr>
                <w:ilvl w:val="0"/>
                <w:numId w:val="3"/>
              </w:numPr>
              <w:rPr>
                <w:rFonts w:ascii="Arial" w:hAnsi="Arial" w:cs="Arial"/>
                <w:sz w:val="24"/>
                <w:szCs w:val="24"/>
              </w:rPr>
            </w:pPr>
            <w:r>
              <w:rPr>
                <w:rFonts w:cs="Arial" w:ascii="Arial" w:hAnsi="Arial"/>
                <w:sz w:val="24"/>
                <w:szCs w:val="24"/>
              </w:rPr>
              <w:t xml:space="preserve">Background of working within a Local Authority / Public sector organisation. </w:t>
            </w:r>
          </w:p>
          <w:p>
            <w:pPr>
              <w:pStyle w:val="ListParagraph"/>
              <w:widowControl w:val="false"/>
              <w:spacing w:before="240" w:after="160"/>
              <w:contextualSpacing/>
              <w:rPr>
                <w:rFonts w:ascii="Arial" w:hAnsi="Arial" w:cs="Arial"/>
                <w:sz w:val="24"/>
                <w:szCs w:val="24"/>
              </w:rPr>
            </w:pPr>
            <w:r>
              <w:rPr>
                <w:rFonts w:cs="Arial" w:ascii="Arial" w:hAnsi="Arial"/>
                <w:sz w:val="24"/>
                <w:szCs w:val="24"/>
              </w:rPr>
            </w:r>
          </w:p>
          <w:p>
            <w:pPr>
              <w:pStyle w:val="Body"/>
              <w:rPr>
                <w:b/>
                <w:b/>
                <w:sz w:val="24"/>
                <w:szCs w:val="24"/>
                <w:lang w:val="en-US"/>
              </w:rPr>
            </w:pPr>
            <w:r>
              <w:rPr>
                <w:b/>
                <w:sz w:val="24"/>
                <w:szCs w:val="24"/>
                <w:lang w:val="en-US"/>
              </w:rPr>
              <w:t xml:space="preserve">Skills &amp; Behaviours </w:t>
            </w:r>
          </w:p>
          <w:p>
            <w:pPr>
              <w:pStyle w:val="Body"/>
              <w:rPr>
                <w:sz w:val="24"/>
                <w:szCs w:val="24"/>
              </w:rPr>
            </w:pPr>
            <w:r>
              <w:rPr>
                <w:sz w:val="24"/>
                <w:szCs w:val="24"/>
              </w:rPr>
            </w:r>
          </w:p>
          <w:p>
            <w:pPr>
              <w:pStyle w:val="Normal"/>
              <w:numPr>
                <w:ilvl w:val="0"/>
                <w:numId w:val="3"/>
              </w:numPr>
              <w:rPr>
                <w:rFonts w:ascii="Arial" w:hAnsi="Arial" w:cs="Arial"/>
                <w:sz w:val="24"/>
                <w:szCs w:val="24"/>
              </w:rPr>
            </w:pPr>
            <w:r>
              <w:rPr>
                <w:rFonts w:cs="Arial" w:ascii="Arial" w:hAnsi="Arial"/>
                <w:sz w:val="24"/>
                <w:szCs w:val="24"/>
              </w:rPr>
              <w:t>Strong, inclusive and supportive leadership style</w:t>
            </w:r>
          </w:p>
          <w:p>
            <w:pPr>
              <w:pStyle w:val="Normal"/>
              <w:numPr>
                <w:ilvl w:val="0"/>
                <w:numId w:val="3"/>
              </w:numPr>
              <w:rPr>
                <w:rFonts w:ascii="Arial" w:hAnsi="Arial" w:cs="Arial"/>
                <w:sz w:val="24"/>
                <w:szCs w:val="24"/>
              </w:rPr>
            </w:pPr>
            <w:r>
              <w:rPr>
                <w:rFonts w:cs="Arial" w:ascii="Arial" w:hAnsi="Arial"/>
                <w:sz w:val="24"/>
                <w:szCs w:val="24"/>
              </w:rPr>
              <w:t>Sound professional judgement and ability to assess and manage risk</w:t>
            </w:r>
          </w:p>
          <w:p>
            <w:pPr>
              <w:pStyle w:val="Normal"/>
              <w:numPr>
                <w:ilvl w:val="0"/>
                <w:numId w:val="3"/>
              </w:numPr>
              <w:rPr>
                <w:rFonts w:ascii="Arial" w:hAnsi="Arial" w:cs="Arial"/>
                <w:sz w:val="24"/>
                <w:szCs w:val="24"/>
              </w:rPr>
            </w:pPr>
            <w:r>
              <w:rPr>
                <w:rFonts w:cs="Arial" w:ascii="Arial" w:hAnsi="Arial"/>
                <w:sz w:val="24"/>
                <w:szCs w:val="24"/>
              </w:rPr>
              <w:t>Confident decision</w:t>
              <w:noBreakHyphen/>
              <w:t>making in complex or pressured situations</w:t>
            </w:r>
          </w:p>
          <w:p>
            <w:pPr>
              <w:pStyle w:val="Normal"/>
              <w:numPr>
                <w:ilvl w:val="0"/>
                <w:numId w:val="3"/>
              </w:numPr>
              <w:rPr>
                <w:rFonts w:ascii="Arial" w:hAnsi="Arial" w:cs="Arial"/>
                <w:sz w:val="24"/>
                <w:szCs w:val="24"/>
              </w:rPr>
            </w:pPr>
            <w:r>
              <w:rPr>
                <w:rFonts w:cs="Arial" w:ascii="Arial" w:hAnsi="Arial"/>
                <w:sz w:val="24"/>
                <w:szCs w:val="24"/>
              </w:rPr>
              <w:t>Highly organised, with the ability to manage competing priorities</w:t>
            </w:r>
          </w:p>
          <w:p>
            <w:pPr>
              <w:pStyle w:val="Normal"/>
              <w:numPr>
                <w:ilvl w:val="0"/>
                <w:numId w:val="3"/>
              </w:numPr>
              <w:rPr>
                <w:rFonts w:ascii="Arial" w:hAnsi="Arial" w:cs="Arial"/>
                <w:sz w:val="24"/>
                <w:szCs w:val="24"/>
              </w:rPr>
            </w:pPr>
            <w:r>
              <w:rPr>
                <w:rFonts w:cs="Arial" w:ascii="Arial" w:hAnsi="Arial"/>
                <w:sz w:val="24"/>
                <w:szCs w:val="24"/>
              </w:rPr>
              <w:t>Commitment to high standards of public service, integrity and confidentiality</w:t>
            </w:r>
          </w:p>
          <w:p>
            <w:pPr>
              <w:pStyle w:val="Normal"/>
              <w:numPr>
                <w:ilvl w:val="0"/>
                <w:numId w:val="3"/>
              </w:numPr>
              <w:spacing w:before="0" w:after="160"/>
              <w:rPr>
                <w:rFonts w:ascii="Arial" w:hAnsi="Arial" w:cs="Arial"/>
                <w:sz w:val="24"/>
                <w:szCs w:val="24"/>
              </w:rPr>
            </w:pPr>
            <w:r>
              <w:rPr>
                <w:rFonts w:cs="Arial" w:ascii="Arial" w:hAnsi="Arial"/>
                <w:sz w:val="24"/>
                <w:szCs w:val="24"/>
              </w:rPr>
              <w:t>Collaborative approach with the ability to influence at senior levels</w:t>
            </w:r>
          </w:p>
        </w:tc>
      </w:tr>
    </w:tbl>
    <w:p>
      <w:pPr>
        <w:pStyle w:val="Normal"/>
        <w:shd w:fill="FFFFFF" w:val="clear"/>
        <w:jc w:val="both"/>
        <w:rPr>
          <w:rFonts w:ascii="Arial" w:hAnsi="Arial" w:cs="Arial"/>
          <w:b/>
          <w:b/>
          <w:color w:val="595959"/>
          <w:sz w:val="24"/>
          <w:szCs w:val="24"/>
        </w:rPr>
      </w:pPr>
      <w:r>
        <w:rPr>
          <w:rFonts w:cs="Arial" w:ascii="Arial" w:hAnsi="Arial"/>
          <w:b/>
          <w:color w:val="595959"/>
          <w:sz w:val="24"/>
          <w:szCs w:val="24"/>
        </w:rPr>
      </w:r>
    </w:p>
    <w:p>
      <w:pPr>
        <w:pStyle w:val="Normal"/>
        <w:shd w:fill="FFFFFF" w:val="clear"/>
        <w:jc w:val="both"/>
        <w:rPr>
          <w:rFonts w:ascii="Arial" w:hAnsi="Arial" w:cs="Arial"/>
          <w:b/>
          <w:b/>
          <w:color w:val="595959"/>
          <w:sz w:val="24"/>
          <w:szCs w:val="24"/>
        </w:rPr>
      </w:pPr>
      <w:r>
        <w:rPr>
          <w:rFonts w:cs="Arial" w:ascii="Arial" w:hAnsi="Arial"/>
          <w:b/>
          <w:color w:val="595959"/>
          <w:sz w:val="24"/>
          <w:szCs w:val="24"/>
        </w:rPr>
        <w:t>Corporate Duties</w:t>
      </w:r>
    </w:p>
    <w:p>
      <w:pPr>
        <w:pStyle w:val="TextBody"/>
        <w:widowControl w:val="false"/>
        <w:tabs>
          <w:tab w:val="clear" w:pos="720"/>
          <w:tab w:val="left" w:pos="-720" w:leader="none"/>
        </w:tabs>
        <w:rPr>
          <w:rFonts w:cs="Arial"/>
          <w:color w:val="595959"/>
          <w:szCs w:val="24"/>
        </w:rPr>
      </w:pPr>
      <w:r>
        <w:rPr>
          <w:rFonts w:cs="Arial"/>
          <w:color w:val="595959"/>
          <w:szCs w:val="24"/>
        </w:rPr>
      </w:r>
    </w:p>
    <w:p>
      <w:pPr>
        <w:pStyle w:val="TextBody"/>
        <w:widowControl w:val="false"/>
        <w:tabs>
          <w:tab w:val="clear" w:pos="720"/>
          <w:tab w:val="left" w:pos="-720" w:leader="none"/>
        </w:tabs>
        <w:rPr>
          <w:rFonts w:cs="Arial"/>
          <w:color w:val="595959"/>
          <w:szCs w:val="24"/>
        </w:rPr>
      </w:pPr>
      <w:r>
        <w:rPr>
          <w:rFonts w:cs="Arial"/>
          <w:color w:val="595959"/>
          <w:szCs w:val="24"/>
        </w:rPr>
        <w:t>Avoid any behaviour which discriminates against your fellow employees, or potential employees on the grounds of their sex, sexual orientation, marital status, race, religion, creed, colour, nationality, ethnic origin or disability.</w:t>
      </w:r>
    </w:p>
    <w:p>
      <w:pPr>
        <w:pStyle w:val="TextBody"/>
        <w:widowControl w:val="false"/>
        <w:tabs>
          <w:tab w:val="clear" w:pos="720"/>
          <w:tab w:val="left" w:pos="-720" w:leader="none"/>
        </w:tabs>
        <w:rPr>
          <w:rFonts w:cs="Arial"/>
          <w:color w:val="595959"/>
          <w:szCs w:val="24"/>
        </w:rPr>
      </w:pPr>
      <w:r>
        <w:rPr>
          <w:rFonts w:cs="Arial"/>
          <w:color w:val="595959"/>
          <w:szCs w:val="24"/>
        </w:rPr>
      </w:r>
    </w:p>
    <w:p>
      <w:pPr>
        <w:pStyle w:val="Normal"/>
        <w:widowControl w:val="false"/>
        <w:tabs>
          <w:tab w:val="clear" w:pos="720"/>
          <w:tab w:val="left" w:pos="-720" w:leader="none"/>
        </w:tabs>
        <w:jc w:val="both"/>
        <w:rPr>
          <w:rFonts w:ascii="Arial" w:hAnsi="Arial" w:cs="Arial"/>
          <w:color w:val="595959"/>
          <w:sz w:val="24"/>
          <w:szCs w:val="24"/>
        </w:rPr>
      </w:pPr>
      <w:r>
        <w:rPr>
          <w:rFonts w:cs="Arial" w:ascii="Arial" w:hAnsi="Arial"/>
          <w:color w:val="595959"/>
          <w:sz w:val="24"/>
          <w:szCs w:val="24"/>
        </w:rPr>
        <w:t>Safeguard at all times confidentiality of information relating to staff and pensioners.</w:t>
      </w:r>
    </w:p>
    <w:p>
      <w:pPr>
        <w:pStyle w:val="Normal"/>
        <w:widowControl w:val="false"/>
        <w:tabs>
          <w:tab w:val="clear" w:pos="720"/>
          <w:tab w:val="left" w:pos="-720" w:leader="none"/>
        </w:tabs>
        <w:jc w:val="both"/>
        <w:rPr>
          <w:rFonts w:ascii="Arial" w:hAnsi="Arial" w:cs="Arial"/>
          <w:color w:val="595959"/>
          <w:sz w:val="24"/>
          <w:szCs w:val="24"/>
        </w:rPr>
      </w:pPr>
      <w:r>
        <w:rPr>
          <w:rFonts w:cs="Arial" w:ascii="Arial" w:hAnsi="Arial"/>
          <w:color w:val="595959"/>
          <w:sz w:val="24"/>
          <w:szCs w:val="24"/>
        </w:rPr>
        <w:t>Refrain from smoking in any areas of Service premises.</w:t>
      </w:r>
    </w:p>
    <w:p>
      <w:pPr>
        <w:pStyle w:val="Normal"/>
        <w:widowControl w:val="false"/>
        <w:tabs>
          <w:tab w:val="clear" w:pos="720"/>
          <w:tab w:val="left" w:pos="-720" w:leader="none"/>
        </w:tabs>
        <w:jc w:val="both"/>
        <w:rPr>
          <w:rFonts w:ascii="Arial" w:hAnsi="Arial" w:cs="Arial"/>
          <w:color w:val="595959"/>
          <w:sz w:val="24"/>
          <w:szCs w:val="24"/>
        </w:rPr>
      </w:pPr>
      <w:r>
        <w:rPr>
          <w:rFonts w:cs="Arial" w:ascii="Arial" w:hAnsi="Arial"/>
          <w:color w:val="595959"/>
          <w:sz w:val="24"/>
          <w:szCs w:val="24"/>
        </w:rPr>
        <w:t>Behave in a manner that ensures the security of property and resources.</w:t>
      </w:r>
    </w:p>
    <w:p>
      <w:pPr>
        <w:pStyle w:val="Normal"/>
        <w:widowControl w:val="false"/>
        <w:tabs>
          <w:tab w:val="clear" w:pos="720"/>
          <w:tab w:val="left" w:pos="-720" w:leader="none"/>
        </w:tabs>
        <w:jc w:val="both"/>
        <w:rPr>
          <w:rFonts w:ascii="Arial" w:hAnsi="Arial" w:cs="Arial"/>
          <w:color w:val="595959"/>
          <w:sz w:val="24"/>
          <w:szCs w:val="24"/>
        </w:rPr>
      </w:pPr>
      <w:r>
        <w:rPr>
          <w:rFonts w:cs="Arial" w:ascii="Arial" w:hAnsi="Arial"/>
          <w:color w:val="595959"/>
          <w:sz w:val="24"/>
          <w:szCs w:val="24"/>
        </w:rPr>
        <w:t>Abide by all relevant Service Policies and Procedures.</w:t>
      </w:r>
    </w:p>
    <w:p>
      <w:pPr>
        <w:pStyle w:val="ListParagraph"/>
        <w:ind w:left="0" w:right="0" w:hanging="0"/>
        <w:jc w:val="both"/>
        <w:rPr>
          <w:rFonts w:ascii="Arial" w:hAnsi="Arial" w:cs="Arial"/>
          <w:color w:val="595959"/>
          <w:sz w:val="24"/>
          <w:szCs w:val="24"/>
        </w:rPr>
      </w:pPr>
      <w:r>
        <w:rPr>
          <w:rFonts w:cs="Arial" w:ascii="Arial" w:hAnsi="Arial"/>
          <w:color w:val="595959"/>
          <w:sz w:val="24"/>
          <w:szCs w:val="24"/>
        </w:rPr>
      </w:r>
    </w:p>
    <w:p>
      <w:pPr>
        <w:pStyle w:val="Normal"/>
        <w:tabs>
          <w:tab w:val="clear" w:pos="720"/>
          <w:tab w:val="left" w:pos="1134" w:leader="none"/>
        </w:tabs>
        <w:spacing w:before="0" w:after="160"/>
        <w:contextualSpacing/>
        <w:jc w:val="both"/>
        <w:rPr/>
      </w:pPr>
      <w:r>
        <w:rPr>
          <w:rFonts w:cs="Arial" w:ascii="Arial" w:hAnsi="Arial"/>
          <w:b/>
          <w:color w:val="595959"/>
          <w:sz w:val="24"/>
          <w:szCs w:val="24"/>
        </w:rPr>
        <w:t xml:space="preserve">Records Management/ Data Protection - </w:t>
      </w:r>
      <w:r>
        <w:rPr>
          <w:rFonts w:cs="Arial" w:ascii="Arial" w:hAnsi="Arial"/>
          <w:color w:val="595959"/>
          <w:sz w:val="24"/>
          <w:szCs w:val="24"/>
        </w:rPr>
        <w:t>As an employee of the GMCA, you have a legal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pPr>
        <w:pStyle w:val="BodyTextIndent3"/>
        <w:tabs>
          <w:tab w:val="clear" w:pos="720"/>
          <w:tab w:val="left" w:pos="1134" w:leader="none"/>
        </w:tabs>
        <w:spacing w:before="0" w:after="0"/>
        <w:ind w:left="0" w:right="0" w:hanging="0"/>
        <w:contextualSpacing/>
        <w:jc w:val="both"/>
        <w:rPr>
          <w:rFonts w:ascii="Arial" w:hAnsi="Arial" w:cs="Arial"/>
          <w:color w:val="595959"/>
          <w:sz w:val="24"/>
          <w:szCs w:val="24"/>
        </w:rPr>
      </w:pPr>
      <w:r>
        <w:rPr>
          <w:rFonts w:cs="Arial" w:ascii="Arial" w:hAnsi="Arial"/>
          <w:color w:val="595959"/>
          <w:sz w:val="24"/>
          <w:szCs w:val="24"/>
        </w:rPr>
      </w:r>
    </w:p>
    <w:p>
      <w:pPr>
        <w:pStyle w:val="Normal"/>
        <w:tabs>
          <w:tab w:val="clear" w:pos="720"/>
          <w:tab w:val="left" w:pos="1134" w:leader="none"/>
        </w:tabs>
        <w:spacing w:before="0" w:after="160"/>
        <w:contextualSpacing/>
        <w:jc w:val="both"/>
        <w:rPr/>
      </w:pPr>
      <w:r>
        <w:rPr>
          <w:rFonts w:cs="Arial" w:ascii="Arial" w:hAnsi="Arial"/>
          <w:b/>
          <w:color w:val="595959"/>
          <w:sz w:val="24"/>
          <w:szCs w:val="24"/>
        </w:rPr>
        <w:t xml:space="preserve">Confidentiality and Information Security - </w:t>
      </w:r>
      <w:r>
        <w:rPr>
          <w:rFonts w:cs="Arial" w:ascii="Arial" w:hAnsi="Arial"/>
          <w:color w:val="595959"/>
          <w:sz w:val="24"/>
          <w:szCs w:val="24"/>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w:t>
      </w:r>
    </w:p>
    <w:p>
      <w:pPr>
        <w:pStyle w:val="Normal"/>
        <w:spacing w:before="0" w:after="160"/>
        <w:contextualSpacing/>
        <w:jc w:val="both"/>
        <w:rPr>
          <w:rFonts w:ascii="Arial" w:hAnsi="Arial" w:eastAsia="Arial" w:cs="Arial"/>
          <w:color w:val="595959"/>
          <w:sz w:val="24"/>
          <w:szCs w:val="24"/>
        </w:rPr>
      </w:pPr>
      <w:r>
        <w:rPr>
          <w:rFonts w:eastAsia="Arial" w:cs="Arial" w:ascii="Arial" w:hAnsi="Arial"/>
          <w:color w:val="595959"/>
          <w:sz w:val="24"/>
          <w:szCs w:val="24"/>
        </w:rPr>
        <w:t xml:space="preserve"> </w:t>
      </w:r>
    </w:p>
    <w:p>
      <w:pPr>
        <w:pStyle w:val="Normal"/>
        <w:spacing w:before="0" w:after="160"/>
        <w:contextualSpacing/>
        <w:jc w:val="both"/>
        <w:rPr/>
      </w:pPr>
      <w:r>
        <w:rPr>
          <w:rFonts w:cs="Arial" w:ascii="Arial" w:hAnsi="Arial"/>
          <w:b/>
          <w:color w:val="595959"/>
          <w:sz w:val="24"/>
          <w:szCs w:val="24"/>
        </w:rPr>
        <w:t xml:space="preserve">Data Quality - </w:t>
      </w:r>
      <w:r>
        <w:rPr>
          <w:rFonts w:cs="Arial" w:ascii="Arial" w:hAnsi="Arial"/>
          <w:color w:val="595959"/>
          <w:sz w:val="24"/>
          <w:szCs w:val="24"/>
        </w:rPr>
        <w:t>All staff are personally responsible</w:t>
      </w:r>
      <w:r>
        <w:rPr>
          <w:rFonts w:cs="Arial" w:ascii="Arial" w:hAnsi="Arial"/>
          <w:b/>
          <w:bCs/>
          <w:color w:val="595959"/>
          <w:sz w:val="24"/>
          <w:szCs w:val="24"/>
        </w:rPr>
        <w:t xml:space="preserve"> </w:t>
      </w:r>
      <w:r>
        <w:rPr>
          <w:rFonts w:cs="Arial" w:ascii="Arial" w:hAnsi="Arial"/>
          <w:color w:val="595959"/>
          <w:sz w:val="24"/>
          <w:szCs w:val="24"/>
        </w:rPr>
        <w:t>for the quality of data entered by themselves, or on their behalf, on GMCAs computerised systems or manual records (paper records) and must ensure that such data is entered accurately and, in a timely manner, to ensure high standards of data quality in accordance with Departmental protocols.</w:t>
      </w:r>
    </w:p>
    <w:p>
      <w:pPr>
        <w:pStyle w:val="Normal"/>
        <w:jc w:val="both"/>
        <w:rPr>
          <w:rFonts w:ascii="Arial" w:hAnsi="Arial" w:cs="Arial"/>
          <w:color w:val="595959"/>
          <w:sz w:val="24"/>
          <w:szCs w:val="24"/>
        </w:rPr>
      </w:pPr>
      <w:r>
        <w:rPr>
          <w:rFonts w:cs="Arial" w:ascii="Arial" w:hAnsi="Arial"/>
          <w:color w:val="595959"/>
          <w:sz w:val="24"/>
          <w:szCs w:val="24"/>
        </w:rPr>
        <w:t>  </w:t>
      </w:r>
    </w:p>
    <w:p>
      <w:pPr>
        <w:pStyle w:val="Normal"/>
        <w:jc w:val="both"/>
        <w:rPr>
          <w:rFonts w:ascii="Arial" w:hAnsi="Arial" w:cs="Arial"/>
          <w:color w:val="595959"/>
          <w:sz w:val="24"/>
          <w:szCs w:val="24"/>
        </w:rPr>
      </w:pPr>
      <w:r>
        <w:rPr>
          <w:rFonts w:cs="Arial" w:ascii="Arial" w:hAnsi="Arial"/>
          <w:color w:val="595959"/>
          <w:sz w:val="24"/>
          <w:szCs w:val="24"/>
        </w:rPr>
        <w:t xml:space="preserve">To ensure data is handled in a secure manner protecting the confidentiality of any personal data held in meeting the requirements of the Data Protection Act. </w:t>
      </w:r>
    </w:p>
    <w:p>
      <w:pPr>
        <w:pStyle w:val="Normal"/>
        <w:tabs>
          <w:tab w:val="clear" w:pos="720"/>
          <w:tab w:val="left" w:pos="1134" w:leader="none"/>
        </w:tabs>
        <w:spacing w:before="0" w:after="160"/>
        <w:contextualSpacing/>
        <w:jc w:val="both"/>
        <w:rPr>
          <w:rFonts w:ascii="Arial" w:hAnsi="Arial" w:cs="Arial"/>
          <w:color w:val="595959"/>
          <w:sz w:val="24"/>
          <w:szCs w:val="24"/>
        </w:rPr>
      </w:pPr>
      <w:r>
        <w:rPr>
          <w:rFonts w:cs="Arial" w:ascii="Arial" w:hAnsi="Arial"/>
          <w:color w:val="595959"/>
          <w:sz w:val="24"/>
          <w:szCs w:val="24"/>
        </w:rPr>
      </w:r>
    </w:p>
    <w:p>
      <w:pPr>
        <w:pStyle w:val="Normal"/>
        <w:tabs>
          <w:tab w:val="clear" w:pos="720"/>
          <w:tab w:val="left" w:pos="1134" w:leader="none"/>
        </w:tabs>
        <w:spacing w:before="0" w:after="160"/>
        <w:contextualSpacing/>
        <w:jc w:val="both"/>
        <w:rPr/>
      </w:pPr>
      <w:r>
        <w:rPr>
          <w:rFonts w:cs="Arial" w:ascii="Arial" w:hAnsi="Arial"/>
          <w:b/>
          <w:color w:val="595959"/>
          <w:sz w:val="24"/>
          <w:szCs w:val="24"/>
        </w:rPr>
        <w:t xml:space="preserve">Health and Safety - </w:t>
      </w:r>
      <w:r>
        <w:rPr>
          <w:rFonts w:cs="Arial" w:ascii="Arial" w:hAnsi="Arial"/>
          <w:color w:val="595959"/>
          <w:sz w:val="24"/>
          <w:szCs w:val="24"/>
        </w:rPr>
        <w:t>All employees of GMCA have a statutory duty of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pPr>
        <w:pStyle w:val="Normal"/>
        <w:tabs>
          <w:tab w:val="clear" w:pos="720"/>
          <w:tab w:val="left" w:pos="1134" w:leader="none"/>
        </w:tabs>
        <w:spacing w:before="0" w:after="160"/>
        <w:contextualSpacing/>
        <w:jc w:val="both"/>
        <w:rPr>
          <w:rFonts w:ascii="Arial" w:hAnsi="Arial" w:cs="Arial"/>
          <w:color w:val="595959"/>
          <w:sz w:val="24"/>
          <w:szCs w:val="24"/>
        </w:rPr>
      </w:pPr>
      <w:r>
        <w:rPr>
          <w:rFonts w:cs="Arial" w:ascii="Arial" w:hAnsi="Arial"/>
          <w:color w:val="595959"/>
          <w:sz w:val="24"/>
          <w:szCs w:val="24"/>
        </w:rPr>
      </w:r>
    </w:p>
    <w:p>
      <w:pPr>
        <w:pStyle w:val="Normal"/>
        <w:tabs>
          <w:tab w:val="clear" w:pos="720"/>
          <w:tab w:val="left" w:pos="1134" w:leader="none"/>
        </w:tabs>
        <w:spacing w:before="0" w:after="160"/>
        <w:contextualSpacing/>
        <w:jc w:val="both"/>
        <w:rPr/>
      </w:pPr>
      <w:r>
        <w:rPr>
          <w:rFonts w:cs="Arial" w:ascii="Arial" w:hAnsi="Arial"/>
          <w:b/>
          <w:color w:val="595959"/>
          <w:sz w:val="24"/>
          <w:szCs w:val="24"/>
        </w:rPr>
        <w:t xml:space="preserve">Service Policies - </w:t>
      </w:r>
      <w:r>
        <w:rPr>
          <w:rFonts w:cs="Arial" w:ascii="Arial" w:hAnsi="Arial"/>
          <w:color w:val="595959"/>
          <w:sz w:val="24"/>
          <w:szCs w:val="24"/>
        </w:rPr>
        <w:t>All GMCA employees must observe and adhere to the provisions outlined in these policies.</w:t>
      </w:r>
    </w:p>
    <w:p>
      <w:pPr>
        <w:pStyle w:val="Normal"/>
        <w:spacing w:before="0" w:after="160"/>
        <w:contextualSpacing/>
        <w:jc w:val="both"/>
        <w:rPr>
          <w:rFonts w:ascii="Arial" w:hAnsi="Arial" w:cs="Arial"/>
          <w:color w:val="595959"/>
          <w:sz w:val="24"/>
          <w:szCs w:val="24"/>
        </w:rPr>
      </w:pPr>
      <w:r>
        <w:rPr>
          <w:rFonts w:cs="Arial" w:ascii="Arial" w:hAnsi="Arial"/>
          <w:color w:val="595959"/>
          <w:sz w:val="24"/>
          <w:szCs w:val="24"/>
        </w:rPr>
      </w:r>
    </w:p>
    <w:p>
      <w:pPr>
        <w:pStyle w:val="Body"/>
        <w:ind w:left="0" w:right="261" w:hanging="0"/>
        <w:rPr/>
      </w:pPr>
      <w:r>
        <w:rPr>
          <w:b/>
          <w:color w:val="595959"/>
          <w:sz w:val="24"/>
          <w:szCs w:val="24"/>
        </w:rPr>
        <w:t xml:space="preserve">Equal Opportunities - </w:t>
      </w:r>
      <w:r>
        <w:rPr>
          <w:color w:val="595959"/>
          <w:sz w:val="24"/>
          <w:szCs w:val="24"/>
        </w:rPr>
        <w:t>GMCA provides a range of services and employment opportunities for a diverse population. As a GMCA employee you are expected to treat all employees / partners / members of the public and work colleagues with dignity and respect irrespective of their background</w:t>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Normal"/>
        <w:spacing w:lineRule="auto" w:line="240" w:before="0" w:after="0"/>
        <w:rPr>
          <w:rFonts w:ascii="Arial" w:hAnsi="Arial" w:cs="Arial"/>
          <w:b/>
          <w:b/>
          <w:bCs/>
          <w:color w:val="000000"/>
          <w:sz w:val="24"/>
          <w:szCs w:val="24"/>
        </w:rPr>
      </w:pPr>
      <w:r>
        <w:rPr>
          <w:rFonts w:cs="Arial" w:ascii="Arial" w:hAnsi="Arial"/>
          <w:b/>
          <w:bCs/>
          <w:color w:val="000000"/>
          <w:sz w:val="24"/>
          <w:szCs w:val="24"/>
        </w:rPr>
      </w:r>
    </w:p>
    <w:p>
      <w:pPr>
        <w:pStyle w:val="ListParagraph"/>
        <w:tabs>
          <w:tab w:val="clear" w:pos="720"/>
          <w:tab w:val="left" w:pos="5200" w:leader="none"/>
        </w:tabs>
        <w:spacing w:before="0" w:after="160"/>
        <w:contextualSpacing/>
        <w:rPr>
          <w:rFonts w:ascii="Arial" w:hAnsi="Arial" w:cs="Arial"/>
          <w:b/>
          <w:b/>
          <w:bCs/>
          <w:color w:val="000000"/>
          <w:sz w:val="24"/>
          <w:szCs w:val="24"/>
        </w:rPr>
      </w:pPr>
      <w:r>
        <w:rPr>
          <w:rFonts w:cs="Arial" w:ascii="Arial" w:hAnsi="Arial"/>
          <w:b/>
          <w:bCs/>
          <w:color w:val="000000"/>
          <w:sz w:val="24"/>
          <w:szCs w:val="24"/>
        </w:rPr>
      </w:r>
    </w:p>
    <w:sectPr>
      <w:headerReference w:type="default" r:id="rId3"/>
      <w:footerReference w:type="default" r:id="rId4"/>
      <w:type w:val="nextPage"/>
      <w:pgSz w:w="11906" w:h="16838"/>
      <w:pgMar w:left="1440" w:right="1440" w:header="708"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Noto Serif">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roman"/>
    <w:pitch w:val="variable"/>
  </w:font>
  <w:font w:name="Noto Sans">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6</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8">
          <wp:simplePos x="0" y="0"/>
          <wp:positionH relativeFrom="column">
            <wp:posOffset>3651250</wp:posOffset>
          </wp:positionH>
          <wp:positionV relativeFrom="paragraph">
            <wp:posOffset>-322580</wp:posOffset>
          </wp:positionV>
          <wp:extent cx="2855595" cy="894715"/>
          <wp:effectExtent l="0" t="0" r="0" b="0"/>
          <wp:wrapSquare wrapText="bothSides"/>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14" t="-46" r="-14" b="-46"/>
                  <a:stretch>
                    <a:fillRect/>
                  </a:stretch>
                </pic:blipFill>
                <pic:spPr bwMode="auto">
                  <a:xfrm>
                    <a:off x="0" y="0"/>
                    <a:ext cx="2855595" cy="89471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pStyle w:val="Heading2"/>
      <w:numFmt w:val="none"/>
      <w:suff w:val="nothing"/>
      <w:lvlText w:val=""/>
      <w:lvlJc w:val="left"/>
      <w:pPr>
        <w:ind w:left="0" w:hanging="0"/>
      </w:pPr>
      <w:rPr/>
    </w:lvl>
    <w:lvl w:ilvl="2">
      <w:start w:val="1"/>
      <w:pStyle w:val="Heading3"/>
      <w:numFmt w:val="none"/>
      <w:suff w:val="nothing"/>
      <w:lvlText w:val=""/>
      <w:lvlJc w:val="left"/>
      <w:pPr>
        <w:ind w:left="0" w:hanging="0"/>
      </w:pPr>
      <w:r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458" w:hanging="360"/>
      </w:pPr>
      <w:rPr>
        <w:rFonts w:ascii="Symbol" w:hAnsi="Symbol" w:cs="Symbol" w:hint="default"/>
        <w:sz w:val="24"/>
        <w:rFonts w:cs="Symbol"/>
      </w:rPr>
    </w:lvl>
    <w:lvl w:ilvl="1">
      <w:start w:val="1"/>
      <w:numFmt w:val="bullet"/>
      <w:lvlText w:val="o"/>
      <w:lvlJc w:val="left"/>
      <w:pPr>
        <w:ind w:left="1178" w:hanging="360"/>
      </w:pPr>
      <w:rPr>
        <w:rFonts w:ascii="Courier New" w:hAnsi="Courier New" w:cs="Courier New" w:hint="default"/>
        <w:rFonts w:cs="Courier New"/>
      </w:rPr>
    </w:lvl>
    <w:lvl w:ilvl="2">
      <w:start w:val="1"/>
      <w:numFmt w:val="bullet"/>
      <w:lvlText w:val=""/>
      <w:lvlJc w:val="left"/>
      <w:pPr>
        <w:ind w:left="1898" w:hanging="360"/>
      </w:pPr>
      <w:rPr>
        <w:rFonts w:ascii="Wingdings" w:hAnsi="Wingdings" w:cs="Wingdings" w:hint="default"/>
        <w:rFonts w:cs="Wingdings"/>
      </w:rPr>
    </w:lvl>
    <w:lvl w:ilvl="3">
      <w:start w:val="1"/>
      <w:numFmt w:val="bullet"/>
      <w:lvlText w:val=""/>
      <w:lvlJc w:val="left"/>
      <w:pPr>
        <w:ind w:left="2618" w:hanging="360"/>
      </w:pPr>
      <w:rPr>
        <w:rFonts w:ascii="Symbol" w:hAnsi="Symbol" w:cs="Symbol" w:hint="default"/>
        <w:rFonts w:cs="Symbol"/>
      </w:rPr>
    </w:lvl>
    <w:lvl w:ilvl="4">
      <w:start w:val="1"/>
      <w:numFmt w:val="bullet"/>
      <w:lvlText w:val="o"/>
      <w:lvlJc w:val="left"/>
      <w:pPr>
        <w:ind w:left="3338" w:hanging="360"/>
      </w:pPr>
      <w:rPr>
        <w:rFonts w:ascii="Courier New" w:hAnsi="Courier New" w:cs="Courier New" w:hint="default"/>
        <w:rFonts w:cs="Courier New"/>
      </w:rPr>
    </w:lvl>
    <w:lvl w:ilvl="5">
      <w:start w:val="1"/>
      <w:numFmt w:val="bullet"/>
      <w:lvlText w:val=""/>
      <w:lvlJc w:val="left"/>
      <w:pPr>
        <w:ind w:left="4058" w:hanging="360"/>
      </w:pPr>
      <w:rPr>
        <w:rFonts w:ascii="Wingdings" w:hAnsi="Wingdings" w:cs="Wingdings" w:hint="default"/>
        <w:rFonts w:cs="Wingdings"/>
      </w:rPr>
    </w:lvl>
    <w:lvl w:ilvl="6">
      <w:start w:val="1"/>
      <w:numFmt w:val="bullet"/>
      <w:lvlText w:val=""/>
      <w:lvlJc w:val="left"/>
      <w:pPr>
        <w:ind w:left="4778" w:hanging="360"/>
      </w:pPr>
      <w:rPr>
        <w:rFonts w:ascii="Symbol" w:hAnsi="Symbol" w:cs="Symbol" w:hint="default"/>
        <w:rFonts w:cs="Symbol"/>
      </w:rPr>
    </w:lvl>
    <w:lvl w:ilvl="7">
      <w:start w:val="1"/>
      <w:numFmt w:val="bullet"/>
      <w:lvlText w:val="o"/>
      <w:lvlJc w:val="left"/>
      <w:pPr>
        <w:ind w:left="5498" w:hanging="360"/>
      </w:pPr>
      <w:rPr>
        <w:rFonts w:ascii="Courier New" w:hAnsi="Courier New" w:cs="Courier New" w:hint="default"/>
        <w:rFonts w:cs="Courier New"/>
      </w:rPr>
    </w:lvl>
    <w:lvl w:ilvl="8">
      <w:start w:val="1"/>
      <w:numFmt w:val="bullet"/>
      <w:lvlText w:val=""/>
      <w:lvlJc w:val="left"/>
      <w:pPr>
        <w:ind w:left="6218"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4"/>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4"/>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8">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2" w:before="0" w:after="160"/>
      <w:jc w:val="left"/>
    </w:pPr>
    <w:rPr>
      <w:rFonts w:ascii="Calibri" w:hAnsi="Calibri" w:eastAsia="Calibri" w:cs="Lucida Sans"/>
      <w:color w:val="auto"/>
      <w:kern w:val="0"/>
      <w:sz w:val="22"/>
      <w:szCs w:val="22"/>
      <w:lang w:val="en-GB" w:eastAsia="en-US" w:bidi="ar-SA"/>
    </w:rPr>
  </w:style>
  <w:style w:type="paragraph" w:styleId="Heading1">
    <w:name w:val="Heading 1"/>
    <w:basedOn w:val="Normal"/>
    <w:next w:val="TextBody"/>
    <w:qFormat/>
    <w:pPr>
      <w:numPr>
        <w:ilvl w:val="0"/>
        <w:numId w:val="1"/>
      </w:numPr>
      <w:spacing w:lineRule="auto" w:line="240" w:before="0" w:after="161"/>
      <w:outlineLvl w:val="0"/>
    </w:pPr>
    <w:rPr>
      <w:rFonts w:ascii="Noto Serif" w:hAnsi="Noto Serif" w:eastAsia="Times New Roman" w:cs="Times New Roman"/>
      <w:b/>
      <w:bCs/>
      <w:color w:val="202329"/>
      <w:kern w:val="2"/>
      <w:sz w:val="27"/>
      <w:szCs w:val="27"/>
      <w:lang w:eastAsia="en-GB"/>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cs="Calibri Light"/>
      <w:color w:val="2F5496"/>
      <w:sz w:val="26"/>
      <w:szCs w:val="26"/>
    </w:rPr>
  </w:style>
  <w:style w:type="paragraph" w:styleId="Heading3">
    <w:name w:val="Heading 3"/>
    <w:basedOn w:val="Normal"/>
    <w:next w:val="Normal"/>
    <w:qFormat/>
    <w:pPr>
      <w:keepNext w:val="true"/>
      <w:keepLines/>
      <w:numPr>
        <w:ilvl w:val="2"/>
        <w:numId w:val="1"/>
      </w:numPr>
      <w:spacing w:before="40" w:after="0"/>
      <w:outlineLvl w:val="2"/>
    </w:pPr>
    <w:rPr>
      <w:rFonts w:ascii="Calibri Light" w:hAnsi="Calibri Light" w:cs="Calibri Light"/>
      <w:color w:val="1F3763"/>
      <w:sz w:val="24"/>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sz w:val="24"/>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sz w:val="24"/>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sz w:val="24"/>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4"/>
    </w:rPr>
  </w:style>
  <w:style w:type="character" w:styleId="WW8Num6z1">
    <w:name w:val="WW8Num6z1"/>
    <w:qFormat/>
    <w:rPr>
      <w:rFonts w:ascii="Courier New" w:hAnsi="Courier New" w:cs="Courier New"/>
      <w:sz w:val="24"/>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4"/>
    </w:rPr>
  </w:style>
  <w:style w:type="character" w:styleId="WW8Num7z1">
    <w:name w:val="WW8Num7z1"/>
    <w:qFormat/>
    <w:rPr>
      <w:rFonts w:ascii="Courier New" w:hAnsi="Courier New" w:cs="Courier New"/>
      <w:sz w:val="24"/>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sz w:val="24"/>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4"/>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DefaultParagraphFont">
    <w:name w:val="Default Paragraph Font"/>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Heading1Char">
    <w:name w:val="Heading 1 Char"/>
    <w:basedOn w:val="DefaultParagraphFont"/>
    <w:qFormat/>
    <w:rPr>
      <w:rFonts w:ascii="Noto Serif" w:hAnsi="Noto Serif" w:eastAsia="Times New Roman" w:cs="Times New Roman"/>
      <w:b/>
      <w:bCs/>
      <w:color w:val="202329"/>
      <w:kern w:val="2"/>
      <w:sz w:val="27"/>
      <w:szCs w:val="27"/>
      <w:lang w:eastAsia="en-GB"/>
    </w:rPr>
  </w:style>
  <w:style w:type="character" w:styleId="Heading2Char">
    <w:name w:val="Heading 2 Char"/>
    <w:basedOn w:val="DefaultParagraphFont"/>
    <w:qFormat/>
    <w:rPr>
      <w:rFonts w:ascii="Calibri Light" w:hAnsi="Calibri Light" w:cs="Calibri Light"/>
      <w:color w:val="2F5496"/>
      <w:sz w:val="26"/>
      <w:szCs w:val="26"/>
    </w:rPr>
  </w:style>
  <w:style w:type="character" w:styleId="InternetLink">
    <w:name w:val="Internet Link"/>
    <w:basedOn w:val="DefaultParagraphFon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3Char">
    <w:name w:val="Heading 3 Char"/>
    <w:basedOn w:val="DefaultParagraphFont"/>
    <w:qFormat/>
    <w:rPr>
      <w:rFonts w:ascii="Calibri Light" w:hAnsi="Calibri Light" w:cs="Calibri Light"/>
      <w:color w:val="1F3763"/>
      <w:sz w:val="24"/>
      <w:szCs w:val="24"/>
    </w:rPr>
  </w:style>
  <w:style w:type="character" w:styleId="BodyTextChar">
    <w:name w:val="Body Text Char"/>
    <w:basedOn w:val="DefaultParagraphFont"/>
    <w:qFormat/>
    <w:rPr>
      <w:rFonts w:ascii="Arial" w:hAnsi="Arial" w:eastAsia="Times New Roman" w:cs="Times New Roman"/>
      <w:sz w:val="24"/>
      <w:szCs w:val="20"/>
    </w:rPr>
  </w:style>
  <w:style w:type="character" w:styleId="BodyTextIndent3Char">
    <w:name w:val="Body Text Indent 3 Char"/>
    <w:basedOn w:val="DefaultParagraphFont"/>
    <w:qFormat/>
    <w:rPr>
      <w:rFonts w:ascii="Times New Roman" w:hAnsi="Times New Roman" w:eastAsia="Arial Unicode MS" w:cs="Times New Roman"/>
      <w:sz w:val="16"/>
      <w:szCs w:val="16"/>
      <w:lang w:val="en-U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alloonTextChar">
    <w:name w:val="Balloon Text Char"/>
    <w:basedOn w:val="DefaultParagraphFont"/>
    <w:qFormat/>
    <w:rPr>
      <w:rFonts w:ascii="Segoe UI" w:hAnsi="Segoe UI" w:cs="Segoe UI"/>
      <w:sz w:val="18"/>
      <w:szCs w:val="18"/>
    </w:rPr>
  </w:style>
  <w:style w:type="character" w:styleId="TitleChar">
    <w:name w:val="Title Char"/>
    <w:basedOn w:val="DefaultParagraphFont"/>
    <w:qFormat/>
    <w:rPr>
      <w:rFonts w:ascii="Times New Roman" w:hAnsi="Times New Roman" w:eastAsia="Times New Roman" w:cs="Times New Roman"/>
      <w:sz w:val="24"/>
      <w:szCs w:val="24"/>
      <w:u w:val="single"/>
    </w:rPr>
  </w:style>
  <w:style w:type="character" w:styleId="A0">
    <w:name w:val="A0"/>
    <w:qFormat/>
    <w:rPr>
      <w:rFonts w:cs="Arial"/>
      <w:color w:val="000000"/>
      <w:sz w:val="22"/>
      <w:szCs w:val="22"/>
    </w:rPr>
  </w:style>
  <w:style w:type="paragraph" w:styleId="Heading">
    <w:name w:val="Heading"/>
    <w:basedOn w:val="Normal"/>
    <w:next w:val="TextBody"/>
    <w:qFormat/>
    <w:pPr>
      <w:keepNext w:val="true"/>
      <w:spacing w:before="240" w:after="120"/>
    </w:pPr>
    <w:rPr>
      <w:rFonts w:ascii="Liberation Sans;Arial" w:hAnsi="Liberation Sans;Arial" w:eastAsia="Microsoft YaHei" w:cs="Liberation Sans;Arial"/>
      <w:sz w:val="28"/>
      <w:szCs w:val="28"/>
    </w:rPr>
  </w:style>
  <w:style w:type="paragraph" w:styleId="TextBody">
    <w:name w:val="Body Text"/>
    <w:basedOn w:val="Normal"/>
    <w:pPr>
      <w:snapToGrid w:val="false"/>
      <w:spacing w:lineRule="auto" w:line="240" w:before="0" w:after="0"/>
    </w:pPr>
    <w:rPr>
      <w:rFonts w:ascii="Arial" w:hAnsi="Arial" w:eastAsia="Times New Roman" w:cs="Times New Roman"/>
      <w:sz w:val="24"/>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style>
  <w:style w:type="paragraph" w:styleId="Caption1">
    <w:name w:val="caption"/>
    <w:basedOn w:val="Normal"/>
    <w:qFormat/>
    <w:pPr>
      <w:suppressLineNumbers/>
      <w:spacing w:before="120" w:after="120"/>
    </w:pPr>
    <w:rPr>
      <w:i/>
      <w:iCs/>
      <w:sz w:val="24"/>
      <w:szCs w:val="24"/>
    </w:rPr>
  </w:style>
  <w:style w:type="paragraph" w:styleId="NormalWeb">
    <w:name w:val="Normal (Web)"/>
    <w:basedOn w:val="Normal"/>
    <w:qFormat/>
    <w:pPr>
      <w:spacing w:lineRule="auto" w:line="240" w:before="0" w:after="280"/>
    </w:pPr>
    <w:rPr>
      <w:rFonts w:ascii="Noto Sans" w:hAnsi="Noto Sans" w:eastAsia="Times New Roman" w:cs="Times New Roman"/>
      <w:color w:val="202329"/>
      <w:sz w:val="24"/>
      <w:szCs w:val="24"/>
      <w:lang w:eastAsia="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Body">
    <w:name w:val="Body"/>
    <w:qFormat/>
    <w:pPr>
      <w:widowControl/>
      <w:suppressAutoHyphens w:val="true"/>
      <w:bidi w:val="0"/>
      <w:spacing w:before="0" w:after="0"/>
      <w:jc w:val="left"/>
    </w:pPr>
    <w:rPr>
      <w:rFonts w:ascii="Arial" w:hAnsi="Arial" w:eastAsia="Arial" w:cs="Arial"/>
      <w:color w:val="000000"/>
      <w:kern w:val="0"/>
      <w:sz w:val="22"/>
      <w:szCs w:val="22"/>
      <w:u w:val="none" w:color="000000"/>
      <w:lang w:val="en-GB" w:eastAsia="en-US" w:bidi="ar-SA"/>
    </w:rPr>
  </w:style>
  <w:style w:type="paragraph" w:styleId="Default">
    <w:name w:val="Default"/>
    <w:qFormat/>
    <w:pPr>
      <w:widowControl/>
      <w:suppressAutoHyphens w:val="true"/>
      <w:bidi w:val="0"/>
      <w:spacing w:before="0" w:after="0"/>
      <w:jc w:val="left"/>
    </w:pPr>
    <w:rPr>
      <w:rFonts w:ascii="Verdana" w:hAnsi="Verdana" w:eastAsia="Times New Roman" w:cs="Verdana"/>
      <w:color w:val="000000"/>
      <w:kern w:val="0"/>
      <w:sz w:val="22"/>
      <w:szCs w:val="24"/>
      <w:lang w:val="en-GB" w:eastAsia="en-GB" w:bidi="ar-SA"/>
    </w:rPr>
  </w:style>
  <w:style w:type="paragraph" w:styleId="BodyTextIndent3">
    <w:name w:val="Body Text Indent 3"/>
    <w:basedOn w:val="Normal"/>
    <w:qFormat/>
    <w:pPr>
      <w:spacing w:lineRule="auto" w:line="240" w:before="0" w:after="120"/>
      <w:ind w:left="283" w:right="0" w:hanging="0"/>
    </w:pPr>
    <w:rPr>
      <w:rFonts w:ascii="Times New Roman" w:hAnsi="Times New Roman" w:eastAsia="Arial Unicode MS" w:cs="Times New Roman"/>
      <w:sz w:val="16"/>
      <w:szCs w:val="16"/>
      <w:lang w:val="en-US"/>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Title">
    <w:name w:val="Title"/>
    <w:basedOn w:val="Normal"/>
    <w:next w:val="TextBody"/>
    <w:qFormat/>
    <w:pPr>
      <w:spacing w:lineRule="auto" w:line="240" w:before="0" w:after="0"/>
      <w:jc w:val="center"/>
    </w:pPr>
    <w:rPr>
      <w:rFonts w:ascii="Times New Roman" w:hAnsi="Times New Roman" w:eastAsia="Times New Roman" w:cs="Times New Roman"/>
      <w:sz w:val="24"/>
      <w:szCs w:val="24"/>
      <w:u w:val="single"/>
    </w:rPr>
  </w:style>
  <w:style w:type="paragraph" w:styleId="Pa0">
    <w:name w:val="Pa0"/>
    <w:basedOn w:val="Normal"/>
    <w:next w:val="Normal"/>
    <w:qFormat/>
    <w:pPr>
      <w:spacing w:lineRule="atLeast" w:line="241" w:before="0" w:after="0"/>
    </w:pPr>
    <w:rPr>
      <w:rFonts w:ascii="Arial" w:hAnsi="Arial" w:eastAsia="Times New Roman" w:cs="Times New Roman"/>
      <w:sz w:val="24"/>
      <w:szCs w:val="24"/>
      <w:lang w:val="en-US"/>
    </w:rPr>
  </w:style>
  <w:style w:type="paragraph" w:styleId="Revision">
    <w:name w:val="Revision"/>
    <w:qFormat/>
    <w:pPr>
      <w:widowControl/>
      <w:suppressAutoHyphens w:val="true"/>
      <w:bidi w:val="0"/>
      <w:spacing w:before="0" w:after="0"/>
      <w:jc w:val="left"/>
    </w:pPr>
    <w:rPr>
      <w:rFonts w:ascii="Calibri" w:hAnsi="Calibri" w:eastAsia="Calibri" w:cs="Lucida San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2026-07-15T09:57:00Z</dcterms:created>
  <dc:creator>debman</dc:creator>
  <dc:description/>
  <dc:language>en-US</dc:language>
  <cp:lastModifiedBy>Dar, Humaira</cp:lastModifiedBy>
  <cp:lastPrinted>1995-11-21T17:41:00Z</cp:lastPrinted>
  <dcterms:modified xsi:type="dcterms:W3CDTF">2026-07-15T09:58:00Z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0x01010084FA5FD4F6E1A3449068351E443E99EB</vt:lpwstr>
  </property>
  <property fmtid="{D5CDD505-2E9C-101B-9397-08002B2CF9AE}" pid="4" name="Directorate">
    <vt:lpwstr>2;#People Services|a5f58fab-bd0d-4bcd-b5ab-6dc0d7d70265</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docLang">
    <vt:lpwstr>en</vt:lpwstr>
  </property>
</Properties>
</file>