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fill="004F6E" w:val="clear"/>
        <w:ind w:hanging="0" w:left="0"/>
        <w:rPr>
          <w:rFonts w:cs="Arial"/>
          <w:sz w:val="24"/>
          <w:szCs w:val="24"/>
        </w:rPr>
      </w:pPr>
      <w:r>
        <w:rPr>
          <w:rFonts w:cs="Arial"/>
          <w:sz w:val="24"/>
          <w:szCs w:val="24"/>
        </w:rPr>
        <w:t>Role profile</w:t>
      </w:r>
    </w:p>
    <w:p>
      <w:pPr>
        <w:pStyle w:val="ListParagraph"/>
        <w:numPr>
          <w:ilvl w:val="0"/>
          <w:numId w:val="2"/>
        </w:numPr>
        <w:rPr/>
      </w:pPr>
      <w:r>
        <w:rPr>
          <w:rFonts w:cs="Arial"/>
          <w:b/>
          <w:bCs/>
        </w:rPr>
        <w:t>Job title</w:t>
      </w:r>
      <w:r>
        <w:rPr>
          <w:rFonts w:cs="Arial"/>
        </w:rPr>
        <w:t>: Education &amp; Behavioural Change Manager</w:t>
      </w:r>
    </w:p>
    <w:p>
      <w:pPr>
        <w:pStyle w:val="ListParagraph"/>
        <w:numPr>
          <w:ilvl w:val="0"/>
          <w:numId w:val="2"/>
        </w:numPr>
        <w:rPr/>
      </w:pPr>
      <w:r>
        <w:rPr>
          <w:rFonts w:cs="Arial"/>
          <w:b/>
          <w:bCs/>
          <w:szCs w:val="24"/>
        </w:rPr>
        <w:t>Grade:</w:t>
      </w:r>
      <w:r>
        <w:rPr>
          <w:rFonts w:cs="Arial"/>
          <w:szCs w:val="24"/>
        </w:rPr>
        <w:t xml:space="preserve"> 8</w:t>
      </w:r>
    </w:p>
    <w:p>
      <w:pPr>
        <w:pStyle w:val="ListParagraph"/>
        <w:numPr>
          <w:ilvl w:val="0"/>
          <w:numId w:val="2"/>
        </w:numPr>
        <w:rPr/>
      </w:pPr>
      <w:r>
        <w:rPr>
          <w:rFonts w:cs="Arial"/>
          <w:b/>
          <w:bCs/>
          <w:szCs w:val="24"/>
        </w:rPr>
        <w:t xml:space="preserve">Duration: </w:t>
      </w:r>
      <w:r>
        <w:rPr>
          <w:rFonts w:cs="Arial"/>
          <w:szCs w:val="24"/>
        </w:rPr>
        <w:t>Permanent</w:t>
      </w:r>
    </w:p>
    <w:p>
      <w:pPr>
        <w:pStyle w:val="ListParagraph"/>
        <w:numPr>
          <w:ilvl w:val="0"/>
          <w:numId w:val="2"/>
        </w:numPr>
        <w:rPr/>
      </w:pPr>
      <w:r>
        <w:rPr>
          <w:rFonts w:cs="Arial"/>
          <w:b/>
          <w:bCs/>
          <w:szCs w:val="24"/>
        </w:rPr>
        <w:t>Business area:</w:t>
      </w:r>
      <w:r>
        <w:rPr>
          <w:rFonts w:cs="Arial"/>
          <w:szCs w:val="24"/>
        </w:rPr>
        <w:t xml:space="preserve"> Communications and Engagement</w:t>
      </w:r>
    </w:p>
    <w:p>
      <w:pPr>
        <w:pStyle w:val="ListParagraph"/>
        <w:numPr>
          <w:ilvl w:val="0"/>
          <w:numId w:val="2"/>
        </w:numPr>
        <w:rPr/>
      </w:pPr>
      <w:r>
        <w:rPr>
          <w:rFonts w:cs="Arial"/>
          <w:b/>
          <w:bCs/>
          <w:szCs w:val="24"/>
        </w:rPr>
        <w:t>Reporting line:</w:t>
      </w:r>
      <w:r>
        <w:rPr>
          <w:rFonts w:cs="Arial"/>
          <w:szCs w:val="24"/>
        </w:rPr>
        <w:t xml:space="preserve"> Senior Communications &amp; Behavioural Change Manager</w:t>
      </w:r>
    </w:p>
    <w:p>
      <w:pPr>
        <w:pStyle w:val="ListParagraph"/>
        <w:numPr>
          <w:ilvl w:val="0"/>
          <w:numId w:val="2"/>
        </w:numPr>
        <w:rPr/>
      </w:pPr>
      <w:r>
        <w:rPr>
          <w:rFonts w:cs="Arial"/>
          <w:b/>
          <w:bCs/>
          <w:szCs w:val="24"/>
        </w:rPr>
        <w:t>Team:</w:t>
      </w:r>
      <w:r>
        <w:rPr>
          <w:rFonts w:cs="Arial"/>
          <w:szCs w:val="24"/>
        </w:rPr>
        <w:t xml:space="preserve"> Communications and Engagement</w:t>
      </w:r>
    </w:p>
    <w:p>
      <w:pPr>
        <w:pStyle w:val="Heading2"/>
        <w:ind w:hanging="0" w:left="0"/>
        <w:rPr>
          <w:rFonts w:cs="Arial"/>
          <w:sz w:val="24"/>
          <w:szCs w:val="24"/>
        </w:rPr>
      </w:pPr>
      <w:r>
        <w:rPr>
          <w:rFonts w:cs="Arial"/>
          <w:sz w:val="24"/>
          <w:szCs w:val="24"/>
        </w:rPr>
        <w:t>Job Purpose</w:t>
      </w:r>
    </w:p>
    <w:p>
      <w:pPr>
        <w:pStyle w:val="Normal"/>
        <w:rPr>
          <w:rFonts w:cs="Arial"/>
        </w:rPr>
      </w:pPr>
      <w:r>
        <w:rPr>
          <w:rFonts w:cs="Arial"/>
        </w:rPr>
        <w:t>To lead the Recycle for Greater Manchester education team in the delivery of a high-quality waste and resources education programme that supports the wider objectives of the Greater Manchester Combined Authority (GMCA) Waste and Resources Service.</w:t>
      </w:r>
    </w:p>
    <w:p>
      <w:pPr>
        <w:pStyle w:val="Normal"/>
        <w:rPr>
          <w:rFonts w:cs="Arial"/>
        </w:rPr>
      </w:pPr>
      <w:r>
        <w:rPr>
          <w:rFonts w:cs="Arial"/>
        </w:rPr>
        <w:t>The Education team is responsible for delivering tours at key facilities, including the Materials Recovery Facility, the Renew Hub and the solar farm, alongside an extensive outreach programme for schools, community groups and professional groups. This work helps residents understand how to recycle correctly, repair and reuse items, buy second-hand, and manage waste more responsibly.</w:t>
      </w:r>
    </w:p>
    <w:p>
      <w:pPr>
        <w:pStyle w:val="Normal"/>
        <w:rPr>
          <w:rFonts w:cs="Arial"/>
        </w:rPr>
      </w:pPr>
      <w:r>
        <w:rPr>
          <w:rFonts w:cs="Arial"/>
        </w:rPr>
        <w:t>The Education and Behaviour Change Manager will provide line management and professional leadership to the education team, ensuring tours and outreach activities are safe, consistent, engaging and aligned to service priorities. They will also contribute to the development, delivery and evaluation of the wider education and behaviour change strategy.</w:t>
      </w:r>
    </w:p>
    <w:p>
      <w:pPr>
        <w:pStyle w:val="Normal"/>
        <w:rPr>
          <w:rFonts w:cs="Arial"/>
        </w:rPr>
      </w:pPr>
      <w:r>
        <w:rPr>
          <w:rFonts w:cs="Arial"/>
        </w:rPr>
        <w:t>The postholder will work as part of the Recycle for Greater Manchester communications and behaviour change team, collaborating closely with the waste contractor, SUEZ, and a range of internal and external partners.</w:t>
      </w:r>
    </w:p>
    <w:p>
      <w:pPr>
        <w:pStyle w:val="Normal"/>
        <w:rPr>
          <w:rFonts w:cs="Arial"/>
        </w:rPr>
      </w:pPr>
      <w:r>
        <w:rPr>
          <w:rFonts w:cs="Arial"/>
        </w:rPr>
      </w:r>
    </w:p>
    <w:p>
      <w:pPr>
        <w:pStyle w:val="Heading2"/>
        <w:ind w:hanging="0" w:left="0"/>
        <w:rPr>
          <w:rFonts w:cs="Arial"/>
          <w:sz w:val="24"/>
          <w:szCs w:val="24"/>
        </w:rPr>
      </w:pPr>
      <w:r>
        <w:rPr>
          <w:rFonts w:cs="Arial"/>
          <w:sz w:val="24"/>
          <w:szCs w:val="24"/>
        </w:rPr>
        <w:t>Key working relationships</w:t>
      </w:r>
    </w:p>
    <w:p>
      <w:pPr>
        <w:pStyle w:val="ListParagraph"/>
        <w:numPr>
          <w:ilvl w:val="0"/>
          <w:numId w:val="3"/>
        </w:numPr>
        <w:ind w:hanging="357" w:left="714" w:right="0"/>
        <w:rPr/>
      </w:pPr>
      <w:r>
        <w:rPr>
          <w:rFonts w:cs="Arial"/>
          <w:color w:val="auto"/>
          <w:szCs w:val="24"/>
        </w:rPr>
        <w:t xml:space="preserve">Senior leaders and policy teams across GMCA, including members of the Senior Leadership Team and the GMCA Waste and Resources team. </w:t>
      </w:r>
    </w:p>
    <w:p>
      <w:pPr>
        <w:pStyle w:val="ListParagraph"/>
        <w:widowControl/>
        <w:numPr>
          <w:ilvl w:val="0"/>
          <w:numId w:val="3"/>
        </w:numPr>
        <w:ind w:hanging="357" w:left="714" w:right="261"/>
        <w:rPr/>
      </w:pPr>
      <w:r>
        <w:rPr>
          <w:rStyle w:val="normaltextrun"/>
          <w:color w:val="auto"/>
          <w:szCs w:val="24"/>
        </w:rPr>
        <w:t>Colleagues from the Greater Manchester SUEZ recycling and recovery UK (SUEZ) team</w:t>
      </w:r>
    </w:p>
    <w:p>
      <w:pPr>
        <w:pStyle w:val="ListParagraph"/>
        <w:widowControl/>
        <w:numPr>
          <w:ilvl w:val="0"/>
          <w:numId w:val="3"/>
        </w:numPr>
        <w:ind w:hanging="357" w:left="714" w:right="261"/>
        <w:rPr/>
      </w:pPr>
      <w:r>
        <w:rPr>
          <w:rStyle w:val="normaltextrun"/>
          <w:szCs w:val="24"/>
          <w:shd w:fill="FFFFFF" w:val="clear"/>
        </w:rPr>
        <w:t>GMCA Director, Assistant Directors and Heads of Communications and Engagement; GMCA communications and engagement team.</w:t>
      </w:r>
      <w:r>
        <w:rPr>
          <w:rStyle w:val="eop"/>
          <w:szCs w:val="24"/>
          <w:shd w:fill="FFFFFF" w:val="clear"/>
        </w:rPr>
        <w:t> </w:t>
      </w:r>
    </w:p>
    <w:p>
      <w:pPr>
        <w:pStyle w:val="ListParagraph"/>
        <w:numPr>
          <w:ilvl w:val="0"/>
          <w:numId w:val="3"/>
        </w:numPr>
        <w:ind w:hanging="357" w:left="714" w:right="0"/>
        <w:rPr/>
      </w:pPr>
      <w:r>
        <w:rPr>
          <w:rFonts w:cs="Arial"/>
          <w:color w:val="auto"/>
          <w:szCs w:val="24"/>
        </w:rPr>
        <w:t>Colleagues in Greater Manchester partner organisations (</w:t>
      </w:r>
      <w:r>
        <w:rPr>
          <w:color w:val="auto"/>
          <w:szCs w:val="24"/>
        </w:rPr>
        <w:t>potentially including Greater Manchester Integrated Care Partnership, Greater Manchester Fire and Rescue Service, Transport for Greater Manchester and Greater Manchester Police)</w:t>
      </w:r>
      <w:r>
        <w:rPr>
          <w:rFonts w:cs="Arial"/>
          <w:color w:val="auto"/>
          <w:szCs w:val="24"/>
        </w:rPr>
        <w:t xml:space="preserve"> and 9 of the city-region’s local authorities. (Wigan Council is not part of the GMCA waste disposal arrangements)</w:t>
      </w:r>
    </w:p>
    <w:p>
      <w:pPr>
        <w:pStyle w:val="ListParagraph"/>
        <w:numPr>
          <w:ilvl w:val="0"/>
          <w:numId w:val="3"/>
        </w:numPr>
        <w:ind w:hanging="357" w:left="714" w:right="0"/>
        <w:rPr/>
      </w:pPr>
      <w:r>
        <w:rPr>
          <w:color w:val="auto"/>
          <w:szCs w:val="24"/>
        </w:rPr>
        <w:t>Partners from organisations working on relevant projects and functions in Greater Manchester and nationally, including in voluntary, community, faith and social enterprise (VCSFE), Government, businesses and commissioned agencies.</w:t>
      </w:r>
    </w:p>
    <w:p>
      <w:pPr>
        <w:pStyle w:val="ListParagraph"/>
        <w:numPr>
          <w:ilvl w:val="0"/>
          <w:numId w:val="3"/>
        </w:numPr>
        <w:ind w:hanging="357" w:left="714" w:right="0"/>
        <w:rPr/>
      </w:pPr>
      <w:r>
        <w:rPr>
          <w:color w:val="auto"/>
          <w:szCs w:val="24"/>
        </w:rPr>
        <w:t>Educational establishments, higher and further education establishments.</w:t>
      </w:r>
    </w:p>
    <w:p>
      <w:pPr>
        <w:pStyle w:val="Heading2"/>
        <w:ind w:hanging="0" w:left="0"/>
        <w:rPr>
          <w:rFonts w:cs="Arial"/>
          <w:sz w:val="24"/>
          <w:szCs w:val="24"/>
        </w:rPr>
      </w:pPr>
      <w:r>
        <w:rPr>
          <w:rFonts w:cs="Arial"/>
          <w:sz w:val="24"/>
          <w:szCs w:val="24"/>
        </w:rPr>
        <w:t>Key Responsibilities</w:t>
      </w:r>
    </w:p>
    <w:p>
      <w:pPr>
        <w:pStyle w:val="Normal"/>
        <w:widowControl/>
        <w:ind w:left="357" w:right="0"/>
        <w:rPr>
          <w:color w:val="auto"/>
        </w:rPr>
      </w:pPr>
      <w:r>
        <w:rPr>
          <w:color w:val="auto"/>
        </w:rPr>
      </w:r>
    </w:p>
    <w:p>
      <w:pPr>
        <w:pStyle w:val="ListParagraph"/>
        <w:widowControl/>
        <w:numPr>
          <w:ilvl w:val="0"/>
          <w:numId w:val="15"/>
        </w:numPr>
        <w:rPr/>
      </w:pPr>
      <w:r>
        <w:rPr>
          <w:rFonts w:eastAsia="Times New Roman"/>
          <w:lang w:eastAsia="en-GB"/>
        </w:rPr>
        <w:t>To Line manage the Education team including Senior Education officers and Business Support Officer setting and regularly reviewing objectives, conducting appraisals, and ensuring work is delivered to a high standard.</w:t>
      </w:r>
    </w:p>
    <w:p>
      <w:pPr>
        <w:pStyle w:val="ListParagraph"/>
        <w:widowControl/>
        <w:numPr>
          <w:ilvl w:val="0"/>
          <w:numId w:val="15"/>
        </w:numPr>
        <w:rPr/>
      </w:pPr>
      <w:r>
        <w:rPr>
          <w:color w:val="auto"/>
        </w:rPr>
        <w:t xml:space="preserve">To lead on the development and evaluation of the tours at the waste facilities and educational sessions in schools and community groups that educate children, students, community and voluntary groups about waste reduction, reuse and recycling in Greater Manchester.  </w:t>
      </w:r>
    </w:p>
    <w:p>
      <w:pPr>
        <w:pStyle w:val="ListParagraph"/>
        <w:numPr>
          <w:ilvl w:val="0"/>
          <w:numId w:val="15"/>
        </w:numPr>
        <w:rPr/>
      </w:pPr>
      <w:r>
        <w:rPr>
          <w:color w:val="auto"/>
        </w:rPr>
        <w:t xml:space="preserve">To deliver tours of the waste facilities. Whilst delivering a tour you will be responsible for managing the behaviours of individuals or groups to maintain effective learning. You are also responsible for ensuring the safety of visitors on operational sites adhering to health and safety procedures including providing PPE to visitors. </w:t>
      </w:r>
    </w:p>
    <w:p>
      <w:pPr>
        <w:pStyle w:val="ListParagraph"/>
        <w:numPr>
          <w:ilvl w:val="0"/>
          <w:numId w:val="15"/>
        </w:numPr>
        <w:rPr/>
      </w:pPr>
      <w:r>
        <w:rPr>
          <w:color w:val="auto"/>
        </w:rPr>
        <w:t>To deliver outreach sessions to schools and community groups making sure the materials and session plans are relevant to the audience.</w:t>
      </w:r>
    </w:p>
    <w:p>
      <w:pPr>
        <w:pStyle w:val="ListParagraph"/>
        <w:numPr>
          <w:ilvl w:val="0"/>
          <w:numId w:val="15"/>
        </w:numPr>
        <w:rPr/>
      </w:pPr>
      <w:r>
        <w:rPr>
          <w:color w:val="auto"/>
          <w:szCs w:val="24"/>
        </w:rPr>
        <w:t>To lead on relevant health and safety policies and risk assessments and ensure the team follow them during the visits. To be responsible for recording accidents and incidents in line with the site health and safety policy.</w:t>
      </w:r>
    </w:p>
    <w:p>
      <w:pPr>
        <w:pStyle w:val="ListParagraph"/>
        <w:numPr>
          <w:ilvl w:val="0"/>
          <w:numId w:val="15"/>
        </w:numPr>
        <w:rPr/>
      </w:pPr>
      <w:r>
        <w:rPr>
          <w:color w:val="auto"/>
          <w:szCs w:val="24"/>
        </w:rPr>
        <w:t>To lead on implementing safeguarding practises to keep visitors safe while on site.</w:t>
      </w:r>
    </w:p>
    <w:p>
      <w:pPr>
        <w:pStyle w:val="ListParagraph"/>
        <w:numPr>
          <w:ilvl w:val="0"/>
          <w:numId w:val="15"/>
        </w:numPr>
        <w:rPr/>
      </w:pPr>
      <w:r>
        <w:rPr>
          <w:color w:val="auto"/>
        </w:rPr>
        <w:t>To manage all documentation relating to classroom session plans including management of effective record keeping and version control.</w:t>
      </w:r>
    </w:p>
    <w:p>
      <w:pPr>
        <w:pStyle w:val="ListParagraph"/>
        <w:numPr>
          <w:ilvl w:val="0"/>
          <w:numId w:val="15"/>
        </w:numPr>
        <w:rPr/>
      </w:pPr>
      <w:r>
        <w:rPr/>
        <w:t>Lead the development of session plans, ensuring resources are up to date, support effective learning and align with the national curriculum where possible.</w:t>
      </w:r>
    </w:p>
    <w:p>
      <w:pPr>
        <w:pStyle w:val="ListParagraph"/>
        <w:numPr>
          <w:ilvl w:val="0"/>
          <w:numId w:val="15"/>
        </w:numPr>
        <w:rPr/>
      </w:pPr>
      <w:r>
        <w:rPr>
          <w:color w:val="auto"/>
        </w:rPr>
        <w:t>To work with the digital team on the development of new educational digital resources on the Recycle for Greater Manchester website, e-learning, presentations and community engagement activities.</w:t>
      </w:r>
    </w:p>
    <w:p>
      <w:pPr>
        <w:pStyle w:val="ListParagraph"/>
        <w:numPr>
          <w:ilvl w:val="0"/>
          <w:numId w:val="15"/>
        </w:numPr>
        <w:rPr/>
      </w:pPr>
      <w:r>
        <w:rPr/>
        <w:t>Manage the successful delivery of plans for the Recycle for Greater Manchester team, ensuring work is delivered on time, within budget and to the required quality standards.</w:t>
      </w:r>
    </w:p>
    <w:p>
      <w:pPr>
        <w:pStyle w:val="ListParagraph"/>
        <w:numPr>
          <w:ilvl w:val="0"/>
          <w:numId w:val="15"/>
        </w:numPr>
        <w:rPr/>
      </w:pPr>
      <w:r>
        <w:rPr>
          <w:color w:val="auto"/>
        </w:rPr>
        <w:t>Provide support to the R4GM Senior Managers, Head of Communications and Behavioural Change and other colleagues on education and learning.</w:t>
      </w:r>
    </w:p>
    <w:p>
      <w:pPr>
        <w:pStyle w:val="ListParagraph"/>
        <w:numPr>
          <w:ilvl w:val="0"/>
          <w:numId w:val="15"/>
        </w:numPr>
        <w:rPr/>
      </w:pPr>
      <w:r>
        <w:rPr>
          <w:color w:val="auto"/>
          <w:szCs w:val="24"/>
        </w:rPr>
        <w:t>Actively engage with schools to promote the tours and to gather feedback to ensure the tours remain relevant and effectively support the school curriculum.</w:t>
      </w:r>
    </w:p>
    <w:p>
      <w:pPr>
        <w:pStyle w:val="ListParagraph"/>
        <w:numPr>
          <w:ilvl w:val="0"/>
          <w:numId w:val="15"/>
        </w:numPr>
        <w:rPr/>
      </w:pPr>
      <w:r>
        <w:rPr>
          <w:color w:val="auto"/>
        </w:rPr>
        <w:t>Work closely with colleagues in the Waste &amp; Resources Directorate and SUEZ UK to stay informed about contractual updates, including changes to material collections, technology and national policy.</w:t>
      </w:r>
    </w:p>
    <w:p>
      <w:pPr>
        <w:pStyle w:val="ListParagraph"/>
        <w:numPr>
          <w:ilvl w:val="0"/>
          <w:numId w:val="15"/>
        </w:numPr>
        <w:rPr/>
      </w:pPr>
      <w:r>
        <w:rPr>
          <w:color w:val="auto"/>
          <w:szCs w:val="24"/>
        </w:rPr>
        <w:t>Proactively look for opportunities to raise awareness of the work of SUEZ UK and the R4GM team and their contribution to GMCA’s Recycling and Waste plan and Greater Manchester Strategy; increase engagement with the public and key stakeholders.</w:t>
      </w:r>
    </w:p>
    <w:p>
      <w:pPr>
        <w:pStyle w:val="ListParagraph"/>
        <w:numPr>
          <w:ilvl w:val="0"/>
          <w:numId w:val="15"/>
        </w:numPr>
        <w:rPr/>
      </w:pPr>
      <w:r>
        <w:rPr>
          <w:color w:val="auto"/>
          <w:szCs w:val="24"/>
        </w:rPr>
        <w:t>Identify news stories and opportunities, working closely with the R4GM communications team and news and media team.</w:t>
      </w:r>
    </w:p>
    <w:p>
      <w:pPr>
        <w:pStyle w:val="ListParagraph"/>
        <w:numPr>
          <w:ilvl w:val="0"/>
          <w:numId w:val="15"/>
        </w:numPr>
        <w:rPr/>
      </w:pPr>
      <w:r>
        <w:rPr>
          <w:szCs w:val="24"/>
        </w:rPr>
        <w:t>Build knowledge and gather insight to ensure approaches are informed by policies and best practice and the experiences of residents, communities and appropriate partners</w:t>
      </w:r>
    </w:p>
    <w:p>
      <w:pPr>
        <w:pStyle w:val="ListParagraph"/>
        <w:numPr>
          <w:ilvl w:val="0"/>
          <w:numId w:val="15"/>
        </w:numPr>
        <w:rPr/>
      </w:pPr>
      <w:r>
        <w:rPr>
          <w:color w:val="auto"/>
          <w:szCs w:val="24"/>
        </w:rPr>
        <w:t>Regularly review plans, and monitor and evaluate the effectiveness and impact of activities; produce updates and reports for directorates, programme boards and key stakeholders.</w:t>
      </w:r>
    </w:p>
    <w:p>
      <w:pPr>
        <w:pStyle w:val="ListParagraph"/>
        <w:numPr>
          <w:ilvl w:val="0"/>
          <w:numId w:val="15"/>
        </w:numPr>
        <w:rPr/>
      </w:pPr>
      <w:r>
        <w:rPr>
          <w:rFonts w:eastAsia="Times New Roman"/>
          <w:szCs w:val="24"/>
          <w:lang w:eastAsia="en-GB"/>
        </w:rPr>
        <w:t xml:space="preserve">To ensure that the visitor centres are accessible and comply with accreditation to national schemes. </w:t>
      </w:r>
    </w:p>
    <w:p>
      <w:pPr>
        <w:pStyle w:val="ListParagraph"/>
        <w:numPr>
          <w:ilvl w:val="0"/>
          <w:numId w:val="15"/>
        </w:numPr>
        <w:rPr/>
      </w:pPr>
      <w:r>
        <w:rPr>
          <w:color w:val="auto"/>
        </w:rPr>
        <w:t>Develop briefings when required for various stakeholders, potentially including The Mayor and portfolio leads (Deputy Mayors and Council Leaders).</w:t>
      </w:r>
    </w:p>
    <w:p>
      <w:pPr>
        <w:pStyle w:val="ListParagraph"/>
        <w:numPr>
          <w:ilvl w:val="0"/>
          <w:numId w:val="15"/>
        </w:numPr>
        <w:rPr/>
      </w:pPr>
      <w:r>
        <w:rPr>
          <w:color w:val="auto"/>
          <w:szCs w:val="24"/>
        </w:rPr>
        <w:t>Attend GMCA communications and engagement team meetings and meetings with the Contractor; SUEZ to provide updates on your work areas</w:t>
      </w:r>
    </w:p>
    <w:p>
      <w:pPr>
        <w:pStyle w:val="ListParagraph"/>
        <w:numPr>
          <w:ilvl w:val="0"/>
          <w:numId w:val="15"/>
        </w:numPr>
        <w:rPr/>
      </w:pPr>
      <w:r>
        <w:rPr>
          <w:szCs w:val="24"/>
        </w:rPr>
        <w:t>Work with the senior management team within the communications and engagement team to ensure communications and engagement strategies are implemented.</w:t>
      </w:r>
    </w:p>
    <w:p>
      <w:pPr>
        <w:pStyle w:val="Normal"/>
        <w:ind w:left="360" w:right="0"/>
        <w:rPr>
          <w:rFonts w:cs="Arial"/>
          <w:szCs w:val="24"/>
        </w:rPr>
      </w:pPr>
      <w:r>
        <w:rPr>
          <w:rFonts w:cs="Arial"/>
          <w:szCs w:val="24"/>
        </w:rPr>
      </w:r>
    </w:p>
    <w:p>
      <w:pPr>
        <w:pStyle w:val="Heading2"/>
        <w:ind w:hanging="0" w:left="0"/>
        <w:rPr>
          <w:rFonts w:cs="Arial"/>
          <w:sz w:val="24"/>
          <w:szCs w:val="24"/>
        </w:rPr>
      </w:pPr>
      <w:r>
        <w:rPr>
          <w:rFonts w:cs="Arial"/>
          <w:sz w:val="24"/>
          <w:szCs w:val="24"/>
        </w:rPr>
        <w:t>General</w:t>
      </w:r>
    </w:p>
    <w:p>
      <w:pPr>
        <w:pStyle w:val="ListParagraph"/>
        <w:numPr>
          <w:ilvl w:val="0"/>
          <w:numId w:val="12"/>
        </w:numPr>
        <w:rPr/>
      </w:pPr>
      <w:r>
        <w:rPr>
          <w:rFonts w:cs="Arial"/>
          <w:color w:val="auto"/>
        </w:rPr>
        <w:t>Develop and maintain effective relationships with policy / programme colleagues, communications and education counterparts from partner organisations and other key stakeholders, ensuring clear and effective channels of communication</w:t>
      </w:r>
    </w:p>
    <w:p>
      <w:pPr>
        <w:pStyle w:val="ListParagraph"/>
        <w:numPr>
          <w:ilvl w:val="0"/>
          <w:numId w:val="12"/>
        </w:numPr>
        <w:rPr/>
      </w:pPr>
      <w:r>
        <w:rPr>
          <w:rFonts w:cs="Arial"/>
          <w:color w:val="auto"/>
        </w:rPr>
        <w:t>Provide and receive complex and often sensitive information, and apply a keen understanding of both local and national politics and their impact</w:t>
      </w:r>
    </w:p>
    <w:p>
      <w:pPr>
        <w:pStyle w:val="ListParagraph"/>
        <w:numPr>
          <w:ilvl w:val="0"/>
          <w:numId w:val="12"/>
        </w:numPr>
        <w:rPr/>
      </w:pPr>
      <w:r>
        <w:rPr>
          <w:rFonts w:cs="Arial"/>
          <w:color w:val="auto"/>
        </w:rPr>
        <w:t>Use initiative and effective analysis of options to take decisions and make recommendations autonomously when required, including on difficult and contentious issues where they may be a number of courses of action and under tight and changing timescales</w:t>
      </w:r>
    </w:p>
    <w:p>
      <w:pPr>
        <w:pStyle w:val="ListParagraph"/>
        <w:numPr>
          <w:ilvl w:val="0"/>
          <w:numId w:val="12"/>
        </w:numPr>
        <w:rPr/>
      </w:pPr>
      <w:r>
        <w:rPr>
          <w:rFonts w:cs="Arial"/>
          <w:color w:val="auto"/>
        </w:rPr>
        <w:t xml:space="preserve">Manage priorities and apportion your time effectively, balancing complex issues, interdependencies and potential conflicts </w:t>
      </w:r>
    </w:p>
    <w:p>
      <w:pPr>
        <w:pStyle w:val="ListParagraph"/>
        <w:numPr>
          <w:ilvl w:val="0"/>
          <w:numId w:val="12"/>
        </w:numPr>
        <w:rPr/>
      </w:pPr>
      <w:r>
        <w:rPr>
          <w:rFonts w:cs="Arial"/>
          <w:color w:val="auto"/>
        </w:rPr>
        <w:t>Effectively manage risk through effective analysis, mitigation and contingency planning, and escalating where necessary</w:t>
      </w:r>
    </w:p>
    <w:p>
      <w:pPr>
        <w:pStyle w:val="ListParagraph"/>
        <w:numPr>
          <w:ilvl w:val="0"/>
          <w:numId w:val="12"/>
        </w:numPr>
        <w:rPr/>
      </w:pPr>
      <w:r>
        <w:rPr>
          <w:rFonts w:cs="Arial"/>
          <w:color w:val="auto"/>
        </w:rPr>
        <w:t>Always hold yourself and others to a high standard of professionalism, demonstrating your commitment to our values and behaviours as well as ensuring service confidentiality is maintained throughout all we do.</w:t>
      </w:r>
    </w:p>
    <w:p>
      <w:pPr>
        <w:pStyle w:val="ListParagraph"/>
        <w:numPr>
          <w:ilvl w:val="0"/>
          <w:numId w:val="12"/>
        </w:numPr>
        <w:rPr/>
      </w:pPr>
      <w:r>
        <w:rPr>
          <w:rFonts w:eastAsia="Arial" w:cs="Arial"/>
          <w:color w:val="auto"/>
          <w:szCs w:val="24"/>
        </w:rPr>
        <w:t>Work with other teams internally and externally, with collaboration maximised, and support on activity where appropriate.</w:t>
      </w:r>
    </w:p>
    <w:p>
      <w:pPr>
        <w:pStyle w:val="ListParagraph"/>
        <w:numPr>
          <w:ilvl w:val="0"/>
          <w:numId w:val="12"/>
        </w:numPr>
        <w:rPr/>
      </w:pPr>
      <w:r>
        <w:rPr>
          <w:color w:val="auto"/>
        </w:rPr>
        <w:t>Ensure the services delivered internally and externally are inclusive and accessible.</w:t>
      </w:r>
    </w:p>
    <w:p>
      <w:pPr>
        <w:pStyle w:val="ListParagraph"/>
        <w:numPr>
          <w:ilvl w:val="0"/>
          <w:numId w:val="12"/>
        </w:numPr>
        <w:rPr/>
      </w:pPr>
      <w:r>
        <w:rPr>
          <w:rFonts w:cs="Arial"/>
          <w:color w:val="auto"/>
        </w:rPr>
        <w:t xml:space="preserve">Align your work area to the Sustainability Strategy and ensure work practices are inclusive of this value &amp; strategic intent. </w:t>
      </w:r>
    </w:p>
    <w:p>
      <w:pPr>
        <w:pStyle w:val="ListParagraph"/>
        <w:numPr>
          <w:ilvl w:val="0"/>
          <w:numId w:val="12"/>
        </w:numPr>
        <w:rPr/>
      </w:pPr>
      <w:r>
        <w:rPr>
          <w:color w:val="auto"/>
        </w:rPr>
        <w:t xml:space="preserve">Deputize for Communications </w:t>
      </w:r>
      <w:r>
        <w:rPr/>
        <w:t>and Engagement Senior Managers and other senior members of the communications and engagement team as required, including attendance at meetings.</w:t>
      </w:r>
    </w:p>
    <w:p>
      <w:pPr>
        <w:pStyle w:val="ListParagraph"/>
        <w:numPr>
          <w:ilvl w:val="0"/>
          <w:numId w:val="12"/>
        </w:numPr>
        <w:rPr/>
      </w:pPr>
      <w:r>
        <w:rPr/>
        <w:t>Safeguard and enhance the public image and reputation of GMCA, including the Mayor and Deputy Mayor.</w:t>
      </w:r>
    </w:p>
    <w:p>
      <w:pPr>
        <w:pStyle w:val="Normal"/>
        <w:rPr>
          <w:rFonts w:cs="Arial"/>
          <w:b/>
          <w:color w:val="auto"/>
        </w:rPr>
      </w:pPr>
      <w:r>
        <w:rPr>
          <w:rFonts w:cs="Arial"/>
          <w:b/>
          <w:color w:val="auto"/>
        </w:rPr>
        <w:t>NB: This list of duties and responsibilities is by no means exhaustive, and the post holder may be required to undertake other relevant and appropriate duties as required.</w:t>
      </w:r>
    </w:p>
    <w:p>
      <w:pPr>
        <w:pStyle w:val="Heading2"/>
        <w:ind w:hanging="0" w:left="0"/>
        <w:rPr>
          <w:rFonts w:cs="Arial"/>
          <w:sz w:val="24"/>
          <w:szCs w:val="24"/>
        </w:rPr>
      </w:pPr>
      <w:r>
        <w:rPr>
          <w:rFonts w:cs="Arial"/>
          <w:sz w:val="24"/>
          <w:szCs w:val="24"/>
        </w:rPr>
        <w:t>Knowledge, Skills, and Experience</w:t>
      </w:r>
    </w:p>
    <w:p>
      <w:pPr>
        <w:pStyle w:val="Heading3"/>
        <w:spacing w:before="60" w:after="240"/>
        <w:ind w:hanging="0" w:left="0"/>
        <w:rPr>
          <w:rFonts w:cs="Arial"/>
          <w:b/>
          <w:bCs/>
          <w:sz w:val="24"/>
        </w:rPr>
      </w:pPr>
      <w:r>
        <w:rPr>
          <w:rFonts w:cs="Arial"/>
          <w:b/>
          <w:bCs/>
          <w:sz w:val="24"/>
        </w:rPr>
        <w:t>Knowledge &amp; Experience</w:t>
      </w:r>
    </w:p>
    <w:p>
      <w:pPr>
        <w:pStyle w:val="ListParagraph"/>
        <w:numPr>
          <w:ilvl w:val="0"/>
          <w:numId w:val="11"/>
        </w:numPr>
        <w:rPr/>
      </w:pPr>
      <w:r>
        <w:rPr>
          <w:color w:val="auto"/>
          <w:szCs w:val="24"/>
        </w:rPr>
        <w:t xml:space="preserve">Specialist knowledge of education and training techniques, approaches, procedures; and underpinned by theory and experience. </w:t>
      </w:r>
    </w:p>
    <w:p>
      <w:pPr>
        <w:pStyle w:val="ListParagraph"/>
        <w:numPr>
          <w:ilvl w:val="0"/>
          <w:numId w:val="11"/>
        </w:numPr>
        <w:rPr/>
      </w:pPr>
      <w:r>
        <w:rPr>
          <w:color w:val="auto"/>
          <w:szCs w:val="24"/>
        </w:rPr>
        <w:t>Experience of working in a teaching, training or community engagement sector role and familiar with teaching and learning techniques</w:t>
      </w:r>
    </w:p>
    <w:p>
      <w:pPr>
        <w:pStyle w:val="ListParagraph"/>
        <w:numPr>
          <w:ilvl w:val="0"/>
          <w:numId w:val="11"/>
        </w:numPr>
        <w:rPr/>
      </w:pPr>
      <w:r>
        <w:rPr>
          <w:color w:val="auto"/>
          <w:szCs w:val="24"/>
        </w:rPr>
        <w:t xml:space="preserve">Experience of working with schools, educational establishments, community groups or progressional organisations in an education, training or engagement role. </w:t>
      </w:r>
    </w:p>
    <w:p>
      <w:pPr>
        <w:pStyle w:val="ListParagraph"/>
        <w:numPr>
          <w:ilvl w:val="0"/>
          <w:numId w:val="11"/>
        </w:numPr>
        <w:rPr/>
      </w:pPr>
      <w:r>
        <w:rPr>
          <w:color w:val="auto"/>
          <w:szCs w:val="24"/>
        </w:rPr>
        <w:t>Experience of successfully supporting educational programmes for complex programmes or issues.</w:t>
      </w:r>
    </w:p>
    <w:p>
      <w:pPr>
        <w:pStyle w:val="ListParagraph"/>
        <w:numPr>
          <w:ilvl w:val="0"/>
          <w:numId w:val="11"/>
        </w:numPr>
        <w:rPr/>
      </w:pPr>
      <w:r>
        <w:rPr>
          <w:color w:val="auto"/>
          <w:szCs w:val="24"/>
        </w:rPr>
        <w:t>Experience of working in a customer facing environment</w:t>
      </w:r>
    </w:p>
    <w:p>
      <w:pPr>
        <w:pStyle w:val="ListParagraph"/>
        <w:numPr>
          <w:ilvl w:val="0"/>
          <w:numId w:val="11"/>
        </w:numPr>
        <w:rPr/>
      </w:pPr>
      <w:r>
        <w:rPr>
          <w:color w:val="auto"/>
          <w:szCs w:val="24"/>
        </w:rPr>
        <w:t>Experience of working in a demanding, high-profile team and working to time-sensitive deadlines.</w:t>
      </w:r>
    </w:p>
    <w:p>
      <w:pPr>
        <w:pStyle w:val="ListParagraph"/>
        <w:numPr>
          <w:ilvl w:val="0"/>
          <w:numId w:val="11"/>
        </w:numPr>
        <w:rPr/>
      </w:pPr>
      <w:r>
        <w:rPr>
          <w:color w:val="auto"/>
          <w:szCs w:val="24"/>
        </w:rPr>
        <w:t>Experience of working collaboratively with multiple organisations and stakeholders.</w:t>
      </w:r>
    </w:p>
    <w:p>
      <w:pPr>
        <w:pStyle w:val="ListParagraph"/>
        <w:numPr>
          <w:ilvl w:val="0"/>
          <w:numId w:val="14"/>
        </w:numPr>
        <w:rPr/>
      </w:pPr>
      <w:r>
        <w:rPr>
          <w:color w:val="auto"/>
        </w:rPr>
        <w:t>Experience of managing, coaching and / or motivating others in a high performing team</w:t>
      </w:r>
    </w:p>
    <w:p>
      <w:pPr>
        <w:pStyle w:val="ListParagraph"/>
        <w:numPr>
          <w:ilvl w:val="0"/>
          <w:numId w:val="11"/>
        </w:numPr>
        <w:rPr/>
      </w:pPr>
      <w:r>
        <w:rPr>
          <w:szCs w:val="24"/>
        </w:rPr>
        <w:t>Knowledge and understanding of local government.</w:t>
      </w:r>
    </w:p>
    <w:p>
      <w:pPr>
        <w:pStyle w:val="ListParagraph"/>
        <w:numPr>
          <w:ilvl w:val="0"/>
          <w:numId w:val="11"/>
        </w:numPr>
        <w:rPr/>
      </w:pPr>
      <w:r>
        <w:rPr>
          <w:color w:val="auto"/>
          <w:szCs w:val="24"/>
        </w:rPr>
        <w:t>Experience of working in a politically sensitive environment.</w:t>
      </w:r>
    </w:p>
    <w:p>
      <w:pPr>
        <w:pStyle w:val="ListParagraph"/>
        <w:numPr>
          <w:ilvl w:val="0"/>
          <w:numId w:val="11"/>
        </w:numPr>
        <w:rPr/>
      </w:pPr>
      <w:r>
        <w:rPr>
          <w:color w:val="auto"/>
          <w:szCs w:val="24"/>
        </w:rPr>
        <w:t>Experience of considering equality issues for all programme or policy changes.</w:t>
      </w:r>
    </w:p>
    <w:p>
      <w:pPr>
        <w:pStyle w:val="Normal"/>
        <w:spacing w:before="60" w:after="240"/>
        <w:ind w:left="-165" w:right="0"/>
        <w:rPr>
          <w:rFonts w:cs="Arial"/>
          <w:bCs/>
          <w:u w:val="single"/>
        </w:rPr>
      </w:pPr>
      <w:r>
        <w:rPr>
          <w:rFonts w:cs="Arial"/>
          <w:bCs/>
          <w:u w:val="single"/>
        </w:rPr>
        <w:t>Desirable</w:t>
      </w:r>
    </w:p>
    <w:p>
      <w:pPr>
        <w:pStyle w:val="Style11"/>
        <w:numPr>
          <w:ilvl w:val="0"/>
          <w:numId w:val="13"/>
        </w:numPr>
        <w:spacing w:lineRule="auto" w:line="360" w:before="60" w:after="240"/>
        <w:rPr/>
      </w:pPr>
      <w:r>
        <w:rPr>
          <w:rFonts w:cs="Arial"/>
          <w:color w:val="auto"/>
          <w:sz w:val="24"/>
          <w:szCs w:val="24"/>
        </w:rPr>
        <w:t>Membership of a relevant professional body</w:t>
      </w:r>
    </w:p>
    <w:p>
      <w:pPr>
        <w:pStyle w:val="ListParagraph"/>
        <w:numPr>
          <w:ilvl w:val="0"/>
          <w:numId w:val="13"/>
        </w:numPr>
        <w:rPr/>
      </w:pPr>
      <w:r>
        <w:rPr>
          <w:rFonts w:cs="Arial"/>
          <w:color w:val="auto"/>
          <w:szCs w:val="24"/>
        </w:rPr>
        <w:t>Understanding of the relationship between Greater Manchester Combined Authority, its partners and its long-term goals.</w:t>
      </w:r>
    </w:p>
    <w:p>
      <w:pPr>
        <w:pStyle w:val="ListParagraph"/>
        <w:numPr>
          <w:ilvl w:val="0"/>
          <w:numId w:val="13"/>
        </w:numPr>
        <w:rPr/>
      </w:pPr>
      <w:r>
        <w:rPr>
          <w:rFonts w:cs="Arial"/>
          <w:color w:val="auto"/>
          <w:szCs w:val="24"/>
        </w:rPr>
        <w:t>Experience of working in the waste management sector</w:t>
      </w:r>
    </w:p>
    <w:p>
      <w:pPr>
        <w:pStyle w:val="Default"/>
        <w:spacing w:lineRule="auto" w:line="360" w:before="60" w:after="240"/>
        <w:rPr/>
      </w:pPr>
      <w:r>
        <w:rPr/>
      </w:r>
    </w:p>
    <w:p>
      <w:pPr>
        <w:pStyle w:val="Heading3"/>
        <w:spacing w:before="60" w:after="240"/>
        <w:ind w:hanging="0" w:left="0"/>
        <w:rPr/>
      </w:pPr>
      <w:r>
        <w:rPr>
          <w:rFonts w:cs="Arial"/>
          <w:b/>
          <w:bCs/>
          <w:sz w:val="24"/>
        </w:rPr>
        <w:t>Skills, Values</w:t>
      </w:r>
      <w:r>
        <w:rPr>
          <w:rFonts w:cs="Arial"/>
          <w:b/>
          <w:bCs/>
          <w:spacing w:val="-3"/>
          <w:sz w:val="24"/>
        </w:rPr>
        <w:t xml:space="preserve"> </w:t>
      </w:r>
      <w:r>
        <w:rPr>
          <w:rFonts w:cs="Arial"/>
          <w:b/>
          <w:bCs/>
          <w:sz w:val="24"/>
        </w:rPr>
        <w:t>&amp;</w:t>
      </w:r>
      <w:r>
        <w:rPr>
          <w:rFonts w:cs="Arial"/>
          <w:b/>
          <w:bCs/>
          <w:spacing w:val="-3"/>
          <w:sz w:val="24"/>
        </w:rPr>
        <w:t xml:space="preserve"> </w:t>
      </w:r>
      <w:r>
        <w:rPr>
          <w:rFonts w:cs="Arial"/>
          <w:b/>
          <w:bCs/>
          <w:sz w:val="24"/>
        </w:rPr>
        <w:t>Behaviours</w:t>
      </w:r>
    </w:p>
    <w:p>
      <w:pPr>
        <w:pStyle w:val="Normal"/>
        <w:spacing w:before="60" w:after="240"/>
        <w:rPr>
          <w:rFonts w:cs="Arial"/>
          <w:u w:val="single"/>
        </w:rPr>
      </w:pPr>
      <w:r>
        <w:rPr>
          <w:rFonts w:cs="Arial"/>
          <w:u w:val="single"/>
        </w:rPr>
        <w:t>Communication</w:t>
      </w:r>
    </w:p>
    <w:p>
      <w:pPr>
        <w:pStyle w:val="ListParagraph"/>
        <w:numPr>
          <w:ilvl w:val="0"/>
          <w:numId w:val="10"/>
        </w:numPr>
        <w:rPr/>
      </w:pPr>
      <w:r>
        <w:rPr>
          <w:color w:val="auto"/>
          <w:szCs w:val="24"/>
        </w:rPr>
        <w:t>Excellent presentation skills or public speaking skills and the ability to tailor complex information to different audiences.</w:t>
      </w:r>
    </w:p>
    <w:p>
      <w:pPr>
        <w:pStyle w:val="ListParagraph"/>
        <w:numPr>
          <w:ilvl w:val="0"/>
          <w:numId w:val="10"/>
        </w:numPr>
        <w:rPr/>
      </w:pPr>
      <w:r>
        <w:rPr>
          <w:color w:val="auto"/>
          <w:szCs w:val="24"/>
        </w:rPr>
        <w:t>Ability to deal with complex facts or situations requiring analysis, interpretation and comparison of options.</w:t>
      </w:r>
    </w:p>
    <w:p>
      <w:pPr>
        <w:pStyle w:val="ListParagraph"/>
        <w:numPr>
          <w:ilvl w:val="0"/>
          <w:numId w:val="10"/>
        </w:numPr>
        <w:rPr/>
      </w:pPr>
      <w:r>
        <w:rPr>
          <w:color w:val="auto"/>
          <w:szCs w:val="24"/>
        </w:rPr>
        <w:t>Ability to undertake research and interpret high complex national workforce policies and publications.</w:t>
      </w:r>
    </w:p>
    <w:p>
      <w:pPr>
        <w:pStyle w:val="ListParagraph"/>
        <w:numPr>
          <w:ilvl w:val="0"/>
          <w:numId w:val="10"/>
        </w:numPr>
        <w:rPr/>
      </w:pPr>
      <w:r>
        <w:rPr>
          <w:color w:val="auto"/>
          <w:szCs w:val="24"/>
        </w:rPr>
        <w:t>Effective collaboration, negotiation, and motivation skills.</w:t>
      </w:r>
    </w:p>
    <w:p>
      <w:pPr>
        <w:pStyle w:val="Normal"/>
        <w:spacing w:before="60" w:after="240"/>
        <w:rPr>
          <w:rFonts w:cs="Arial"/>
          <w:u w:val="single"/>
        </w:rPr>
      </w:pPr>
      <w:r>
        <w:rPr>
          <w:rFonts w:cs="Arial"/>
          <w:u w:val="single"/>
        </w:rPr>
        <w:t>Planning and Organising</w:t>
      </w:r>
    </w:p>
    <w:p>
      <w:pPr>
        <w:pStyle w:val="ListParagraph"/>
        <w:numPr>
          <w:ilvl w:val="0"/>
          <w:numId w:val="9"/>
        </w:numPr>
        <w:rPr/>
      </w:pPr>
      <w:r>
        <w:rPr>
          <w:color w:val="auto"/>
          <w:szCs w:val="24"/>
        </w:rPr>
        <w:t xml:space="preserve">Ability to maintain focus and objectivity under various conditions. </w:t>
      </w:r>
    </w:p>
    <w:p>
      <w:pPr>
        <w:pStyle w:val="ListParagraph"/>
        <w:numPr>
          <w:ilvl w:val="0"/>
          <w:numId w:val="9"/>
        </w:numPr>
        <w:rPr/>
      </w:pPr>
      <w:r>
        <w:rPr>
          <w:color w:val="auto"/>
          <w:szCs w:val="24"/>
        </w:rPr>
        <w:t>Skills in managing and maintaining a multi-priority workload.</w:t>
      </w:r>
    </w:p>
    <w:p>
      <w:pPr>
        <w:pStyle w:val="ListParagraph"/>
        <w:numPr>
          <w:ilvl w:val="0"/>
          <w:numId w:val="9"/>
        </w:numPr>
        <w:rPr/>
      </w:pPr>
      <w:r>
        <w:rPr>
          <w:color w:val="auto"/>
          <w:szCs w:val="24"/>
        </w:rPr>
        <w:t>Ability to support complex activities, organise and project manage successfully ensuring deadlines are met</w:t>
      </w:r>
    </w:p>
    <w:p>
      <w:pPr>
        <w:pStyle w:val="ListParagraph"/>
        <w:numPr>
          <w:ilvl w:val="0"/>
          <w:numId w:val="9"/>
        </w:numPr>
        <w:rPr/>
      </w:pPr>
      <w:r>
        <w:rPr>
          <w:color w:val="auto"/>
          <w:szCs w:val="24"/>
        </w:rPr>
        <w:t>Capability to support project planning over short and medium timeframes and adjust plans accordingly.</w:t>
      </w:r>
    </w:p>
    <w:p>
      <w:pPr>
        <w:pStyle w:val="Normal"/>
        <w:spacing w:before="60" w:after="240"/>
        <w:rPr>
          <w:rFonts w:cs="Arial"/>
          <w:u w:val="single"/>
        </w:rPr>
      </w:pPr>
      <w:r>
        <w:rPr>
          <w:rFonts w:cs="Arial"/>
          <w:u w:val="single"/>
        </w:rPr>
        <w:t>Problem Solving</w:t>
      </w:r>
    </w:p>
    <w:p>
      <w:pPr>
        <w:pStyle w:val="ListParagraph"/>
        <w:numPr>
          <w:ilvl w:val="0"/>
          <w:numId w:val="8"/>
        </w:numPr>
        <w:rPr/>
      </w:pPr>
      <w:r>
        <w:rPr>
          <w:color w:val="auto"/>
          <w:szCs w:val="24"/>
        </w:rPr>
        <w:t xml:space="preserve">Ability to react to immediate problems with associated risk factors and deliver pragmatic solutions. </w:t>
      </w:r>
    </w:p>
    <w:p>
      <w:pPr>
        <w:pStyle w:val="ListParagraph"/>
        <w:numPr>
          <w:ilvl w:val="0"/>
          <w:numId w:val="8"/>
        </w:numPr>
        <w:rPr/>
      </w:pPr>
      <w:r>
        <w:rPr>
          <w:color w:val="auto"/>
          <w:szCs w:val="24"/>
        </w:rPr>
        <w:t xml:space="preserve">Can demonstrate a creative approach to adapting and updating the tours and outreach sessions to ensure they remain relevant and effective. </w:t>
      </w:r>
    </w:p>
    <w:p>
      <w:pPr>
        <w:pStyle w:val="Normal"/>
        <w:spacing w:before="60" w:after="240"/>
        <w:rPr>
          <w:rFonts w:cs="Arial"/>
          <w:u w:val="single"/>
        </w:rPr>
      </w:pPr>
      <w:r>
        <w:rPr>
          <w:rFonts w:cs="Arial"/>
          <w:u w:val="single"/>
        </w:rPr>
        <w:t>Strategic/Analytical</w:t>
      </w:r>
    </w:p>
    <w:p>
      <w:pPr>
        <w:pStyle w:val="ListParagraph"/>
        <w:numPr>
          <w:ilvl w:val="0"/>
          <w:numId w:val="7"/>
        </w:numPr>
        <w:rPr/>
      </w:pPr>
      <w:r>
        <w:rPr>
          <w:color w:val="auto"/>
          <w:szCs w:val="24"/>
        </w:rPr>
        <w:t xml:space="preserve">Strong leadership qualities with experience in persuading and negotiating with senior leaders to deliver the best outcomes. </w:t>
      </w:r>
    </w:p>
    <w:p>
      <w:pPr>
        <w:pStyle w:val="ListParagraph"/>
        <w:numPr>
          <w:ilvl w:val="0"/>
          <w:numId w:val="7"/>
        </w:numPr>
        <w:rPr/>
      </w:pPr>
      <w:r>
        <w:rPr>
          <w:color w:val="auto"/>
          <w:szCs w:val="24"/>
        </w:rPr>
        <w:t>Ability to analyse highly complex facts and situations and develop a range of options.</w:t>
      </w:r>
    </w:p>
    <w:p>
      <w:pPr>
        <w:pStyle w:val="ListParagraph"/>
        <w:numPr>
          <w:ilvl w:val="0"/>
          <w:numId w:val="7"/>
        </w:numPr>
        <w:rPr/>
      </w:pPr>
      <w:r>
        <w:rPr>
          <w:color w:val="auto"/>
          <w:szCs w:val="24"/>
        </w:rPr>
        <w:t>Ability to provide advice on education and learning approaches to a range of stakeholders; including senior leaders, where opinions may differ.</w:t>
      </w:r>
    </w:p>
    <w:p>
      <w:pPr>
        <w:pStyle w:val="ListParagraph"/>
        <w:numPr>
          <w:ilvl w:val="0"/>
          <w:numId w:val="7"/>
        </w:numPr>
        <w:rPr/>
      </w:pPr>
      <w:r>
        <w:rPr>
          <w:color w:val="auto"/>
          <w:szCs w:val="24"/>
        </w:rPr>
        <w:t>Ability to link strategy to policy which meets both internal and external requirements.</w:t>
      </w:r>
    </w:p>
    <w:p>
      <w:pPr>
        <w:pStyle w:val="ListParagraph"/>
        <w:numPr>
          <w:ilvl w:val="0"/>
          <w:numId w:val="7"/>
        </w:numPr>
        <w:rPr/>
      </w:pPr>
      <w:r>
        <w:rPr>
          <w:color w:val="auto"/>
          <w:szCs w:val="24"/>
        </w:rPr>
        <w:t>Ability to anticipate and resolve problems before they arise.</w:t>
      </w:r>
    </w:p>
    <w:p>
      <w:pPr>
        <w:pStyle w:val="Normal"/>
        <w:spacing w:before="60" w:after="240"/>
        <w:rPr>
          <w:rFonts w:cs="Arial"/>
          <w:u w:val="single"/>
        </w:rPr>
      </w:pPr>
      <w:r>
        <w:rPr>
          <w:rFonts w:cs="Arial"/>
          <w:u w:val="single"/>
        </w:rPr>
        <w:t>Physical</w:t>
      </w:r>
    </w:p>
    <w:p>
      <w:pPr>
        <w:pStyle w:val="ListParagraph"/>
        <w:numPr>
          <w:ilvl w:val="0"/>
          <w:numId w:val="6"/>
        </w:numPr>
        <w:rPr/>
      </w:pPr>
      <w:r>
        <w:rPr>
          <w:color w:val="auto"/>
          <w:szCs w:val="24"/>
        </w:rPr>
        <w:t>Computer literate – ability to use the required systems/software packages.</w:t>
      </w:r>
    </w:p>
    <w:p>
      <w:pPr>
        <w:pStyle w:val="ListParagraph"/>
        <w:numPr>
          <w:ilvl w:val="0"/>
          <w:numId w:val="6"/>
        </w:numPr>
        <w:rPr/>
      </w:pPr>
      <w:r>
        <w:rPr>
          <w:color w:val="auto"/>
          <w:szCs w:val="24"/>
        </w:rPr>
        <w:t>Ability to carry out an active role with significant periods of time spent standing and moving around operational waste sites, community and school venues whilst delivering tours and outreach.</w:t>
      </w:r>
    </w:p>
    <w:p>
      <w:pPr>
        <w:pStyle w:val="Normal"/>
        <w:spacing w:before="60" w:after="240"/>
        <w:rPr>
          <w:rFonts w:cs="Arial"/>
          <w:bCs/>
          <w:u w:val="single"/>
        </w:rPr>
      </w:pPr>
      <w:r>
        <w:rPr>
          <w:rFonts w:cs="Arial"/>
          <w:bCs/>
          <w:u w:val="single"/>
        </w:rPr>
        <w:t>Behaviours</w:t>
      </w:r>
    </w:p>
    <w:p>
      <w:pPr>
        <w:pStyle w:val="ListParagraph"/>
        <w:numPr>
          <w:ilvl w:val="0"/>
          <w:numId w:val="5"/>
        </w:numPr>
        <w:rPr/>
      </w:pPr>
      <w:r>
        <w:rPr>
          <w:bCs/>
          <w:szCs w:val="24"/>
        </w:rPr>
        <w:t>Adaptability, flexibility, and ability to cope with uncertainty and change.</w:t>
      </w:r>
    </w:p>
    <w:p>
      <w:pPr>
        <w:pStyle w:val="ListParagraph"/>
        <w:numPr>
          <w:ilvl w:val="0"/>
          <w:numId w:val="5"/>
        </w:numPr>
        <w:rPr/>
      </w:pPr>
      <w:r>
        <w:rPr>
          <w:color w:val="auto"/>
          <w:szCs w:val="24"/>
        </w:rPr>
        <w:t>Ability to operate dynamically in a constantly changing environment and manage and prioritise multiple projects.</w:t>
      </w:r>
    </w:p>
    <w:p>
      <w:pPr>
        <w:pStyle w:val="ListParagraph"/>
        <w:numPr>
          <w:ilvl w:val="0"/>
          <w:numId w:val="5"/>
        </w:numPr>
        <w:rPr/>
      </w:pPr>
      <w:r>
        <w:rPr>
          <w:bCs/>
          <w:szCs w:val="24"/>
        </w:rPr>
        <w:t>Builds support and consensus around decisions they make and effectively manages the expectations of different parties to achieve 'win win' where possible.</w:t>
      </w:r>
    </w:p>
    <w:p>
      <w:pPr>
        <w:pStyle w:val="ListParagraph"/>
        <w:numPr>
          <w:ilvl w:val="0"/>
          <w:numId w:val="5"/>
        </w:numPr>
        <w:rPr/>
      </w:pPr>
      <w:r>
        <w:rPr>
          <w:bCs/>
          <w:szCs w:val="24"/>
        </w:rPr>
        <w:t>Measures and monitors to ensure they are on top of results and takes ultimate responsibility for ensuring outcomes and targets are met.</w:t>
      </w:r>
    </w:p>
    <w:p>
      <w:pPr>
        <w:pStyle w:val="ListParagraph"/>
        <w:numPr>
          <w:ilvl w:val="0"/>
          <w:numId w:val="5"/>
        </w:numPr>
        <w:rPr/>
      </w:pPr>
      <w:r>
        <w:rPr>
          <w:bCs/>
          <w:szCs w:val="24"/>
        </w:rPr>
        <w:t>Demonstrates a strong desire to improve performance and make a difference by focusing on goals.</w:t>
      </w:r>
    </w:p>
    <w:p>
      <w:pPr>
        <w:pStyle w:val="ListParagraph"/>
        <w:numPr>
          <w:ilvl w:val="0"/>
          <w:numId w:val="5"/>
        </w:numPr>
        <w:ind w:hanging="357" w:left="714" w:right="0"/>
        <w:rPr/>
      </w:pPr>
      <w:r>
        <w:rPr>
          <w:bCs/>
          <w:szCs w:val="24"/>
        </w:rPr>
        <w:t>Professional, calm, and efficient manner.</w:t>
      </w:r>
    </w:p>
    <w:p>
      <w:pPr>
        <w:pStyle w:val="ListParagraph"/>
        <w:numPr>
          <w:ilvl w:val="0"/>
          <w:numId w:val="5"/>
        </w:numPr>
        <w:ind w:hanging="357" w:left="714" w:right="0"/>
        <w:rPr/>
      </w:pPr>
      <w:r>
        <w:rPr>
          <w:bCs/>
          <w:szCs w:val="24"/>
        </w:rPr>
        <w:t>Effective organiser, influencer and networker, completer/finisher.</w:t>
      </w:r>
    </w:p>
    <w:p>
      <w:pPr>
        <w:pStyle w:val="ListParagraph"/>
        <w:numPr>
          <w:ilvl w:val="0"/>
          <w:numId w:val="5"/>
        </w:numPr>
        <w:rPr/>
      </w:pPr>
      <w:r>
        <w:rPr>
          <w:bCs/>
          <w:szCs w:val="24"/>
        </w:rPr>
        <w:t>Strong people management skills</w:t>
      </w:r>
    </w:p>
    <w:p>
      <w:pPr>
        <w:pStyle w:val="ListParagraph"/>
        <w:numPr>
          <w:ilvl w:val="0"/>
          <w:numId w:val="5"/>
        </w:numPr>
        <w:rPr/>
      </w:pPr>
      <w:r>
        <w:rPr>
          <w:bCs/>
          <w:szCs w:val="24"/>
        </w:rPr>
        <w:t xml:space="preserve">Builds support and consensus around how to support and apportion resources to various projects. </w:t>
      </w:r>
    </w:p>
    <w:p>
      <w:pPr>
        <w:pStyle w:val="ListParagraph"/>
        <w:numPr>
          <w:ilvl w:val="0"/>
          <w:numId w:val="5"/>
        </w:numPr>
        <w:rPr/>
      </w:pPr>
      <w:r>
        <w:rPr>
          <w:bCs/>
          <w:szCs w:val="24"/>
        </w:rPr>
        <w:t>Measures and monitors to ensure they are on top of results and takes ultimate responsibility for ensuring outcomes and targets are met.</w:t>
      </w:r>
    </w:p>
    <w:p>
      <w:pPr>
        <w:pStyle w:val="ListParagraph"/>
        <w:numPr>
          <w:ilvl w:val="0"/>
          <w:numId w:val="5"/>
        </w:numPr>
        <w:rPr/>
      </w:pPr>
      <w:r>
        <w:rPr>
          <w:bCs/>
          <w:szCs w:val="24"/>
        </w:rPr>
        <w:t>Use initiative to decide relevant actions.</w:t>
      </w:r>
    </w:p>
    <w:p>
      <w:pPr>
        <w:pStyle w:val="ListParagraph"/>
        <w:numPr>
          <w:ilvl w:val="0"/>
          <w:numId w:val="5"/>
        </w:numPr>
        <w:rPr/>
      </w:pPr>
      <w:r>
        <w:rPr>
          <w:bCs/>
          <w:szCs w:val="24"/>
        </w:rPr>
        <w:t>Willingness to engage with and learn from peers, other professionals, and colleagues in the desire to provide or support the most appropriate interventions</w:t>
      </w:r>
    </w:p>
    <w:p>
      <w:pPr>
        <w:pStyle w:val="ListParagraph"/>
        <w:numPr>
          <w:ilvl w:val="0"/>
          <w:numId w:val="5"/>
        </w:numPr>
        <w:rPr/>
      </w:pPr>
      <w:r>
        <w:rPr>
          <w:color w:val="auto"/>
          <w:szCs w:val="24"/>
        </w:rPr>
        <w:t>Willingness to be part of an out-of-hours on-call service if required (individual exemptions can apply).</w:t>
      </w:r>
    </w:p>
    <w:p>
      <w:pPr>
        <w:pStyle w:val="ListParagraph"/>
        <w:numPr>
          <w:ilvl w:val="0"/>
          <w:numId w:val="5"/>
        </w:numPr>
        <w:rPr/>
      </w:pPr>
      <w:r>
        <w:rPr>
          <w:color w:val="auto"/>
          <w:szCs w:val="24"/>
        </w:rPr>
        <w:t xml:space="preserve">Willingness to </w:t>
      </w:r>
      <w:r>
        <w:rPr>
          <w:szCs w:val="24"/>
        </w:rPr>
        <w:t>work flexibly as occasional evening and weekend working is required.</w:t>
      </w:r>
    </w:p>
    <w:p>
      <w:pPr>
        <w:pStyle w:val="ListParagraph"/>
        <w:numPr>
          <w:ilvl w:val="0"/>
          <w:numId w:val="5"/>
        </w:numPr>
        <w:rPr/>
      </w:pPr>
      <w:r>
        <w:rPr>
          <w:color w:val="auto"/>
          <w:szCs w:val="24"/>
        </w:rPr>
        <w:t xml:space="preserve">Willingness and ability to travel, within a reasonable </w:t>
      </w:r>
      <w:r>
        <w:rPr>
          <w:szCs w:val="24"/>
        </w:rPr>
        <w:t>time to meet the role demands (individuals providing their own vehicle for use will be eligible for casual car user rate.)</w:t>
      </w:r>
    </w:p>
    <w:p>
      <w:pPr>
        <w:pStyle w:val="Normal"/>
        <w:jc w:val="both"/>
        <w:rPr>
          <w:rFonts w:cs="Arial"/>
          <w:color w:val="auto"/>
          <w:sz w:val="22"/>
        </w:rPr>
      </w:pPr>
      <w:r>
        <w:rPr>
          <w:rFonts w:cs="Arial"/>
          <w:color w:val="auto"/>
          <w:sz w:val="22"/>
        </w:rPr>
        <w:t>This post is a politically restricted post, as defined by the Local Government and Housing Act 1989 (as amended by Section 30 of the Local Democracy, Economic Development and Construction Act 2009) on one of the following grounds:</w:t>
      </w:r>
    </w:p>
    <w:p>
      <w:pPr>
        <w:pStyle w:val="ListParagraph"/>
        <w:widowControl/>
        <w:numPr>
          <w:ilvl w:val="0"/>
          <w:numId w:val="4"/>
        </w:numPr>
        <w:spacing w:lineRule="auto" w:line="256" w:before="0" w:after="160"/>
        <w:contextualSpacing/>
        <w:jc w:val="both"/>
        <w:rPr/>
      </w:pPr>
      <w:r>
        <w:rPr>
          <w:color w:val="auto"/>
        </w:rPr>
        <w:t>the post is that of a Chief Officer or Deputy Chief Officer or</w:t>
      </w:r>
    </w:p>
    <w:p>
      <w:pPr>
        <w:pStyle w:val="ListParagraph"/>
        <w:widowControl/>
        <w:numPr>
          <w:ilvl w:val="0"/>
          <w:numId w:val="4"/>
        </w:numPr>
        <w:spacing w:lineRule="auto" w:line="256" w:before="0" w:after="160"/>
        <w:contextualSpacing/>
        <w:jc w:val="both"/>
        <w:rPr/>
      </w:pPr>
      <w:r>
        <w:rPr>
          <w:color w:val="auto"/>
        </w:rPr>
        <w:t>the post has delegated powers to discharge the functions of the Authority; or</w:t>
      </w:r>
    </w:p>
    <w:p>
      <w:pPr>
        <w:pStyle w:val="ListParagraph"/>
        <w:widowControl/>
        <w:numPr>
          <w:ilvl w:val="0"/>
          <w:numId w:val="4"/>
        </w:numPr>
        <w:spacing w:lineRule="auto" w:line="256" w:before="0" w:after="160"/>
        <w:contextualSpacing/>
        <w:jc w:val="both"/>
        <w:rPr/>
      </w:pPr>
      <w:r>
        <w:rPr>
          <w:color w:val="auto"/>
        </w:rPr>
        <w:t>the duties associated with the post include giving advice on a regular basis to the Authority, to Committees or Sub-Committees of the Authority (including member panels, Sub-Committees etc.) or to joint committees on which the Authority is represented or give advice to Executive Members, Committees or speak to the media.</w:t>
      </w:r>
    </w:p>
    <w:p>
      <w:pPr>
        <w:pStyle w:val="Normal"/>
        <w:spacing w:before="240" w:after="240"/>
        <w:rPr>
          <w:rFonts w:cs="Arial"/>
          <w:color w:val="auto"/>
          <w:sz w:val="22"/>
        </w:rPr>
      </w:pPr>
      <w:r>
        <w:rPr>
          <w:rFonts w:cs="Arial"/>
          <w:color w:val="auto"/>
          <w:sz w:val="22"/>
        </w:rPr>
        <w:t>The post holder has a right to appeal to the GMCA Chief Executive against the classification of their post as politically restricted.</w:t>
      </w:r>
    </w:p>
    <w:p>
      <w:pPr>
        <w:pStyle w:val="Heading2"/>
        <w:ind w:hanging="0" w:left="0"/>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2"/>
      <w:headerReference w:type="first" r:id="rId3"/>
      <w:type w:val="nextPage"/>
      <w:pgSz w:w="11906" w:h="16838"/>
      <w:pgMar w:left="720" w:right="720" w:gutter="0" w:header="709" w:top="766" w:footer="0" w:bottom="72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drawing>
        <wp:anchor behindDoc="1" distT="0" distB="0" distL="0" distR="0" simplePos="0" locked="0" layoutInCell="1" allowOverlap="1" relativeHeight="2">
          <wp:simplePos x="0" y="0"/>
          <wp:positionH relativeFrom="column">
            <wp:posOffset>4718050</wp:posOffset>
          </wp:positionH>
          <wp:positionV relativeFrom="paragraph">
            <wp:posOffset>-343535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lvl w:ilvl="0">
      <w:start w:val="1"/>
      <w:numFmt w:val="bullet"/>
      <w:lvlText w:val=""/>
      <w:lvlJc w:val="left"/>
      <w:pPr>
        <w:tabs>
          <w:tab w:val="num" w:pos="0"/>
        </w:tabs>
        <w:ind w:left="555" w:hanging="360"/>
      </w:pPr>
      <w:rPr>
        <w:rFonts w:ascii="Symbol" w:hAnsi="Symbol" w:cs="Symbol" w:hint="default"/>
      </w:rPr>
    </w:lvl>
    <w:lvl w:ilvl="1">
      <w:start w:val="1"/>
      <w:numFmt w:val="bullet"/>
      <w:lvlText w:val="o"/>
      <w:lvlJc w:val="left"/>
      <w:pPr>
        <w:tabs>
          <w:tab w:val="num" w:pos="0"/>
        </w:tabs>
        <w:ind w:left="1275" w:hanging="360"/>
      </w:pPr>
      <w:rPr>
        <w:rFonts w:ascii="Courier New" w:hAnsi="Courier New" w:cs="Courier New" w:hint="default"/>
      </w:rPr>
    </w:lvl>
    <w:lvl w:ilvl="2">
      <w:start w:val="1"/>
      <w:numFmt w:val="bullet"/>
      <w:lvlText w:val=""/>
      <w:lvlJc w:val="left"/>
      <w:pPr>
        <w:tabs>
          <w:tab w:val="num" w:pos="0"/>
        </w:tabs>
        <w:ind w:left="1995" w:hanging="360"/>
      </w:pPr>
      <w:rPr>
        <w:rFonts w:ascii="Wingdings" w:hAnsi="Wingdings" w:cs="Wingdings" w:hint="default"/>
      </w:rPr>
    </w:lvl>
    <w:lvl w:ilvl="3">
      <w:start w:val="1"/>
      <w:numFmt w:val="bullet"/>
      <w:lvlText w:val=""/>
      <w:lvlJc w:val="left"/>
      <w:pPr>
        <w:tabs>
          <w:tab w:val="num" w:pos="0"/>
        </w:tabs>
        <w:ind w:left="2715" w:hanging="360"/>
      </w:pPr>
      <w:rPr>
        <w:rFonts w:ascii="Symbol" w:hAnsi="Symbol" w:cs="Symbol" w:hint="default"/>
      </w:rPr>
    </w:lvl>
    <w:lvl w:ilvl="4">
      <w:start w:val="1"/>
      <w:numFmt w:val="bullet"/>
      <w:lvlText w:val="o"/>
      <w:lvlJc w:val="left"/>
      <w:pPr>
        <w:tabs>
          <w:tab w:val="num" w:pos="0"/>
        </w:tabs>
        <w:ind w:left="3435" w:hanging="360"/>
      </w:pPr>
      <w:rPr>
        <w:rFonts w:ascii="Courier New" w:hAnsi="Courier New" w:cs="Courier New" w:hint="default"/>
      </w:rPr>
    </w:lvl>
    <w:lvl w:ilvl="5">
      <w:start w:val="1"/>
      <w:numFmt w:val="bullet"/>
      <w:lvlText w:val=""/>
      <w:lvlJc w:val="left"/>
      <w:pPr>
        <w:tabs>
          <w:tab w:val="num" w:pos="0"/>
        </w:tabs>
        <w:ind w:left="4155" w:hanging="360"/>
      </w:pPr>
      <w:rPr>
        <w:rFonts w:ascii="Wingdings" w:hAnsi="Wingdings" w:cs="Wingdings" w:hint="default"/>
      </w:rPr>
    </w:lvl>
    <w:lvl w:ilvl="6">
      <w:start w:val="1"/>
      <w:numFmt w:val="bullet"/>
      <w:lvlText w:val=""/>
      <w:lvlJc w:val="left"/>
      <w:pPr>
        <w:tabs>
          <w:tab w:val="num" w:pos="0"/>
        </w:tabs>
        <w:ind w:left="4875" w:hanging="360"/>
      </w:pPr>
      <w:rPr>
        <w:rFonts w:ascii="Symbol" w:hAnsi="Symbol" w:cs="Symbol" w:hint="default"/>
      </w:rPr>
    </w:lvl>
    <w:lvl w:ilvl="7">
      <w:start w:val="1"/>
      <w:numFmt w:val="bullet"/>
      <w:lvlText w:val="o"/>
      <w:lvlJc w:val="left"/>
      <w:pPr>
        <w:tabs>
          <w:tab w:val="num" w:pos="0"/>
        </w:tabs>
        <w:ind w:left="5595" w:hanging="360"/>
      </w:pPr>
      <w:rPr>
        <w:rFonts w:ascii="Courier New" w:hAnsi="Courier New" w:cs="Courier New" w:hint="default"/>
      </w:rPr>
    </w:lvl>
    <w:lvl w:ilvl="8">
      <w:start w:val="1"/>
      <w:numFmt w:val="bullet"/>
      <w:lvlText w:val=""/>
      <w:lvlJc w:val="left"/>
      <w:pPr>
        <w:tabs>
          <w:tab w:val="num" w:pos="0"/>
        </w:tabs>
        <w:ind w:left="6315"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BodyText"/>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Arial" w:hAnsi="Arial" w:cs="Aria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1z0">
    <w:name w:val="WW8Num11z0"/>
    <w:qFormat/>
    <w:rPr>
      <w:rFonts w:ascii="Symbol" w:hAnsi="Symbol" w:cs="Symbol"/>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Symbol" w:hAnsi="Symbol" w:cs="Symbol"/>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normaltextrun">
    <w:name w:val="normaltextrun"/>
    <w:basedOn w:val="DefaultParagraphFont"/>
    <w:qFormat/>
    <w:rPr/>
  </w:style>
  <w:style w:type="character" w:styleId="eop">
    <w:name w:val="eop"/>
    <w:basedOn w:val="DefaultParagraphFont"/>
    <w:qFormat/>
    <w:rPr/>
  </w:style>
  <w:style w:type="character" w:styleId="ListParagraphChar">
    <w:name w:val="List Paragraph Char"/>
    <w:basedOn w:val="DefaultParagraphFont"/>
    <w:qFormat/>
    <w:rPr>
      <w:rFonts w:ascii="Arial" w:hAnsi="Arial" w:eastAsia="Calibri" w:cs="Calibri"/>
      <w:color w:val="262626"/>
      <w:sz w:val="24"/>
      <w:lang w:val="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eastAsia="Arial"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92" w:after="240"/>
      <w:ind w:hanging="0" w:left="4012" w:right="4328"/>
      <w:jc w:val="center"/>
    </w:pPr>
    <w:rPr>
      <w:rFonts w:eastAsia="Arial" w:cs="Arial"/>
      <w:b/>
      <w:bCs/>
      <w:sz w:val="28"/>
      <w:szCs w:val="28"/>
    </w:rPr>
  </w:style>
  <w:style w:type="paragraph" w:styleId="ListParagraph">
    <w:name w:val="List Paragraph"/>
    <w:basedOn w:val="Normal"/>
    <w:qFormat/>
    <w:pPr>
      <w:spacing w:before="60" w:after="240"/>
      <w:ind w:hanging="633" w:left="993" w:right="0"/>
    </w:pPr>
    <w:rPr/>
  </w:style>
  <w:style w:type="paragraph" w:styleId="TableParagraph">
    <w:name w:val="Table Paragraph"/>
    <w:basedOn w:val="Normal"/>
    <w:qFormat/>
    <w:pPr>
      <w:ind w:hanging="0" w:left="107" w:right="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Style11">
    <w:name w:val="Style1"/>
    <w:basedOn w:val="Normal"/>
    <w:qFormat/>
    <w:pPr>
      <w:widowControl/>
      <w:spacing w:lineRule="auto" w:line="240" w:before="80" w:after="120"/>
    </w:pPr>
    <w:rPr>
      <w:rFonts w:eastAsia="Times New Roman" w:cs="Times New Roman"/>
      <w:color w:val="000000"/>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