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color w:val="auto"/>
          <w:sz w:val="24"/>
          <w:szCs w:val="24"/>
        </w:rPr>
      </w:pPr>
      <w:r>
        <w:rPr>
          <w:rFonts w:cs="Arial"/>
          <w:color w:val="auto"/>
          <w:sz w:val="24"/>
          <w:szCs w:val="24"/>
        </w:rPr>
        <w:t>Role profile</w:t>
        <w:br/>
        <w:t xml:space="preserve">Strategic Programme Manager Youth Employment and Opportunities - Careers </w:t>
      </w:r>
    </w:p>
    <w:p>
      <w:pPr>
        <w:pStyle w:val="ListParagraph"/>
        <w:numPr>
          <w:ilvl w:val="0"/>
          <w:numId w:val="4"/>
        </w:numPr>
        <w:rPr/>
      </w:pPr>
      <w:r>
        <w:rPr>
          <w:rFonts w:cs="Arial"/>
          <w:b/>
          <w:bCs/>
          <w:color w:val="auto"/>
          <w:szCs w:val="24"/>
        </w:rPr>
        <w:t>Grade:</w:t>
      </w:r>
      <w:r>
        <w:rPr>
          <w:rFonts w:cs="Arial"/>
          <w:color w:val="auto"/>
          <w:szCs w:val="24"/>
        </w:rPr>
        <w:t xml:space="preserve"> 10</w:t>
      </w:r>
    </w:p>
    <w:p>
      <w:pPr>
        <w:pStyle w:val="ListParagraph"/>
        <w:numPr>
          <w:ilvl w:val="0"/>
          <w:numId w:val="4"/>
        </w:numPr>
        <w:rPr/>
      </w:pPr>
      <w:r>
        <w:rPr>
          <w:rFonts w:cs="Arial"/>
          <w:b/>
          <w:bCs/>
          <w:color w:val="auto"/>
          <w:szCs w:val="24"/>
        </w:rPr>
        <w:t>Business area:</w:t>
      </w:r>
      <w:r>
        <w:rPr>
          <w:rFonts w:cs="Arial"/>
          <w:color w:val="auto"/>
          <w:szCs w:val="24"/>
        </w:rPr>
        <w:t xml:space="preserve"> Education, Work and Skills</w:t>
      </w:r>
    </w:p>
    <w:p>
      <w:pPr>
        <w:pStyle w:val="ListParagraph"/>
        <w:numPr>
          <w:ilvl w:val="0"/>
          <w:numId w:val="4"/>
        </w:numPr>
        <w:rPr/>
      </w:pPr>
      <w:r>
        <w:rPr>
          <w:rFonts w:cs="Arial"/>
          <w:b/>
          <w:bCs/>
          <w:color w:val="auto"/>
          <w:szCs w:val="24"/>
        </w:rPr>
        <w:t>Job title</w:t>
      </w:r>
      <w:r>
        <w:rPr>
          <w:rFonts w:cs="Arial"/>
          <w:color w:val="auto"/>
          <w:szCs w:val="24"/>
        </w:rPr>
        <w:t xml:space="preserve">: Strategic Programme Manager - Careers Education   </w:t>
      </w:r>
    </w:p>
    <w:p>
      <w:pPr>
        <w:pStyle w:val="ListParagraph"/>
        <w:numPr>
          <w:ilvl w:val="0"/>
          <w:numId w:val="4"/>
        </w:numPr>
        <w:rPr/>
      </w:pPr>
      <w:r>
        <w:rPr>
          <w:rFonts w:cs="Arial"/>
          <w:b/>
          <w:bCs/>
          <w:color w:val="auto"/>
          <w:szCs w:val="24"/>
        </w:rPr>
        <w:t>Reporting line:</w:t>
      </w:r>
      <w:r>
        <w:rPr>
          <w:rFonts w:cs="Arial"/>
          <w:color w:val="auto"/>
          <w:szCs w:val="24"/>
        </w:rPr>
        <w:t xml:space="preserve"> Strategic Head/Principal YEO </w:t>
      </w:r>
    </w:p>
    <w:p>
      <w:pPr>
        <w:pStyle w:val="ListParagraph"/>
        <w:numPr>
          <w:ilvl w:val="0"/>
          <w:numId w:val="4"/>
        </w:numPr>
        <w:rPr/>
      </w:pPr>
      <w:r>
        <w:rPr>
          <w:rFonts w:cs="Arial"/>
          <w:b/>
          <w:bCs/>
          <w:color w:val="auto"/>
          <w:szCs w:val="24"/>
        </w:rPr>
        <w:t>Team:</w:t>
      </w:r>
      <w:r>
        <w:rPr>
          <w:rFonts w:cs="Arial"/>
          <w:color w:val="auto"/>
          <w:szCs w:val="24"/>
        </w:rPr>
        <w:t xml:space="preserve"> </w:t>
      </w:r>
      <w:r>
        <w:rPr>
          <w:rFonts w:eastAsia="Arial Unicode MS"/>
          <w:color w:val="auto"/>
          <w:szCs w:val="24"/>
          <w:lang w:val="en-US"/>
        </w:rPr>
        <w:t>Youth, Employment and Opportunities (YEO)</w:t>
      </w:r>
    </w:p>
    <w:p>
      <w:pPr>
        <w:pStyle w:val="Heading2"/>
        <w:shd w:fill="004F6E" w:val="clear"/>
        <w:rPr>
          <w:rFonts w:cs="Arial"/>
          <w:color w:val="auto"/>
          <w:sz w:val="24"/>
          <w:szCs w:val="24"/>
        </w:rPr>
      </w:pPr>
      <w:r>
        <w:rPr>
          <w:rFonts w:cs="Arial"/>
          <w:color w:val="auto"/>
          <w:sz w:val="24"/>
          <w:szCs w:val="24"/>
        </w:rPr>
        <w:t>Job Purpose</w:t>
      </w:r>
    </w:p>
    <w:p>
      <w:pPr>
        <w:pStyle w:val="Normal"/>
        <w:rPr>
          <w:rFonts w:cs="Arial"/>
          <w:color w:val="auto"/>
          <w:szCs w:val="24"/>
        </w:rPr>
      </w:pPr>
      <w:r>
        <w:rPr>
          <w:rFonts w:cs="Arial"/>
          <w:color w:val="auto"/>
          <w:szCs w:val="24"/>
        </w:rPr>
        <w:t>To shape and lead a high-performing team and system-wide careers education ecosystem across Greater Manchester, ensuring all children and young people across primary, secondary, specialist and post-16 provision access high-quality, inclusive Careers Education, Information Advice and Guidance (CEIAG).  Provision that broadens aspirations, challenges stereotypes, reduces inequalities and enables clear progression to further learning and clear line of sight to good jobs. The role drives system improvement through strategic and delivery leadership of the GM Careers Hub and advancing a mature, sustainable Community of Practice, strengthening the quality, consistency, delivery and coordination of provision across education institutions, partners and localities.</w:t>
      </w:r>
    </w:p>
    <w:p>
      <w:pPr>
        <w:pStyle w:val="Normal"/>
        <w:rPr>
          <w:rFonts w:cs="Arial"/>
          <w:b/>
          <w:b/>
          <w:bCs/>
          <w:color w:val="auto"/>
          <w:szCs w:val="24"/>
        </w:rPr>
      </w:pPr>
      <w:r>
        <w:rPr>
          <w:rFonts w:cs="Arial"/>
          <w:b/>
          <w:bCs/>
          <w:color w:val="auto"/>
          <w:szCs w:val="24"/>
        </w:rPr>
        <w:t xml:space="preserve">The job key purpose is: </w:t>
      </w:r>
    </w:p>
    <w:p>
      <w:pPr>
        <w:pStyle w:val="Normal"/>
        <w:rPr>
          <w:rFonts w:cs="Arial"/>
          <w:color w:val="auto"/>
          <w:szCs w:val="24"/>
        </w:rPr>
      </w:pPr>
      <w:r>
        <w:rPr>
          <w:rFonts w:cs="Arial"/>
          <w:color w:val="auto"/>
          <w:szCs w:val="24"/>
        </w:rPr>
        <w:t xml:space="preserve">To create and lead a strategic programme of work that connects and integrates careers education, youth employment and MBacc technical education delivery, enabling a coherent, high-quality, mature, inclusive and equitable careers education system across Greater Manchester, improving outcomes for all young people. </w:t>
      </w:r>
    </w:p>
    <w:p>
      <w:pPr>
        <w:pStyle w:val="Normal"/>
        <w:rPr>
          <w:rFonts w:cs="Arial"/>
          <w:color w:val="auto"/>
          <w:szCs w:val="24"/>
        </w:rPr>
      </w:pPr>
      <w:r>
        <w:rPr>
          <w:rFonts w:cs="Arial"/>
          <w:color w:val="auto"/>
          <w:szCs w:val="24"/>
        </w:rPr>
        <w:t>The role holder will define the scope, requirements and delivery conditions for this strategic programme of work, ensuring it is effectively positioned within a complex policy and delivery landscape and supported by robust governance, clear delivery ownership and cross-system alignment.</w:t>
      </w:r>
    </w:p>
    <w:p>
      <w:pPr>
        <w:pStyle w:val="Normal"/>
        <w:rPr>
          <w:rFonts w:cs="Arial"/>
          <w:color w:val="auto"/>
          <w:szCs w:val="24"/>
        </w:rPr>
      </w:pPr>
      <w:r>
        <w:rPr>
          <w:rFonts w:cs="Arial"/>
          <w:color w:val="auto"/>
          <w:szCs w:val="24"/>
        </w:rPr>
        <w:t>The role holder will advance the maturity of a sustainable and impactful Greater Manchester Careers Community of Practice as a core system enabler to align priorities, strengthen leadership, grow capacity, reduce variation and improve quality and consistency across the city-region.</w:t>
      </w:r>
    </w:p>
    <w:p>
      <w:pPr>
        <w:pStyle w:val="Normal"/>
        <w:rPr>
          <w:rFonts w:cs="Arial"/>
          <w:color w:val="auto"/>
          <w:szCs w:val="24"/>
        </w:rPr>
      </w:pPr>
      <w:r>
        <w:rPr>
          <w:rFonts w:cs="Arial"/>
          <w:color w:val="auto"/>
          <w:szCs w:val="24"/>
        </w:rPr>
        <w:t>Will work across GMCA, local authorities, education institutions, employers, careers providers and national partners, the postholder will secure commitment, influence delivery and enable adoption at scale. They will oversee finance, commissioning, performance and evaluation to ensure delivery is evidence-led, contractually robust and achieves measurable system impact.</w:t>
      </w:r>
    </w:p>
    <w:p>
      <w:pPr>
        <w:pStyle w:val="Normal"/>
        <w:rPr>
          <w:rFonts w:cs="Arial"/>
          <w:color w:val="auto"/>
        </w:rPr>
      </w:pPr>
      <w:r>
        <w:rPr>
          <w:rFonts w:cs="Arial"/>
          <w:color w:val="auto"/>
        </w:rPr>
        <w:t>The role will build and sustain senior partnerships across education, skills and employment systems to improve progression and ensure greater equity of access and outcomes, particularly for disadvantaged young people, while leading and inspiring a high-performing team. Ensuring young people are not only beneficiaries of the system but active partners in shaping it, embedding meaningful youth voice, influence and co-design across programme design, delivery, leadership activity and evaluation.</w:t>
      </w:r>
    </w:p>
    <w:p>
      <w:pPr>
        <w:pStyle w:val="Normal"/>
        <w:rPr/>
      </w:pPr>
      <w:r>
        <w:rPr>
          <w:rFonts w:cs="Arial"/>
          <w:color w:val="auto"/>
        </w:rPr>
        <w:t>The strategic programme manager will play a key role in delivering the Greater Manchester Strategy, Local Industrial Strategy and Careers Devolution Trailblazer, ensuri</w:t>
      </w:r>
      <w:r>
        <w:rPr>
          <w:rFonts w:eastAsia="ＭＳ 明朝" w:cs="Calibri" w:ascii="Calibri" w:hAnsi="Calibri"/>
          <w:color w:val="auto"/>
        </w:rPr>
        <w:t xml:space="preserve">ng careers provision operates as a coherent system with a clear line of sight to employment for young people across the city region. </w:t>
      </w:r>
    </w:p>
    <w:p>
      <w:pPr>
        <w:pStyle w:val="Heading2"/>
        <w:shd w:fill="004F6E" w:val="clear"/>
        <w:rPr>
          <w:rFonts w:cs="Arial"/>
          <w:color w:val="auto"/>
          <w:sz w:val="24"/>
          <w:szCs w:val="24"/>
        </w:rPr>
      </w:pPr>
      <w:r>
        <w:rPr>
          <w:rFonts w:cs="Arial"/>
          <w:color w:val="auto"/>
          <w:sz w:val="24"/>
          <w:szCs w:val="24"/>
        </w:rPr>
        <w:t>Key working relationships</w:t>
      </w:r>
    </w:p>
    <w:p>
      <w:pPr>
        <w:pStyle w:val="ListParagraph"/>
        <w:numPr>
          <w:ilvl w:val="0"/>
          <w:numId w:val="5"/>
        </w:numPr>
        <w:spacing w:lineRule="auto" w:line="240"/>
        <w:rPr/>
      </w:pPr>
      <w:r>
        <w:rPr>
          <w:rFonts w:eastAsia="Arial Unicode MS"/>
          <w:color w:val="auto"/>
          <w:lang w:val="en-US"/>
        </w:rPr>
        <w:t>Sen</w:t>
      </w:r>
      <w:r>
        <w:rPr>
          <w:rFonts w:eastAsia="ＭＳ 明朝" w:cs="Calibri" w:ascii="Calibri" w:hAnsi="Calibri"/>
          <w:color w:val="auto"/>
          <w:lang w:val="en-US"/>
        </w:rPr>
        <w:t xml:space="preserve">ior Managers within GMCA </w:t>
      </w:r>
    </w:p>
    <w:p>
      <w:pPr>
        <w:pStyle w:val="ListParagraph"/>
        <w:numPr>
          <w:ilvl w:val="0"/>
          <w:numId w:val="5"/>
        </w:numPr>
        <w:spacing w:lineRule="auto" w:line="240"/>
        <w:rPr>
          <w:rFonts w:eastAsia="Arial Unicode MS"/>
          <w:color w:val="auto"/>
          <w:lang w:val="en-US"/>
        </w:rPr>
      </w:pPr>
      <w:r>
        <w:rPr>
          <w:rFonts w:eastAsia="Arial Unicode MS"/>
          <w:color w:val="auto"/>
          <w:lang w:val="en-US"/>
        </w:rPr>
        <w:t>The Careers and Enterprise Company</w:t>
      </w:r>
    </w:p>
    <w:p>
      <w:pPr>
        <w:pStyle w:val="ListParagraph"/>
        <w:numPr>
          <w:ilvl w:val="0"/>
          <w:numId w:val="5"/>
        </w:numPr>
        <w:spacing w:lineRule="auto" w:line="240"/>
        <w:rPr>
          <w:rFonts w:eastAsia="Arial Unicode MS"/>
          <w:color w:val="auto"/>
          <w:lang w:val="en-US"/>
        </w:rPr>
      </w:pPr>
      <w:r>
        <w:rPr>
          <w:rFonts w:eastAsia="Arial Unicode MS"/>
          <w:color w:val="auto"/>
          <w:lang w:val="en-US"/>
        </w:rPr>
        <w:t xml:space="preserve">Senior Education Leads, Head Teachers, College Principals, Trust Executives </w:t>
      </w:r>
    </w:p>
    <w:p>
      <w:pPr>
        <w:pStyle w:val="ListParagraph"/>
        <w:numPr>
          <w:ilvl w:val="0"/>
          <w:numId w:val="5"/>
        </w:numPr>
        <w:spacing w:lineRule="auto" w:line="240"/>
        <w:rPr>
          <w:rFonts w:eastAsia="Arial Unicode MS"/>
          <w:color w:val="auto"/>
          <w:lang w:val="en-US"/>
        </w:rPr>
      </w:pPr>
      <w:r>
        <w:rPr>
          <w:rFonts w:eastAsia="Arial Unicode MS"/>
          <w:color w:val="auto"/>
          <w:lang w:val="en-US"/>
        </w:rPr>
        <w:t>Independent Training Providers and Careers Providers</w:t>
      </w:r>
    </w:p>
    <w:p>
      <w:pPr>
        <w:pStyle w:val="ListParagraph"/>
        <w:numPr>
          <w:ilvl w:val="0"/>
          <w:numId w:val="5"/>
        </w:numPr>
        <w:spacing w:lineRule="auto" w:line="240"/>
        <w:rPr>
          <w:rFonts w:eastAsia="Arial Unicode MS"/>
          <w:color w:val="auto"/>
          <w:lang w:val="en-US"/>
        </w:rPr>
      </w:pPr>
      <w:r>
        <w:rPr>
          <w:rFonts w:eastAsia="Arial Unicode MS"/>
          <w:color w:val="auto"/>
          <w:lang w:val="en-US"/>
        </w:rPr>
        <w:t>Senior Managers from across GM’s public sector, including local authority leads across education, work and skills</w:t>
      </w:r>
    </w:p>
    <w:p>
      <w:pPr>
        <w:pStyle w:val="ListParagraph"/>
        <w:numPr>
          <w:ilvl w:val="0"/>
          <w:numId w:val="5"/>
        </w:numPr>
        <w:spacing w:lineRule="auto" w:line="240"/>
        <w:rPr>
          <w:rFonts w:eastAsia="Arial Unicode MS"/>
          <w:color w:val="auto"/>
          <w:lang w:val="en-US"/>
        </w:rPr>
      </w:pPr>
      <w:r>
        <w:rPr>
          <w:rFonts w:eastAsia="Arial Unicode MS"/>
          <w:color w:val="auto"/>
          <w:lang w:val="en-US"/>
        </w:rPr>
        <w:t>Careers Leads/ Advisers and Enterprise Advisers</w:t>
      </w:r>
    </w:p>
    <w:p>
      <w:pPr>
        <w:pStyle w:val="ListParagraph"/>
        <w:numPr>
          <w:ilvl w:val="0"/>
          <w:numId w:val="5"/>
        </w:numPr>
        <w:spacing w:lineRule="auto" w:line="240"/>
        <w:rPr/>
      </w:pPr>
      <w:r>
        <w:rPr>
          <w:rFonts w:eastAsia="ＭＳ 明朝" w:cs="Calibri" w:ascii="Calibri" w:hAnsi="Calibri"/>
          <w:color w:val="auto"/>
          <w:lang w:val="en-US"/>
        </w:rPr>
        <w:t>GM Highe</w:t>
      </w:r>
      <w:r>
        <w:rPr>
          <w:rFonts w:eastAsia="Arial Unicode MS"/>
          <w:color w:val="auto"/>
          <w:lang w:val="en-US"/>
        </w:rPr>
        <w:t xml:space="preserve">r and other strategic careers education partners </w:t>
      </w:r>
    </w:p>
    <w:p>
      <w:pPr>
        <w:pStyle w:val="ListParagraph"/>
        <w:numPr>
          <w:ilvl w:val="0"/>
          <w:numId w:val="5"/>
        </w:numPr>
        <w:spacing w:lineRule="auto" w:line="240"/>
        <w:rPr>
          <w:rFonts w:eastAsia="Arial Unicode MS"/>
          <w:color w:val="auto"/>
          <w:lang w:val="en-US"/>
        </w:rPr>
      </w:pPr>
      <w:r>
        <w:rPr>
          <w:rFonts w:eastAsia="Arial Unicode MS"/>
          <w:color w:val="auto"/>
          <w:lang w:val="en-US"/>
        </w:rPr>
        <w:t>Business and Economic Strategic Partners including Cornerstone Employers</w:t>
      </w:r>
    </w:p>
    <w:p>
      <w:pPr>
        <w:pStyle w:val="ListParagraph"/>
        <w:numPr>
          <w:ilvl w:val="0"/>
          <w:numId w:val="5"/>
        </w:numPr>
        <w:spacing w:lineRule="auto" w:line="240"/>
        <w:rPr>
          <w:rFonts w:eastAsia="Arial Unicode MS"/>
          <w:color w:val="auto"/>
          <w:lang w:val="en-US"/>
        </w:rPr>
      </w:pPr>
      <w:r>
        <w:rPr>
          <w:rFonts w:eastAsia="Arial Unicode MS"/>
          <w:color w:val="auto"/>
          <w:lang w:val="en-US"/>
        </w:rPr>
        <w:t xml:space="preserve">Government Departments </w:t>
      </w:r>
    </w:p>
    <w:p>
      <w:pPr>
        <w:pStyle w:val="ListParagraph"/>
        <w:numPr>
          <w:ilvl w:val="0"/>
          <w:numId w:val="5"/>
        </w:numPr>
        <w:spacing w:lineRule="auto" w:line="240"/>
        <w:rPr>
          <w:rFonts w:eastAsia="Arial Unicode MS"/>
          <w:color w:val="auto"/>
          <w:lang w:val="en-US"/>
        </w:rPr>
      </w:pPr>
      <w:r>
        <w:rPr>
          <w:rFonts w:eastAsia="Arial Unicode MS"/>
          <w:color w:val="auto"/>
          <w:lang w:val="en-US"/>
        </w:rPr>
        <w:t>Commissioned Service Providers</w:t>
      </w:r>
    </w:p>
    <w:p>
      <w:pPr>
        <w:pStyle w:val="ListParagraph"/>
        <w:numPr>
          <w:ilvl w:val="0"/>
          <w:numId w:val="5"/>
        </w:numPr>
        <w:spacing w:lineRule="auto" w:line="240"/>
        <w:rPr>
          <w:rFonts w:eastAsia="Arial Unicode MS"/>
          <w:color w:val="auto"/>
          <w:lang w:val="en-US"/>
        </w:rPr>
      </w:pPr>
      <w:r>
        <w:rPr>
          <w:rFonts w:eastAsia="Arial Unicode MS"/>
          <w:color w:val="auto"/>
          <w:lang w:val="en-US"/>
        </w:rPr>
        <w:t>Young people and young people led services</w:t>
      </w:r>
    </w:p>
    <w:p>
      <w:pPr>
        <w:pStyle w:val="ListParagraph"/>
        <w:numPr>
          <w:ilvl w:val="0"/>
          <w:numId w:val="5"/>
        </w:numPr>
        <w:spacing w:lineRule="auto" w:line="240"/>
        <w:rPr>
          <w:rFonts w:eastAsia="Arial Unicode MS"/>
          <w:color w:val="auto"/>
          <w:lang w:val="en-US"/>
        </w:rPr>
      </w:pPr>
      <w:r>
        <w:rPr>
          <w:rFonts w:eastAsia="Arial Unicode MS"/>
          <w:color w:val="auto"/>
          <w:lang w:val="en-US"/>
        </w:rPr>
        <w:t xml:space="preserve">Parent/guardian and advocacy groups </w:t>
      </w:r>
    </w:p>
    <w:p>
      <w:pPr>
        <w:pStyle w:val="Normal"/>
        <w:ind w:left="-84" w:right="261" w:hanging="0"/>
        <w:rPr>
          <w:rFonts w:eastAsia="Arial Unicode MS"/>
          <w:color w:val="auto"/>
          <w:lang w:val="en-US"/>
        </w:rPr>
      </w:pPr>
      <w:r>
        <w:rPr>
          <w:rFonts w:eastAsia="Arial Unicode MS"/>
          <w:color w:val="auto"/>
          <w:lang w:val="en-US"/>
        </w:rPr>
        <w:t xml:space="preserve">The role holder will operate within a matrix management system, reporting to a Senior YEO manager, and will be expected to work flexibility across the city region as required. </w:t>
      </w:r>
    </w:p>
    <w:p>
      <w:pPr>
        <w:pStyle w:val="Heading2"/>
        <w:shd w:fill="004F6E" w:val="clear"/>
        <w:rPr>
          <w:rFonts w:cs="Arial"/>
          <w:color w:val="auto"/>
          <w:sz w:val="24"/>
          <w:szCs w:val="24"/>
        </w:rPr>
      </w:pPr>
      <w:r>
        <w:rPr>
          <w:rFonts w:cs="Arial"/>
          <w:color w:val="auto"/>
          <w:sz w:val="24"/>
          <w:szCs w:val="24"/>
        </w:rPr>
        <w:t>Key Responsibilities</w:t>
      </w:r>
    </w:p>
    <w:p>
      <w:pPr>
        <w:pStyle w:val="ListParagraph"/>
        <w:numPr>
          <w:ilvl w:val="0"/>
          <w:numId w:val="5"/>
        </w:numPr>
        <w:rPr/>
      </w:pPr>
      <w:r>
        <w:rPr>
          <w:b/>
          <w:bCs/>
          <w:color w:val="auto"/>
        </w:rPr>
        <w:t>Provide strategic leadership and accountability</w:t>
      </w:r>
      <w:r>
        <w:rPr>
          <w:color w:val="auto"/>
        </w:rPr>
        <w:t xml:space="preserve"> for a portfolio of careers education and ensuring delivery alignment to the Greater Manchester Strategy (GMS) priorities and support wider youth employment programmes of work </w:t>
      </w:r>
    </w:p>
    <w:p>
      <w:pPr>
        <w:pStyle w:val="ListParagraph"/>
        <w:numPr>
          <w:ilvl w:val="0"/>
          <w:numId w:val="3"/>
        </w:numPr>
        <w:rPr/>
      </w:pPr>
      <w:r>
        <w:rPr>
          <w:b/>
          <w:bCs/>
          <w:color w:val="auto"/>
        </w:rPr>
        <w:t>Define programme scope, delivery architecture and governance</w:t>
      </w:r>
      <w:r>
        <w:rPr>
          <w:color w:val="auto"/>
        </w:rPr>
        <w:t xml:space="preserve">, establishing clear accountability, delivery ownership and funding alignment across a complex system </w:t>
      </w:r>
    </w:p>
    <w:p>
      <w:pPr>
        <w:pStyle w:val="ListParagraph"/>
        <w:numPr>
          <w:ilvl w:val="0"/>
          <w:numId w:val="3"/>
        </w:numPr>
        <w:rPr/>
      </w:pPr>
      <w:r>
        <w:rPr>
          <w:b/>
          <w:bCs/>
          <w:color w:val="auto"/>
        </w:rPr>
        <w:t>Develop and oversee programme roadmaps and delivery plans</w:t>
      </w:r>
      <w:r>
        <w:rPr>
          <w:color w:val="auto"/>
        </w:rPr>
        <w:t>, ensuring activity is data enabled and evidence driven, sequenced, resourced and implemented effectively to achieve agreed strategic outcomes</w:t>
      </w:r>
    </w:p>
    <w:p>
      <w:pPr>
        <w:pStyle w:val="ListParagraph"/>
        <w:numPr>
          <w:ilvl w:val="0"/>
          <w:numId w:val="3"/>
        </w:numPr>
        <w:rPr/>
      </w:pPr>
      <w:r>
        <w:rPr>
          <w:b/>
          <w:bCs/>
          <w:color w:val="auto"/>
        </w:rPr>
        <w:t>Lead the strategic advancement of a sustainable and impactful Greater Manchester Careers Community of Practice</w:t>
      </w:r>
      <w:r>
        <w:rPr>
          <w:color w:val="auto"/>
        </w:rPr>
        <w:t>, establishing it as a core system enabler to align priorities, deploy active collaboration and system co-design, strengthen leadership, build capacity and improve quality and consistency across the city-region</w:t>
      </w:r>
    </w:p>
    <w:p>
      <w:pPr>
        <w:pStyle w:val="ListParagraph"/>
        <w:numPr>
          <w:ilvl w:val="0"/>
          <w:numId w:val="5"/>
        </w:numPr>
        <w:rPr/>
      </w:pPr>
      <w:r>
        <w:rPr>
          <w:b/>
          <w:bCs/>
          <w:color w:val="auto"/>
        </w:rPr>
        <w:t>Secure commitment, alignment and consistency across partners,</w:t>
      </w:r>
      <w:r>
        <w:rPr>
          <w:color w:val="auto"/>
        </w:rPr>
        <w:t xml:space="preserve"> collaborating with GMCA, local authorities, education providers, employers and national stakeholders to enable high-quality delivery of careers education, reduce variation and support adoption at scale</w:t>
      </w:r>
    </w:p>
    <w:p>
      <w:pPr>
        <w:pStyle w:val="ListParagraph"/>
        <w:numPr>
          <w:ilvl w:val="0"/>
          <w:numId w:val="3"/>
        </w:numPr>
        <w:rPr/>
      </w:pPr>
      <w:r>
        <w:rPr>
          <w:b/>
          <w:bCs/>
          <w:color w:val="auto"/>
        </w:rPr>
        <w:t>Provide strategic oversight of budgets, commissioning, procurement and contracts</w:t>
      </w:r>
      <w:r>
        <w:rPr>
          <w:color w:val="auto"/>
        </w:rPr>
        <w:t>, ensuring delivery is high-quality, evidence-led and proactively manages risk and performance</w:t>
      </w:r>
    </w:p>
    <w:p>
      <w:pPr>
        <w:pStyle w:val="ListParagraph"/>
        <w:numPr>
          <w:ilvl w:val="0"/>
          <w:numId w:val="3"/>
        </w:numPr>
        <w:rPr/>
      </w:pPr>
      <w:r>
        <w:rPr>
          <w:b/>
          <w:bCs/>
          <w:color w:val="auto"/>
        </w:rPr>
        <w:t>Oversee performance, evaluation and insight</w:t>
      </w:r>
      <w:r>
        <w:rPr>
          <w:color w:val="auto"/>
        </w:rPr>
        <w:t>, ensuring impact is measurable and learning informs continuous improvement and system-wide “what works”</w:t>
      </w:r>
    </w:p>
    <w:p>
      <w:pPr>
        <w:pStyle w:val="ListParagraph"/>
        <w:numPr>
          <w:ilvl w:val="0"/>
          <w:numId w:val="3"/>
        </w:numPr>
        <w:rPr/>
      </w:pPr>
      <w:r>
        <w:rPr>
          <w:b/>
          <w:bCs/>
          <w:color w:val="auto"/>
        </w:rPr>
        <w:t>Influence and national and local policy and delivery approaches</w:t>
      </w:r>
      <w:r>
        <w:rPr>
          <w:color w:val="auto"/>
        </w:rPr>
        <w:t>, contributing to the evolution of careers, skills and youth employment systems and the devolution agenda</w:t>
      </w:r>
    </w:p>
    <w:p>
      <w:pPr>
        <w:pStyle w:val="ListParagraph"/>
        <w:numPr>
          <w:ilvl w:val="0"/>
          <w:numId w:val="5"/>
        </w:numPr>
        <w:rPr/>
      </w:pPr>
      <w:r>
        <w:rPr>
          <w:b/>
          <w:bCs/>
          <w:color w:val="auto"/>
        </w:rPr>
        <w:t>Build and sustain senior partnerships across education, skills and employment</w:t>
      </w:r>
      <w:r>
        <w:rPr>
          <w:color w:val="auto"/>
        </w:rPr>
        <w:t xml:space="preserve"> systems to shape shared priorities, strengthen system leadership and improve progression into employment, reduce inequality </w:t>
      </w:r>
    </w:p>
    <w:p>
      <w:pPr>
        <w:pStyle w:val="ListParagraph"/>
        <w:numPr>
          <w:ilvl w:val="0"/>
          <w:numId w:val="5"/>
        </w:numPr>
        <w:rPr/>
      </w:pPr>
      <w:r>
        <w:rPr>
          <w:b/>
          <w:bCs/>
          <w:color w:val="auto"/>
        </w:rPr>
        <w:t>Ensure that delivery demonstrably improves outcomes for young people</w:t>
      </w:r>
      <w:r>
        <w:rPr>
          <w:color w:val="auto"/>
        </w:rPr>
        <w:t xml:space="preserve"> and that their experiences, feedback and insight directly inform system priorities, resource allocation and continuous improvement </w:t>
      </w:r>
    </w:p>
    <w:p>
      <w:pPr>
        <w:pStyle w:val="ListParagraph"/>
        <w:numPr>
          <w:ilvl w:val="0"/>
          <w:numId w:val="3"/>
        </w:numPr>
        <w:rPr/>
      </w:pPr>
      <w:r>
        <w:rPr>
          <w:b/>
          <w:bCs/>
          <w:color w:val="auto"/>
        </w:rPr>
        <w:t>Champion inclusion and equality</w:t>
      </w:r>
      <w:r>
        <w:rPr>
          <w:color w:val="auto"/>
        </w:rPr>
        <w:t>, ensuring programmes are intentionally designed and delivered to reduce inequalities in access, participation and outcomes</w:t>
      </w:r>
    </w:p>
    <w:p>
      <w:pPr>
        <w:pStyle w:val="ListParagraph"/>
        <w:numPr>
          <w:ilvl w:val="0"/>
          <w:numId w:val="3"/>
        </w:numPr>
        <w:rPr/>
      </w:pPr>
      <w:r>
        <w:rPr>
          <w:b/>
          <w:bCs/>
          <w:color w:val="auto"/>
        </w:rPr>
        <w:t>Embed user voice and co-design</w:t>
      </w:r>
      <w:r>
        <w:rPr>
          <w:color w:val="auto"/>
        </w:rPr>
        <w:t>, ensuring meaningful engagement with young people informs programme and system development</w:t>
      </w:r>
    </w:p>
    <w:p>
      <w:pPr>
        <w:pStyle w:val="ListParagraph"/>
        <w:numPr>
          <w:ilvl w:val="0"/>
          <w:numId w:val="3"/>
        </w:numPr>
        <w:rPr/>
      </w:pPr>
      <w:r>
        <w:rPr>
          <w:b/>
          <w:bCs/>
          <w:color w:val="auto"/>
        </w:rPr>
        <w:t>Lead high-quality reporting and strategic advice</w:t>
      </w:r>
      <w:r>
        <w:rPr>
          <w:color w:val="auto"/>
        </w:rPr>
        <w:t xml:space="preserve"> for senior leaders and governance structures to support decision-making</w:t>
      </w:r>
    </w:p>
    <w:p>
      <w:pPr>
        <w:pStyle w:val="ListParagraph"/>
        <w:numPr>
          <w:ilvl w:val="0"/>
          <w:numId w:val="3"/>
        </w:numPr>
        <w:rPr/>
      </w:pPr>
      <w:r>
        <w:rPr>
          <w:b/>
          <w:bCs/>
          <w:color w:val="auto"/>
        </w:rPr>
        <w:t>Lead, develop and inspire a high-performing team</w:t>
      </w:r>
      <w:r>
        <w:rPr>
          <w:color w:val="auto"/>
        </w:rPr>
        <w:t>, deploying resources to deliver strategic priorities</w:t>
      </w:r>
    </w:p>
    <w:p>
      <w:pPr>
        <w:pStyle w:val="ListParagraph"/>
        <w:numPr>
          <w:ilvl w:val="0"/>
          <w:numId w:val="3"/>
        </w:numPr>
        <w:rPr/>
      </w:pPr>
      <w:r>
        <w:rPr>
          <w:b/>
          <w:bCs/>
          <w:color w:val="auto"/>
        </w:rPr>
        <w:t>Deputise for senior leaders where required</w:t>
      </w:r>
      <w:r>
        <w:rPr>
          <w:color w:val="auto"/>
        </w:rPr>
        <w:t>, representing the programme at senior forums and influencing decision-making</w:t>
      </w:r>
    </w:p>
    <w:p>
      <w:pPr>
        <w:pStyle w:val="Heading2"/>
        <w:shd w:fill="004F6E" w:val="clear"/>
        <w:ind w:left="360" w:right="0" w:hanging="0"/>
        <w:rPr>
          <w:rFonts w:cs="Arial"/>
          <w:sz w:val="24"/>
          <w:szCs w:val="24"/>
        </w:rPr>
      </w:pPr>
      <w:r>
        <w:rPr>
          <w:rFonts w:cs="Arial"/>
          <w:sz w:val="24"/>
          <w:szCs w:val="24"/>
        </w:rPr>
        <w:t>General</w:t>
      </w:r>
    </w:p>
    <w:p>
      <w:pPr>
        <w:pStyle w:val="ListParagraph"/>
        <w:numPr>
          <w:ilvl w:val="0"/>
          <w:numId w:val="5"/>
        </w:numPr>
        <w:rPr>
          <w:rFonts w:eastAsia="Arial Unicode MS"/>
        </w:rPr>
      </w:pPr>
      <w:r>
        <w:rPr>
          <w:rFonts w:eastAsia="Arial Unicode MS"/>
        </w:rPr>
        <w:t xml:space="preserve">Contribute to the delivery of the strategic purpose, priorities and principles across the Education, Skills and Work Directorate, aligning activity with wider GMCA objectives </w:t>
      </w:r>
    </w:p>
    <w:p>
      <w:pPr>
        <w:pStyle w:val="ListParagraph"/>
        <w:numPr>
          <w:ilvl w:val="0"/>
          <w:numId w:val="5"/>
        </w:numPr>
        <w:rPr/>
      </w:pPr>
      <w:r>
        <w:rPr/>
        <w:t xml:space="preserve">Operate in a well-organised and proactive manner, effectively managing priorities to support delivery  </w:t>
      </w:r>
    </w:p>
    <w:p>
      <w:pPr>
        <w:pStyle w:val="ListParagraph"/>
        <w:numPr>
          <w:ilvl w:val="0"/>
          <w:numId w:val="5"/>
        </w:numPr>
        <w:rPr>
          <w:rFonts w:cs="Arial"/>
          <w:color w:val="auto"/>
        </w:rPr>
      </w:pPr>
      <w:r>
        <w:rPr>
          <w:rFonts w:cs="Arial"/>
          <w:color w:val="auto"/>
        </w:rPr>
        <w:t>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5"/>
        </w:numPr>
        <w:rPr>
          <w:rFonts w:eastAsia="Arial" w:cs="Arial"/>
          <w:color w:val="auto"/>
        </w:rPr>
      </w:pPr>
      <w:r>
        <w:rPr>
          <w:rFonts w:eastAsia="Arial" w:cs="Arial"/>
          <w:color w:val="auto"/>
        </w:rPr>
        <w:t xml:space="preserve">Work collaboratively across internal teams and external partners to support effective and coordinated delivery </w:t>
      </w:r>
    </w:p>
    <w:p>
      <w:pPr>
        <w:pStyle w:val="ListParagraph"/>
        <w:numPr>
          <w:ilvl w:val="0"/>
          <w:numId w:val="5"/>
        </w:numPr>
        <w:rPr>
          <w:color w:val="auto"/>
        </w:rPr>
      </w:pPr>
      <w:r>
        <w:rPr>
          <w:color w:val="auto"/>
        </w:rPr>
        <w:t>Ensure all services are inclusive, accessible and responsive to diverse communities, with these principles embedded in design and delivery</w:t>
      </w:r>
    </w:p>
    <w:p>
      <w:pPr>
        <w:pStyle w:val="ListParagraph"/>
        <w:numPr>
          <w:ilvl w:val="0"/>
          <w:numId w:val="5"/>
        </w:numPr>
        <w:rPr>
          <w:rFonts w:cs="Arial"/>
          <w:color w:val="auto"/>
        </w:rPr>
      </w:pPr>
      <w:r>
        <w:rPr>
          <w:rFonts w:cs="Arial"/>
          <w:color w:val="auto"/>
        </w:rPr>
        <w:t xml:space="preserve">Align and embed work area to the Sustainability Strategy and ensure work practices are inclusive of this values &amp; strategic intent </w:t>
      </w:r>
    </w:p>
    <w:p>
      <w:pPr>
        <w:pStyle w:val="Normal"/>
        <w:rPr>
          <w:rFonts w:cs="Arial"/>
          <w:b/>
          <w:b/>
          <w:color w:val="auto"/>
          <w:sz w:val="20"/>
          <w:szCs w:val="20"/>
        </w:rPr>
      </w:pPr>
      <w:r>
        <w:rPr>
          <w:rFonts w:cs="Arial"/>
          <w:b/>
          <w:color w:val="auto"/>
          <w:sz w:val="20"/>
          <w:szCs w:val="20"/>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Knowledge, Skills, and Experience</w:t>
      </w:r>
    </w:p>
    <w:p>
      <w:pPr>
        <w:pStyle w:val="ListParagraph"/>
        <w:numPr>
          <w:ilvl w:val="0"/>
          <w:numId w:val="2"/>
        </w:numPr>
        <w:rPr/>
      </w:pPr>
      <w:r>
        <w:rPr>
          <w:rFonts w:eastAsia="Arial" w:cs="Arial"/>
          <w:b/>
          <w:bCs/>
          <w:color w:val="auto"/>
          <w:szCs w:val="24"/>
        </w:rPr>
        <w:t>Experience operating in a substantial leadership role</w:t>
      </w:r>
      <w:r>
        <w:rPr>
          <w:rFonts w:eastAsia="Arial" w:cs="Arial"/>
          <w:color w:val="auto"/>
          <w:szCs w:val="24"/>
        </w:rPr>
        <w:t xml:space="preserve"> within the Education, Skills and Work and/or Careers system, shaping strategic direction, influencing delivery at scale and leading high-performing teams</w:t>
      </w:r>
    </w:p>
    <w:p>
      <w:pPr>
        <w:pStyle w:val="ListParagraph"/>
        <w:numPr>
          <w:ilvl w:val="0"/>
          <w:numId w:val="5"/>
        </w:numPr>
        <w:rPr/>
      </w:pPr>
      <w:r>
        <w:rPr>
          <w:rFonts w:eastAsia="Arial" w:cs="Arial"/>
          <w:b/>
          <w:bCs/>
          <w:color w:val="auto"/>
        </w:rPr>
        <w:t xml:space="preserve">Strong understanding of equality, inclusion and equity </w:t>
      </w:r>
      <w:r>
        <w:rPr>
          <w:rFonts w:eastAsia="Arial" w:cs="Arial"/>
          <w:color w:val="auto"/>
        </w:rPr>
        <w:t>within careers education, with the ability to design and influence systems that reduce inequalities in access, participation and outcomes</w:t>
      </w:r>
    </w:p>
    <w:p>
      <w:pPr>
        <w:pStyle w:val="ListParagraph"/>
        <w:numPr>
          <w:ilvl w:val="0"/>
          <w:numId w:val="5"/>
        </w:numPr>
        <w:rPr/>
      </w:pPr>
      <w:r>
        <w:rPr>
          <w:rFonts w:eastAsia="Arial" w:cs="Arial"/>
          <w:b/>
          <w:bCs/>
          <w:color w:val="auto"/>
          <w:szCs w:val="24"/>
        </w:rPr>
        <w:t>Strong experience of embedding user voice and co-design</w:t>
      </w:r>
      <w:r>
        <w:rPr>
          <w:rFonts w:eastAsia="Arial" w:cs="Arial"/>
          <w:color w:val="auto"/>
          <w:szCs w:val="24"/>
        </w:rPr>
        <w:t xml:space="preserve">, applying recognised participation models (e.g. Lundy) to shape system and service design, leading to demonstrable improvements in outcomes for children and young people </w:t>
      </w:r>
      <w:r>
        <w:rPr>
          <w:rFonts w:eastAsia="Arial" w:cs="Arial"/>
          <w:b/>
          <w:bCs/>
          <w:color w:val="auto"/>
        </w:rPr>
        <w:t>Proven experience of leading complex, multi-dimensional programmes</w:t>
      </w:r>
      <w:r>
        <w:rPr>
          <w:rFonts w:eastAsia="Arial" w:cs="Arial"/>
          <w:color w:val="auto"/>
        </w:rPr>
        <w:t xml:space="preserve"> across organisational boundaries, establishing delivery architecture, governance and risk management and accountability to achieve improved outcomes </w:t>
      </w:r>
    </w:p>
    <w:p>
      <w:pPr>
        <w:pStyle w:val="ListParagraph"/>
        <w:numPr>
          <w:ilvl w:val="0"/>
          <w:numId w:val="2"/>
        </w:numPr>
        <w:rPr/>
      </w:pPr>
      <w:r>
        <w:rPr>
          <w:rFonts w:eastAsia="Arial" w:cs="Arial"/>
          <w:b/>
          <w:bCs/>
          <w:color w:val="auto"/>
          <w:szCs w:val="24"/>
        </w:rPr>
        <w:t>Significant experience of working across complex stakeholder systems</w:t>
      </w:r>
      <w:r>
        <w:rPr>
          <w:rFonts w:eastAsia="Arial" w:cs="Arial"/>
          <w:color w:val="auto"/>
          <w:szCs w:val="24"/>
        </w:rPr>
        <w:t>, including local authorities, education providers, employers and national partners, influencing senior decision-makers to align priorities and secure commitment to shared objectives</w:t>
      </w:r>
    </w:p>
    <w:p>
      <w:pPr>
        <w:pStyle w:val="ListParagraph"/>
        <w:numPr>
          <w:ilvl w:val="0"/>
          <w:numId w:val="5"/>
        </w:numPr>
        <w:rPr/>
      </w:pPr>
      <w:r>
        <w:rPr>
          <w:rFonts w:eastAsia="Arial" w:cs="Arial"/>
          <w:b/>
          <w:bCs/>
          <w:color w:val="auto"/>
        </w:rPr>
        <w:t>Experience of commissioning and overseeing services,</w:t>
      </w:r>
      <w:r>
        <w:rPr>
          <w:rFonts w:eastAsia="Arial" w:cs="Arial"/>
          <w:color w:val="auto"/>
        </w:rPr>
        <w:t xml:space="preserve"> including developing specifications, managing providers and ensuring delivery achieves value for money and measurable impact</w:t>
      </w:r>
    </w:p>
    <w:p>
      <w:pPr>
        <w:pStyle w:val="ListParagraph"/>
        <w:numPr>
          <w:ilvl w:val="0"/>
          <w:numId w:val="5"/>
        </w:numPr>
        <w:rPr/>
      </w:pPr>
      <w:r>
        <w:rPr>
          <w:rFonts w:eastAsia="Arial" w:cs="Arial"/>
          <w:b/>
          <w:bCs/>
          <w:color w:val="auto"/>
        </w:rPr>
        <w:t>Knowledge of education, skills, careers and devolution policy,</w:t>
      </w:r>
      <w:r>
        <w:rPr>
          <w:rFonts w:eastAsia="Arial" w:cs="Arial"/>
          <w:color w:val="auto"/>
        </w:rPr>
        <w:t xml:space="preserve"> and the wider economic and public service context shaping opportunities and outcomes across Greater Manchester</w:t>
      </w:r>
    </w:p>
    <w:p>
      <w:pPr>
        <w:pStyle w:val="Default"/>
        <w:rPr>
          <w:highlight w:val="yellow"/>
        </w:rPr>
      </w:pPr>
      <w:r>
        <w:rPr>
          <w:highlight w:val="yellow"/>
        </w:rPr>
      </w:r>
    </w:p>
    <w:p>
      <w:pPr>
        <w:pStyle w:val="Heading3"/>
        <w:rPr/>
      </w:pPr>
      <w:r>
        <w:rPr>
          <w:rFonts w:cs="Arial"/>
          <w:b/>
          <w:bCs/>
          <w:sz w:val="24"/>
        </w:rPr>
        <w:t>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ListParagraph"/>
        <w:numPr>
          <w:ilvl w:val="0"/>
          <w:numId w:val="2"/>
        </w:numPr>
        <w:rPr/>
      </w:pPr>
      <w:r>
        <w:rPr>
          <w:rFonts w:eastAsia="Arial" w:cs="Arial"/>
          <w:b/>
          <w:bCs/>
          <w:color w:val="auto"/>
          <w:szCs w:val="24"/>
        </w:rPr>
        <w:t>System leadership and influence</w:t>
      </w:r>
      <w:r>
        <w:rPr>
          <w:rFonts w:eastAsia="Arial" w:cs="Arial"/>
          <w:color w:val="auto"/>
          <w:szCs w:val="24"/>
        </w:rPr>
        <w:t>: operates credibly at senior level, shaping direction, influencing decision-making and securing commitment across complex systems to deliver shared outcomes</w:t>
      </w:r>
    </w:p>
    <w:p>
      <w:pPr>
        <w:pStyle w:val="ListParagraph"/>
        <w:numPr>
          <w:ilvl w:val="0"/>
          <w:numId w:val="2"/>
        </w:numPr>
        <w:rPr/>
      </w:pPr>
      <w:r>
        <w:rPr>
          <w:rFonts w:eastAsia="Arial" w:cs="Arial"/>
          <w:b/>
          <w:bCs/>
          <w:color w:val="auto"/>
          <w:szCs w:val="24"/>
        </w:rPr>
        <w:t>Strategic translation and delivery:</w:t>
      </w:r>
      <w:r>
        <w:rPr>
          <w:rFonts w:eastAsia="Arial" w:cs="Arial"/>
          <w:color w:val="auto"/>
          <w:szCs w:val="24"/>
        </w:rPr>
        <w:t xml:space="preserve"> translates strategic intent into clear programme architecture, delivery models and roadmaps, aligning policy, funding and delivery</w:t>
      </w:r>
    </w:p>
    <w:p>
      <w:pPr>
        <w:pStyle w:val="ListParagraph"/>
        <w:numPr>
          <w:ilvl w:val="0"/>
          <w:numId w:val="2"/>
        </w:numPr>
        <w:rPr/>
      </w:pPr>
      <w:r>
        <w:rPr>
          <w:rFonts w:eastAsia="Arial" w:cs="Arial"/>
          <w:b/>
          <w:bCs/>
          <w:color w:val="auto"/>
          <w:szCs w:val="24"/>
        </w:rPr>
        <w:t xml:space="preserve">Programme and portfolio leadership: </w:t>
      </w:r>
      <w:r>
        <w:rPr>
          <w:rFonts w:eastAsia="Arial" w:cs="Arial"/>
          <w:color w:val="auto"/>
          <w:szCs w:val="24"/>
        </w:rPr>
        <w:t>leads multiple, complex programmes with significant scale, risk and interdependencies, ensuring strong governance, performance and delivery to outcomes</w:t>
      </w:r>
    </w:p>
    <w:p>
      <w:pPr>
        <w:pStyle w:val="ListParagraph"/>
        <w:numPr>
          <w:ilvl w:val="0"/>
          <w:numId w:val="2"/>
        </w:numPr>
        <w:rPr/>
      </w:pPr>
      <w:r>
        <w:rPr>
          <w:rFonts w:eastAsia="Arial" w:cs="Arial"/>
          <w:b/>
          <w:bCs/>
          <w:color w:val="auto"/>
          <w:szCs w:val="24"/>
        </w:rPr>
        <w:t>Partnership</w:t>
      </w:r>
      <w:r>
        <w:rPr>
          <w:rFonts w:eastAsia="Arial" w:cs="Arial"/>
          <w:color w:val="auto"/>
          <w:szCs w:val="24"/>
        </w:rPr>
        <w:t xml:space="preserve"> </w:t>
      </w:r>
      <w:r>
        <w:rPr>
          <w:rFonts w:eastAsia="Arial" w:cs="Arial"/>
          <w:b/>
          <w:bCs/>
          <w:color w:val="auto"/>
          <w:szCs w:val="24"/>
        </w:rPr>
        <w:t>and stakeholder leadership</w:t>
      </w:r>
      <w:r>
        <w:rPr>
          <w:rFonts w:eastAsia="Arial" w:cs="Arial"/>
          <w:color w:val="auto"/>
          <w:szCs w:val="24"/>
        </w:rPr>
        <w:t>: ability to build and sustains high-impact partnerships, aligning diverse stakeholders behind shared priorities and enabling coordinated, place-responsive delivery</w:t>
      </w:r>
    </w:p>
    <w:p>
      <w:pPr>
        <w:pStyle w:val="ListParagraph"/>
        <w:numPr>
          <w:ilvl w:val="0"/>
          <w:numId w:val="2"/>
        </w:numPr>
        <w:rPr/>
      </w:pPr>
      <w:r>
        <w:rPr>
          <w:rFonts w:eastAsia="Arial" w:cs="Arial"/>
          <w:b/>
          <w:bCs/>
          <w:color w:val="auto"/>
          <w:szCs w:val="24"/>
        </w:rPr>
        <w:t>Commissioning and commercial acumen:</w:t>
      </w:r>
      <w:r>
        <w:rPr>
          <w:rFonts w:eastAsia="Arial" w:cs="Arial"/>
          <w:color w:val="auto"/>
          <w:szCs w:val="24"/>
        </w:rPr>
        <w:t xml:space="preserve"> shapes and oversees commissioning activity, ensuring high-quality, evidence-led provision and strong contract and performance management.</w:t>
      </w:r>
    </w:p>
    <w:p>
      <w:pPr>
        <w:pStyle w:val="ListParagraph"/>
        <w:numPr>
          <w:ilvl w:val="0"/>
          <w:numId w:val="2"/>
        </w:numPr>
        <w:rPr/>
      </w:pPr>
      <w:r>
        <w:rPr>
          <w:rFonts w:eastAsia="Arial" w:cs="Arial"/>
          <w:b/>
          <w:bCs/>
          <w:color w:val="auto"/>
          <w:szCs w:val="24"/>
        </w:rPr>
        <w:t>Insight and evidence-led decision making:</w:t>
      </w:r>
      <w:r>
        <w:rPr>
          <w:rFonts w:eastAsia="Arial" w:cs="Arial"/>
          <w:color w:val="auto"/>
          <w:szCs w:val="24"/>
        </w:rPr>
        <w:t xml:space="preserve"> uses data, research and intelligence to inform strategy, evaluate impact and drive continuous improvement </w:t>
      </w:r>
    </w:p>
    <w:p>
      <w:pPr>
        <w:pStyle w:val="ListParagraph"/>
        <w:numPr>
          <w:ilvl w:val="0"/>
          <w:numId w:val="2"/>
        </w:numPr>
        <w:rPr/>
      </w:pPr>
      <w:r>
        <w:rPr>
          <w:rFonts w:eastAsia="Arial" w:cs="Arial"/>
          <w:b/>
          <w:bCs/>
          <w:color w:val="auto"/>
          <w:szCs w:val="24"/>
        </w:rPr>
        <w:t>Financial and resource leadership</w:t>
      </w:r>
      <w:r>
        <w:rPr>
          <w:rFonts w:eastAsia="Arial" w:cs="Arial"/>
          <w:color w:val="auto"/>
          <w:szCs w:val="24"/>
        </w:rPr>
        <w:t>: leads strategic financial planning and oversight, aligning investment to priorities and ensuring effective use of public resources</w:t>
      </w:r>
    </w:p>
    <w:p>
      <w:pPr>
        <w:pStyle w:val="ListParagraph"/>
        <w:numPr>
          <w:ilvl w:val="0"/>
          <w:numId w:val="2"/>
        </w:numPr>
        <w:rPr/>
      </w:pPr>
      <w:r>
        <w:rPr>
          <w:rFonts w:eastAsia="Arial" w:cs="Arial"/>
          <w:b/>
          <w:bCs/>
          <w:color w:val="auto"/>
          <w:szCs w:val="24"/>
        </w:rPr>
        <w:t>Communication and representation:</w:t>
      </w:r>
      <w:r>
        <w:rPr>
          <w:rFonts w:eastAsia="Arial" w:cs="Arial"/>
          <w:color w:val="auto"/>
          <w:szCs w:val="24"/>
        </w:rPr>
        <w:t xml:space="preserve"> communicates complex ideas clearly and confidently, providing strategic advice to senior leaders and representing the programme at senior forums</w:t>
      </w:r>
    </w:p>
    <w:p>
      <w:pPr>
        <w:pStyle w:val="ListParagraph"/>
        <w:numPr>
          <w:ilvl w:val="0"/>
          <w:numId w:val="2"/>
        </w:numPr>
        <w:rPr/>
      </w:pPr>
      <w:r>
        <w:rPr>
          <w:rFonts w:eastAsia="Arial" w:cs="Arial"/>
          <w:b/>
          <w:bCs/>
          <w:color w:val="auto"/>
          <w:szCs w:val="24"/>
        </w:rPr>
        <w:t>Political awareness:</w:t>
      </w:r>
      <w:r>
        <w:rPr>
          <w:rFonts w:eastAsia="Arial" w:cs="Arial"/>
          <w:color w:val="auto"/>
          <w:szCs w:val="24"/>
        </w:rPr>
        <w:t xml:space="preserve"> operates with a high degree of political awareness, navigating local, regional and national contexts to enable delivery and manage risk</w:t>
      </w:r>
    </w:p>
    <w:p>
      <w:pPr>
        <w:pStyle w:val="ListParagraph"/>
        <w:numPr>
          <w:ilvl w:val="0"/>
          <w:numId w:val="2"/>
        </w:numPr>
        <w:rPr/>
      </w:pPr>
      <w:r>
        <w:rPr>
          <w:rFonts w:eastAsia="Arial" w:cs="Arial"/>
          <w:b/>
          <w:bCs/>
          <w:color w:val="auto"/>
          <w:szCs w:val="24"/>
        </w:rPr>
        <w:t>Values and behaviours</w:t>
      </w:r>
      <w:r>
        <w:rPr>
          <w:rFonts w:eastAsia="Arial" w:cs="Arial"/>
          <w:color w:val="auto"/>
          <w:szCs w:val="24"/>
        </w:rPr>
        <w:t>: demonstrates integrity, professionalism and a strong commitment to public service, equality and inclusion, setting high standards and leading by example</w:t>
      </w:r>
    </w:p>
    <w:p>
      <w:pPr>
        <w:pStyle w:val="ListParagraph"/>
        <w:numPr>
          <w:ilvl w:val="0"/>
          <w:numId w:val="2"/>
        </w:numPr>
        <w:rPr/>
      </w:pPr>
      <w:r>
        <w:rPr>
          <w:rFonts w:eastAsia="Arial" w:cs="Arial"/>
          <w:b/>
          <w:bCs/>
          <w:color w:val="auto"/>
          <w:szCs w:val="24"/>
        </w:rPr>
        <w:t>Resilience and delivery focus</w:t>
      </w:r>
      <w:r>
        <w:rPr>
          <w:rFonts w:eastAsia="Arial" w:cs="Arial"/>
          <w:color w:val="auto"/>
          <w:szCs w:val="24"/>
        </w:rPr>
        <w:t>: maintains focus and momentum in complex environments, addressing challenges proactively and ensuring delivery of outcomes</w:t>
      </w:r>
    </w:p>
    <w:p>
      <w:pPr>
        <w:pStyle w:val="Normal"/>
        <w:spacing w:before="240" w:after="240"/>
        <w:rPr>
          <w:rFonts w:cs="Arial"/>
          <w:b/>
          <w:b/>
          <w:color w:val="auto"/>
          <w:sz w:val="22"/>
        </w:rPr>
      </w:pPr>
      <w:r>
        <w:rPr>
          <w:rFonts w:cs="Arial"/>
          <w:b/>
          <w:color w:val="auto"/>
          <w:sz w:val="22"/>
        </w:rPr>
        <w:t>FOR ROLES EXEMPT FROM THE REHABILITATION OF OFFENDERS ACT:</w:t>
      </w:r>
    </w:p>
    <w:p>
      <w:pPr>
        <w:pStyle w:val="Normal"/>
        <w:rPr>
          <w:rFonts w:cs="Arial"/>
          <w:color w:val="auto"/>
          <w:sz w:val="22"/>
        </w:rPr>
      </w:pPr>
      <w:r>
        <w:rPr>
          <w:rFonts w:cs="Arial"/>
          <w:color w:val="auto"/>
          <w:sz w:val="22"/>
        </w:rPr>
        <w:t>This role is exempt from the Rehabilitation of Offenders Act (1974) and will require disclosure of all convictions including those considered spent under the Act. The role holder will be subject to a basic level check by the Disclosure &amp; Barring Service.</w:t>
      </w:r>
    </w:p>
    <w:p>
      <w:pPr>
        <w:pStyle w:val="Heading2"/>
        <w:shd w:fill="004F6E" w:val="clear"/>
        <w:rPr>
          <w:rFonts w:cs="Arial"/>
          <w:sz w:val="24"/>
          <w:szCs w:val="24"/>
        </w:rPr>
      </w:pPr>
      <w:r>
        <w:rPr>
          <w:rFonts w:cs="Arial"/>
          <w:sz w:val="24"/>
          <w:szCs w:val="24"/>
        </w:rPr>
        <w:t>Corporate Duties</w:t>
      </w:r>
    </w:p>
    <w:p>
      <w:pPr>
        <w:pStyle w:val="Normal"/>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 xml:space="preserve">opportunities for a diverse population. As a GMCA employee you are expected to treat all </w:t>
      </w:r>
      <w:r>
        <w:rPr>
          <w:rFonts w:cs="Arial"/>
          <w:i/>
          <w:iCs/>
          <w:spacing w:val="-59"/>
          <w:szCs w:val="24"/>
        </w:rPr>
        <w:t xml:space="preserve"> </w:t>
      </w:r>
      <w:r>
        <w:rPr>
          <w:rFonts w:cs="Arial"/>
          <w:i/>
          <w:iCs/>
          <w:szCs w:val="24"/>
        </w:rPr>
        <w:t>employees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p>
      <w:pPr>
        <w:pStyle w:val="Normal"/>
        <w:spacing w:before="0" w:after="240"/>
        <w:rPr/>
      </w:pPr>
      <w:r>
        <w:rPr/>
      </w:r>
    </w:p>
    <w:sectPr>
      <w:footerReference w:type="default" r:id="rId2"/>
      <w:footerReference w:type="first" r:id="rId3"/>
      <w:type w:val="nextPage"/>
      <w:pgSz w:w="11906" w:h="16850"/>
      <w:pgMar w:left="1276" w:right="1410" w:header="0"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rFonts w:cs="Arial"/>
        <w:sz w:val="20"/>
        <w:szCs w:val="20"/>
      </w:rPr>
    </w:pPr>
    <w:r>
      <w:rPr>
        <w:rFonts w:cs="Arial"/>
        <w:sz w:val="20"/>
        <w:szCs w:val="20"/>
      </w:rPr>
      <w:t>Ref: Profile Strategic PM YEO Careers VJune26</w:t>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uppressAutoHyphens w:val="true"/>
      <w:bidi w:val="0"/>
      <w:spacing w:lineRule="auto" w:line="360" w:before="0" w:after="240"/>
      <w:jc w:val="lef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szCs w:val="24"/>
        <w:rFonts w:cs="Symbol"/>
        <w:color w:val="auto"/>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szCs w:val="24"/>
        <w:rFonts w:cs="Symbol"/>
        <w:color w:val="auto"/>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szCs w:val="24"/>
        <w:rFonts w:cs="Symbol"/>
        <w:color w:val="auto"/>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bullet"/>
      <w:lvlText w:val=""/>
      <w:lvlJc w:val="left"/>
      <w:pPr>
        <w:ind w:left="360" w:hanging="360"/>
      </w:pPr>
      <w:rPr>
        <w:rFonts w:ascii="Symbol" w:hAnsi="Symbol" w:cs="Symbol" w:hint="default"/>
        <w:rFonts w:cs="Symbol"/>
        <w:color w:val="auto"/>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color w:val="auto"/>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color w:val="auto"/>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Cs w:val="24"/>
        <w:rFonts w:cs="Symbol"/>
        <w:color w:val="auto"/>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360" w:hanging="360"/>
      </w:pPr>
      <w:rPr>
        <w:rFonts w:ascii="Symbol" w:hAnsi="Symbol" w:cs="Symbol" w:hint="default"/>
        <w:rFonts w:cs="Symbol"/>
        <w:color w:val="auto"/>
        <w:lang w:val="en-U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1"/>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eastAsia="Arial" w:cs="Symbol"/>
      <w:color w:val="auto"/>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color w:val="auto"/>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eastAsia="Arial Unicode MS" w:cs="Symbol"/>
      <w:color w:val="auto"/>
      <w:szCs w:val="24"/>
      <w:lang w:val="en-US"/>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eastAsia="ＭＳ 明朝" w:cs="Symbol"/>
      <w:color w:val="auto"/>
      <w:lang w:val="en-U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basedOn w:val="DefaultParagraphFont"/>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Calibri" w:cs="Arial"/>
      <w:color w:val="000000"/>
      <w:kern w:val="0"/>
      <w:sz w:val="24"/>
      <w:szCs w:val="22"/>
      <w:u w:val="none" w:color="000000"/>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2026-06-11T13:24:00Z</dcterms:created>
  <dc:creator>Caddy-Dale, Anna (Manchester Growth Company)</dc:creator>
  <dc:description/>
  <dc:language>en-US</dc:language>
  <cp:lastModifiedBy>Tramontana, Jayne</cp:lastModifiedBy>
  <cp:lastPrinted>1995-11-21T17:41:00Z</cp:lastPrinted>
  <dcterms:modified xsi:type="dcterms:W3CDTF">2026-06-25T08:54:00Z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0x01010014D6B1EB1E4C5B46A34979BC70A7AE17</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y fmtid="{D5CDD505-2E9C-101B-9397-08002B2CF9AE}" pid="12" name="docLang">
    <vt:lpwstr>en</vt:lpwstr>
  </property>
</Properties>
</file>