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pBdr/>
        <w:ind w:left="0" w:right="261" w:hanging="0"/>
        <w:jc w:val="center"/>
        <w:rPr>
          <w:b/>
          <w:b/>
          <w:bCs/>
          <w:iCs/>
          <w:sz w:val="24"/>
          <w:szCs w:val="24"/>
        </w:rPr>
      </w:pPr>
      <w:r>
        <w:rPr>
          <w:b/>
          <w:bCs/>
          <w:iCs/>
          <w:sz w:val="24"/>
          <w:szCs w:val="24"/>
        </w:rPr>
      </w:r>
    </w:p>
    <w:p>
      <w:pPr>
        <w:pStyle w:val="Body"/>
        <w:pBdr/>
        <w:ind w:left="0" w:right="261" w:hanging="0"/>
        <w:jc w:val="center"/>
        <w:rPr>
          <w:b/>
          <w:b/>
          <w:sz w:val="16"/>
          <w:szCs w:val="16"/>
        </w:rPr>
      </w:pPr>
      <w:r>
        <w:rPr/>
        <w:drawing>
          <wp:inline distT="0" distB="0" distL="0" distR="0">
            <wp:extent cx="6631305" cy="542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631305" cy="542925"/>
                    </a:xfrm>
                    <a:prstGeom prst="rect">
                      <a:avLst/>
                    </a:prstGeom>
                  </pic:spPr>
                </pic:pic>
              </a:graphicData>
            </a:graphic>
          </wp:inline>
        </w:drawing>
      </w:r>
    </w:p>
    <w:p>
      <w:pPr>
        <w:pStyle w:val="Body"/>
        <w:pBdr/>
        <w:ind w:left="0" w:right="261" w:hanging="0"/>
        <w:jc w:val="center"/>
        <w:rPr>
          <w:b/>
          <w:b/>
          <w:sz w:val="16"/>
          <w:szCs w:val="16"/>
        </w:rPr>
      </w:pPr>
      <w:r>
        <w:rPr>
          <w:b/>
          <w:sz w:val="16"/>
          <w:szCs w:val="16"/>
        </w:rPr>
      </w:r>
    </w:p>
    <w:p>
      <w:pPr>
        <w:pStyle w:val="Body"/>
        <w:pBdr/>
        <w:ind w:left="0" w:right="261" w:hanging="0"/>
        <w:jc w:val="center"/>
        <w:rPr>
          <w:b/>
          <w:b/>
          <w:sz w:val="36"/>
          <w:szCs w:val="36"/>
        </w:rPr>
      </w:pPr>
      <w:r>
        <w:rPr>
          <w:b/>
          <w:sz w:val="36"/>
          <w:szCs w:val="36"/>
        </w:rPr>
        <w:t>Programme Manager</w:t>
      </w:r>
    </w:p>
    <w:p>
      <w:pPr>
        <w:pStyle w:val="Body"/>
        <w:pBdr/>
        <w:ind w:left="0" w:right="261" w:hanging="0"/>
        <w:jc w:val="center"/>
        <w:rPr>
          <w:b/>
          <w:b/>
          <w:sz w:val="16"/>
          <w:szCs w:val="16"/>
        </w:rPr>
      </w:pPr>
      <w:r>
        <w:rPr>
          <w:b/>
          <w:sz w:val="16"/>
          <w:szCs w:val="16"/>
        </w:rPr>
      </w:r>
    </w:p>
    <w:p>
      <w:pPr>
        <w:pStyle w:val="Body"/>
        <w:pBdr/>
        <w:ind w:left="0" w:right="261" w:hanging="0"/>
        <w:jc w:val="center"/>
        <w:rPr>
          <w:b/>
          <w:b/>
          <w:bCs/>
          <w:iCs/>
          <w:sz w:val="28"/>
          <w:szCs w:val="28"/>
        </w:rPr>
      </w:pPr>
      <w:r>
        <w:rPr>
          <w:b/>
          <w:bCs/>
          <w:iCs/>
          <w:sz w:val="28"/>
          <w:szCs w:val="28"/>
        </w:rPr>
        <w:t>Greater Manchester Combined Authority</w:t>
      </w:r>
    </w:p>
    <w:p>
      <w:pPr>
        <w:pStyle w:val="Body"/>
        <w:pBdr/>
        <w:ind w:left="0" w:right="261" w:hanging="0"/>
        <w:rPr>
          <w:b/>
          <w:b/>
          <w:bCs/>
          <w:iCs/>
          <w:sz w:val="16"/>
          <w:szCs w:val="16"/>
        </w:rPr>
      </w:pPr>
      <w:r>
        <w:rPr>
          <w:b/>
          <w:bCs/>
          <w:iCs/>
          <w:sz w:val="16"/>
          <w:szCs w:val="16"/>
        </w:rPr>
      </w:r>
    </w:p>
    <w:p>
      <w:pPr>
        <w:pStyle w:val="Body"/>
        <w:pBdr/>
        <w:ind w:left="0" w:right="261" w:hanging="0"/>
        <w:jc w:val="center"/>
        <w:rPr>
          <w:b/>
          <w:b/>
          <w:bCs/>
          <w:iCs/>
          <w:sz w:val="28"/>
          <w:szCs w:val="28"/>
        </w:rPr>
      </w:pPr>
      <w:r>
        <w:rPr>
          <w:b/>
          <w:bCs/>
          <w:iCs/>
          <w:sz w:val="28"/>
          <w:szCs w:val="28"/>
        </w:rPr>
        <w:t>Role Profile</w:t>
      </w:r>
    </w:p>
    <w:p>
      <w:pPr>
        <w:pStyle w:val="Body"/>
        <w:pBdr/>
        <w:ind w:left="0" w:right="261" w:hanging="0"/>
        <w:jc w:val="center"/>
        <w:rPr>
          <w:b/>
          <w:b/>
          <w:bCs/>
          <w:iCs/>
          <w:sz w:val="16"/>
          <w:szCs w:val="16"/>
        </w:rPr>
      </w:pPr>
      <w:r>
        <w:rPr>
          <w:b/>
          <w:bCs/>
          <w:iCs/>
          <w:sz w:val="16"/>
          <w:szCs w:val="16"/>
        </w:rPr>
      </w:r>
    </w:p>
    <w:tbl>
      <w:tblPr>
        <w:tblW w:w="10368" w:type="dxa"/>
        <w:jc w:val="center"/>
        <w:tblInd w:w="0" w:type="dxa"/>
        <w:tblCellMar>
          <w:top w:w="0" w:type="dxa"/>
          <w:left w:w="108" w:type="dxa"/>
          <w:bottom w:w="0" w:type="dxa"/>
          <w:right w:w="108" w:type="dxa"/>
        </w:tblCellMar>
      </w:tblPr>
      <w:tblGrid>
        <w:gridCol w:w="1531"/>
        <w:gridCol w:w="3564"/>
        <w:gridCol w:w="2122"/>
        <w:gridCol w:w="3145"/>
        <w:gridCol w:w="1"/>
      </w:tblGrid>
      <w:tr>
        <w:trPr>
          <w:trHeight w:val="390" w:hRule="atLeast"/>
        </w:trPr>
        <w:tc>
          <w:tcPr>
            <w:tcW w:w="1531" w:type="dxa"/>
            <w:tcBorders>
              <w:top w:val="single" w:sz="4" w:space="0" w:color="000000"/>
              <w:left w:val="single" w:sz="6"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Job Title:</w:t>
            </w:r>
          </w:p>
        </w:tc>
        <w:tc>
          <w:tcPr>
            <w:tcW w:w="3564" w:type="dxa"/>
            <w:tcBorders>
              <w:top w:val="single" w:sz="4" w:space="0" w:color="000000"/>
              <w:left w:val="single" w:sz="4" w:space="0" w:color="000000"/>
              <w:bottom w:val="single" w:sz="4" w:space="0" w:color="000000"/>
            </w:tcBorders>
            <w:shd w:fill="auto" w:val="clear"/>
            <w:vAlign w:val="center"/>
          </w:tcPr>
          <w:p>
            <w:pPr>
              <w:pStyle w:val="DefaultText1"/>
              <w:ind w:left="67" w:right="0" w:hanging="0"/>
              <w:rPr>
                <w:rFonts w:ascii="Arial" w:hAnsi="Arial" w:cs="Arial"/>
                <w:szCs w:val="24"/>
              </w:rPr>
            </w:pPr>
            <w:r>
              <w:rPr>
                <w:rFonts w:cs="Arial" w:ascii="Arial" w:hAnsi="Arial"/>
                <w:szCs w:val="24"/>
              </w:rPr>
              <w:t xml:space="preserve">Programme Manager – Education, Skills and Work </w:t>
            </w:r>
          </w:p>
        </w:tc>
        <w:tc>
          <w:tcPr>
            <w:tcW w:w="2122" w:type="dxa"/>
            <w:tcBorders>
              <w:top w:val="single" w:sz="4" w:space="0" w:color="000000"/>
              <w:left w:val="single" w:sz="4"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Date:</w:t>
            </w:r>
          </w:p>
        </w:tc>
        <w:tc>
          <w:tcPr>
            <w:tcW w:w="314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lang w:val="en-GB"/>
              </w:rPr>
            </w:pPr>
            <w:r>
              <w:rPr>
                <w:rFonts w:cs="Arial" w:ascii="Arial" w:hAnsi="Arial"/>
                <w:lang w:val="en-GB"/>
              </w:rPr>
              <w:t xml:space="preserve">January 2025 </w:t>
            </w:r>
          </w:p>
        </w:tc>
      </w:tr>
      <w:tr>
        <w:trPr>
          <w:trHeight w:val="390" w:hRule="atLeast"/>
        </w:trPr>
        <w:tc>
          <w:tcPr>
            <w:tcW w:w="1531" w:type="dxa"/>
            <w:tcBorders>
              <w:top w:val="single" w:sz="4" w:space="0" w:color="000000"/>
              <w:left w:val="single" w:sz="6"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 xml:space="preserve">Reporting Line: </w:t>
            </w:r>
          </w:p>
        </w:tc>
        <w:tc>
          <w:tcPr>
            <w:tcW w:w="3564" w:type="dxa"/>
            <w:tcBorders>
              <w:top w:val="single" w:sz="4" w:space="0" w:color="000000"/>
              <w:left w:val="single" w:sz="4" w:space="0" w:color="000000"/>
              <w:bottom w:val="single" w:sz="4" w:space="0" w:color="000000"/>
            </w:tcBorders>
            <w:shd w:fill="auto" w:val="clear"/>
            <w:vAlign w:val="center"/>
          </w:tcPr>
          <w:p>
            <w:pPr>
              <w:pStyle w:val="DefaultText1"/>
              <w:ind w:left="67" w:right="0" w:hanging="0"/>
              <w:rPr>
                <w:rFonts w:ascii="Arial" w:hAnsi="Arial" w:cs="Arial"/>
                <w:color w:val="auto"/>
                <w:szCs w:val="24"/>
                <w:lang w:val="en-GB"/>
              </w:rPr>
            </w:pPr>
            <w:r>
              <w:rPr>
                <w:rFonts w:cs="Arial" w:ascii="Arial" w:hAnsi="Arial"/>
                <w:color w:val="auto"/>
                <w:szCs w:val="24"/>
                <w:lang w:val="en-GB"/>
              </w:rPr>
              <w:t xml:space="preserve">Senior Principal Skills Manager (Adult Education) </w:t>
            </w:r>
          </w:p>
        </w:tc>
        <w:tc>
          <w:tcPr>
            <w:tcW w:w="2122" w:type="dxa"/>
            <w:tcBorders>
              <w:top w:val="single" w:sz="4" w:space="0" w:color="000000"/>
              <w:left w:val="single" w:sz="4"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Job Level:</w:t>
            </w:r>
          </w:p>
        </w:tc>
        <w:tc>
          <w:tcPr>
            <w:tcW w:w="314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pPr>
            <w:r>
              <w:rPr>
                <w:rFonts w:cs="Arial" w:ascii="Arial" w:hAnsi="Arial"/>
                <w:lang w:val="en-GB"/>
              </w:rPr>
              <w:t>Grade 9</w:t>
            </w:r>
            <w:r>
              <w:rPr>
                <w:rFonts w:cs="Arial" w:ascii="Arial" w:hAnsi="Arial"/>
                <w:b/>
                <w:bCs/>
              </w:rPr>
              <w:t xml:space="preserve"> </w:t>
            </w:r>
          </w:p>
        </w:tc>
      </w:tr>
      <w:tr>
        <w:trPr>
          <w:trHeight w:val="282" w:hRule="atLeast"/>
        </w:trPr>
        <w:tc>
          <w:tcPr>
            <w:tcW w:w="1531" w:type="dxa"/>
            <w:tcBorders>
              <w:top w:val="single" w:sz="4" w:space="0" w:color="000000"/>
              <w:left w:val="single" w:sz="6"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Service:</w:t>
            </w:r>
          </w:p>
        </w:tc>
        <w:tc>
          <w:tcPr>
            <w:tcW w:w="3564"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lang w:val="en-GB"/>
              </w:rPr>
            </w:pPr>
            <w:r>
              <w:rPr>
                <w:rFonts w:cs="Arial" w:ascii="Arial" w:hAnsi="Arial"/>
                <w:lang w:val="en-GB"/>
              </w:rPr>
              <w:t>Policy and Strategy</w:t>
            </w:r>
          </w:p>
        </w:tc>
        <w:tc>
          <w:tcPr>
            <w:tcW w:w="2122"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Business Area:</w:t>
            </w:r>
          </w:p>
        </w:tc>
        <w:tc>
          <w:tcPr>
            <w:tcW w:w="3145" w:type="dxa"/>
            <w:tcBorders>
              <w:top w:val="single" w:sz="4" w:space="0" w:color="000000"/>
              <w:left w:val="single" w:sz="4" w:space="0" w:color="000000"/>
              <w:bottom w:val="single" w:sz="6"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lang w:val="en-GB"/>
              </w:rPr>
            </w:pPr>
            <w:r>
              <w:rPr>
                <w:rFonts w:cs="Arial" w:ascii="Arial" w:hAnsi="Arial"/>
                <w:lang w:val="en-GB"/>
              </w:rPr>
              <w:t>Education, Skills and Work</w:t>
            </w:r>
          </w:p>
        </w:tc>
      </w:tr>
      <w:tr>
        <w:trPr/>
        <w:tc>
          <w:tcPr>
            <w:tcW w:w="10363" w:type="dxa"/>
            <w:gridSpan w:val="4"/>
            <w:tcBorders>
              <w:top w:val="single" w:sz="4" w:space="0" w:color="000000"/>
              <w:left w:val="single" w:sz="4" w:space="0" w:color="000000"/>
              <w:bottom w:val="single" w:sz="4" w:space="0" w:color="000000"/>
              <w:right w:val="single" w:sz="4" w:space="0" w:color="000000"/>
            </w:tcBorders>
            <w:shd w:fill="000000" w:val="clear"/>
          </w:tcPr>
          <w:p>
            <w:pPr>
              <w:pStyle w:val="Body"/>
              <w:pBdr/>
              <w:spacing w:lineRule="auto" w:line="276"/>
              <w:rPr>
                <w:b/>
                <w:b/>
                <w:color w:val="FFFFFF"/>
                <w:sz w:val="24"/>
                <w:szCs w:val="24"/>
              </w:rPr>
            </w:pPr>
            <w:r>
              <w:rPr>
                <w:b/>
                <w:color w:val="FFFFFF"/>
                <w:sz w:val="24"/>
                <w:szCs w:val="24"/>
              </w:rPr>
              <w:t>JOB PURPOSE</w:t>
            </w:r>
          </w:p>
        </w:tc>
      </w:tr>
      <w:tr>
        <w:trPr>
          <w:trHeight w:val="7318" w:hRule="atLeast"/>
        </w:trPr>
        <w:tc>
          <w:tcPr>
            <w:tcW w:w="10363" w:type="dxa"/>
            <w:gridSpan w:val="4"/>
            <w:tcBorders>
              <w:top w:val="single" w:sz="4" w:space="0" w:color="000000"/>
              <w:left w:val="single" w:sz="4" w:space="0" w:color="000000"/>
              <w:bottom w:val="single" w:sz="4" w:space="0" w:color="000000"/>
              <w:right w:val="single" w:sz="4" w:space="0" w:color="000000"/>
            </w:tcBorders>
            <w:shd w:fill="auto" w:val="clear"/>
          </w:tcPr>
          <w:p>
            <w:pPr>
              <w:pStyle w:val="Body"/>
              <w:pBdr/>
              <w:snapToGrid w:val="false"/>
              <w:rPr>
                <w:bCs/>
                <w:iCs/>
                <w:sz w:val="24"/>
                <w:szCs w:val="24"/>
              </w:rPr>
            </w:pPr>
            <w:r>
              <w:rPr>
                <w:bCs/>
                <w:iCs/>
                <w:sz w:val="24"/>
                <w:szCs w:val="24"/>
              </w:rPr>
            </w:r>
          </w:p>
          <w:p>
            <w:pPr>
              <w:pStyle w:val="Body"/>
              <w:pBdr/>
              <w:jc w:val="both"/>
              <w:rPr>
                <w:bCs/>
                <w:iCs/>
                <w:sz w:val="24"/>
                <w:szCs w:val="24"/>
              </w:rPr>
            </w:pPr>
            <w:r>
              <w:rPr>
                <w:bCs/>
                <w:iCs/>
                <w:sz w:val="24"/>
                <w:szCs w:val="24"/>
              </w:rPr>
              <w:t>To lead a programme of work to support the delivery of the strategic priorities of the Education, Skills and Work team at GMCA, with a particular focus on reskilling and retraining. The role holder will undertake programme development, stakeholder engagement, commissioning activity, and management of projects using a blend of technical and relational skills.</w:t>
            </w:r>
          </w:p>
          <w:p>
            <w:pPr>
              <w:pStyle w:val="Body"/>
              <w:pBdr/>
              <w:rPr>
                <w:bCs/>
                <w:iCs/>
                <w:sz w:val="24"/>
                <w:szCs w:val="24"/>
              </w:rPr>
            </w:pPr>
            <w:r>
              <w:rPr>
                <w:bCs/>
                <w:iCs/>
                <w:sz w:val="24"/>
                <w:szCs w:val="24"/>
              </w:rPr>
            </w:r>
          </w:p>
          <w:p>
            <w:pPr>
              <w:pStyle w:val="Body"/>
              <w:pBdr/>
              <w:jc w:val="both"/>
              <w:rPr>
                <w:sz w:val="24"/>
                <w:szCs w:val="24"/>
              </w:rPr>
            </w:pPr>
            <w:r>
              <w:rPr>
                <w:sz w:val="24"/>
                <w:szCs w:val="24"/>
              </w:rPr>
              <w:t xml:space="preserve">The Greater Manchester Strategy (GMS) sets out an ambitious vision to ‘make Greater Manchester a place where everyone can live a good life, growing up, getting on and growing old in a greener, fairer, more prosperous city region.’ Alongside this, Greater Manchester’s Local Industrial Strategy is designed to ‘deliver an economy fit for the future with prosperous communities across the city-region and radically increased productivity and earning power’. Beneath these strategies sit the GM Labour Market &amp; Skills Plan - the role holder will work flexibly, with initiative and at pace, on work that delivers on a number of the actions within these plans. </w:t>
            </w:r>
          </w:p>
          <w:p>
            <w:pPr>
              <w:pStyle w:val="Body"/>
              <w:pBdr/>
              <w:rPr>
                <w:sz w:val="24"/>
                <w:szCs w:val="24"/>
              </w:rPr>
            </w:pPr>
            <w:r>
              <w:rPr>
                <w:sz w:val="24"/>
                <w:szCs w:val="24"/>
              </w:rPr>
            </w:r>
          </w:p>
          <w:p>
            <w:pPr>
              <w:pStyle w:val="Body"/>
              <w:pBdr/>
              <w:jc w:val="both"/>
              <w:rPr>
                <w:sz w:val="24"/>
                <w:szCs w:val="24"/>
              </w:rPr>
            </w:pPr>
            <w:r>
              <w:rPr>
                <w:sz w:val="24"/>
                <w:szCs w:val="24"/>
              </w:rPr>
              <w:t>The role holder will be responsible for the management and delivery of a programme of work and deploying and coordinating resources to ensure that project requirements and resource levels are fully identified. They will ensure that the programme of work is managed effectively using appropriate methodologies working with both relevant teams in GMCA and wider stakeholders.</w:t>
            </w:r>
          </w:p>
          <w:p>
            <w:pPr>
              <w:pStyle w:val="Body"/>
              <w:pBdr/>
              <w:rPr>
                <w:sz w:val="24"/>
                <w:szCs w:val="24"/>
              </w:rPr>
            </w:pPr>
            <w:r>
              <w:rPr>
                <w:sz w:val="24"/>
                <w:szCs w:val="24"/>
              </w:rPr>
            </w:r>
          </w:p>
          <w:p>
            <w:pPr>
              <w:pStyle w:val="Body"/>
              <w:pBdr/>
              <w:jc w:val="both"/>
              <w:rPr/>
            </w:pPr>
            <w:r>
              <w:rPr>
                <w:sz w:val="24"/>
                <w:szCs w:val="24"/>
              </w:rPr>
              <w:t xml:space="preserve">Stakeholder and relationship management will be critical to the role and the role holder will establish, develop and manage multiple, constructive relationships with national and local stakeholders including internal colleagues in GMCA and external colleagues in local authorities, department for education, sector bodies, employers and with training providers. </w:t>
            </w:r>
            <w:r>
              <w:rPr>
                <w:sz w:val="24"/>
                <w:szCs w:val="24"/>
                <w:lang w:val="en"/>
              </w:rPr>
              <w:t xml:space="preserve"> </w:t>
            </w:r>
          </w:p>
          <w:p>
            <w:pPr>
              <w:pStyle w:val="Body"/>
              <w:pBdr/>
              <w:rPr>
                <w:sz w:val="24"/>
                <w:szCs w:val="24"/>
              </w:rPr>
            </w:pPr>
            <w:r>
              <w:rPr>
                <w:sz w:val="24"/>
                <w:szCs w:val="24"/>
              </w:rPr>
            </w:r>
          </w:p>
          <w:p>
            <w:pPr>
              <w:pStyle w:val="Body"/>
              <w:pBdr/>
              <w:ind w:left="0" w:right="261" w:hanging="0"/>
              <w:jc w:val="both"/>
              <w:rPr>
                <w:sz w:val="24"/>
                <w:szCs w:val="24"/>
                <w:lang w:eastAsia="en-GB"/>
              </w:rPr>
            </w:pPr>
            <w:r>
              <w:rPr>
                <w:sz w:val="24"/>
                <w:szCs w:val="24"/>
                <w:lang w:eastAsia="en-GB"/>
              </w:rPr>
              <w:t xml:space="preserve">This post is funded by the Department for Education to support the effective delivery of Skills Bootcamps in Greater Manchester as part of the National Skills Fund. </w:t>
            </w:r>
          </w:p>
          <w:p>
            <w:pPr>
              <w:pStyle w:val="Body"/>
              <w:pBdr/>
              <w:ind w:left="0" w:right="261" w:hanging="0"/>
              <w:jc w:val="both"/>
              <w:rPr>
                <w:sz w:val="24"/>
                <w:szCs w:val="24"/>
                <w:lang w:eastAsia="en-GB"/>
              </w:rPr>
            </w:pPr>
            <w:r>
              <w:rPr>
                <w:sz w:val="24"/>
                <w:szCs w:val="24"/>
                <w:lang w:eastAsia="en-GB"/>
              </w:rPr>
            </w:r>
          </w:p>
        </w:tc>
      </w:tr>
    </w:tbl>
    <w:p>
      <w:pPr>
        <w:pStyle w:val="Normal"/>
        <w:pBdr/>
        <w:rPr/>
      </w:pPr>
      <w:r>
        <w:rPr/>
      </w:r>
    </w:p>
    <w:p>
      <w:pPr>
        <w:pStyle w:val="Normal"/>
        <w:pBdr/>
        <w:rPr/>
      </w:pPr>
      <w:r>
        <w:rPr/>
      </w:r>
    </w:p>
    <w:p>
      <w:pPr>
        <w:pStyle w:val="Normal"/>
        <w:pBdr/>
        <w:rPr/>
      </w:pPr>
      <w:r>
        <w:rPr/>
      </w:r>
    </w:p>
    <w:p>
      <w:pPr>
        <w:pStyle w:val="Normal"/>
        <w:pBdr/>
        <w:rPr/>
      </w:pPr>
      <w:r>
        <w:rPr/>
      </w:r>
    </w:p>
    <w:p>
      <w:pPr>
        <w:pStyle w:val="Normal"/>
        <w:pBdr/>
        <w:rPr/>
      </w:pPr>
      <w:r>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tbl>
      <w:tblPr>
        <w:tblW w:w="10642" w:type="dxa"/>
        <w:jc w:val="center"/>
        <w:tblInd w:w="0" w:type="dxa"/>
        <w:tblCellMar>
          <w:top w:w="80" w:type="dxa"/>
          <w:left w:w="80" w:type="dxa"/>
          <w:bottom w:w="80" w:type="dxa"/>
          <w:right w:w="80" w:type="dxa"/>
        </w:tblCellMar>
      </w:tblPr>
      <w:tblGrid>
        <w:gridCol w:w="10642"/>
      </w:tblGrid>
      <w:tr>
        <w:trPr>
          <w:trHeight w:val="180" w:hRule="atLeast"/>
        </w:trPr>
        <w:tc>
          <w:tcPr>
            <w:tcW w:w="10642"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0" w:right="261" w:hanging="0"/>
              <w:rPr>
                <w:b/>
                <w:b/>
                <w:bCs/>
                <w:color w:val="FFFFFF"/>
                <w:sz w:val="24"/>
                <w:szCs w:val="24"/>
                <w:u w:val="none" w:color="FFFFFF"/>
              </w:rPr>
            </w:pPr>
            <w:r>
              <w:rPr>
                <w:b/>
                <w:bCs/>
                <w:color w:val="FFFFFF"/>
                <w:sz w:val="24"/>
                <w:szCs w:val="24"/>
                <w:u w:val="none" w:color="FFFFFF"/>
              </w:rPr>
              <w:t>KEY WORKING RELATIONSHIPS</w:t>
            </w:r>
          </w:p>
        </w:tc>
      </w:tr>
      <w:tr>
        <w:trPr>
          <w:trHeight w:val="2308" w:hRule="atLeast"/>
        </w:trPr>
        <w:tc>
          <w:tcPr>
            <w:tcW w:w="10642"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Normal"/>
              <w:pBdr/>
              <w:rPr>
                <w:rFonts w:ascii="Arial" w:hAnsi="Arial" w:cs="Arial"/>
                <w:bCs/>
                <w:iCs/>
              </w:rPr>
            </w:pPr>
            <w:r>
              <w:rPr>
                <w:rFonts w:cs="Arial" w:ascii="Arial" w:hAnsi="Arial"/>
                <w:bCs/>
                <w:iCs/>
              </w:rPr>
              <w:t>Key stakeholders and strategic partners locally, regionally, and nationally including:</w:t>
            </w:r>
          </w:p>
          <w:p>
            <w:pPr>
              <w:pStyle w:val="ListParagraph"/>
              <w:numPr>
                <w:ilvl w:val="0"/>
                <w:numId w:val="5"/>
              </w:numPr>
              <w:pBdr/>
              <w:rPr>
                <w:color w:val="auto"/>
                <w:sz w:val="24"/>
                <w:szCs w:val="24"/>
              </w:rPr>
            </w:pPr>
            <w:r>
              <w:rPr>
                <w:color w:val="auto"/>
                <w:sz w:val="24"/>
                <w:szCs w:val="24"/>
              </w:rPr>
              <w:t xml:space="preserve">Colleagues in the GMCA including work &amp; skills colleagues, other policy teams e.g., digital, environment, corporate services e.g. procurement, finance, legal. </w:t>
            </w:r>
          </w:p>
          <w:p>
            <w:pPr>
              <w:pStyle w:val="ListParagraph"/>
              <w:numPr>
                <w:ilvl w:val="0"/>
                <w:numId w:val="5"/>
              </w:numPr>
              <w:pBdr/>
              <w:rPr>
                <w:color w:val="auto"/>
                <w:sz w:val="24"/>
                <w:szCs w:val="24"/>
              </w:rPr>
            </w:pPr>
            <w:r>
              <w:rPr>
                <w:color w:val="auto"/>
                <w:sz w:val="24"/>
                <w:szCs w:val="24"/>
              </w:rPr>
              <w:t>Businesses ranging from SMEs to large corporates.</w:t>
            </w:r>
          </w:p>
          <w:p>
            <w:pPr>
              <w:pStyle w:val="ListParagraph"/>
              <w:numPr>
                <w:ilvl w:val="0"/>
                <w:numId w:val="5"/>
              </w:numPr>
              <w:pBdr/>
              <w:rPr>
                <w:color w:val="auto"/>
                <w:sz w:val="24"/>
                <w:szCs w:val="24"/>
              </w:rPr>
            </w:pPr>
            <w:r>
              <w:rPr>
                <w:color w:val="auto"/>
                <w:sz w:val="24"/>
                <w:szCs w:val="24"/>
              </w:rPr>
              <w:t xml:space="preserve">Business support organisations and sector bodies </w:t>
            </w:r>
          </w:p>
          <w:p>
            <w:pPr>
              <w:pStyle w:val="ListParagraph"/>
              <w:numPr>
                <w:ilvl w:val="0"/>
                <w:numId w:val="5"/>
              </w:numPr>
              <w:pBdr/>
              <w:rPr>
                <w:color w:val="auto"/>
                <w:sz w:val="24"/>
                <w:szCs w:val="24"/>
              </w:rPr>
            </w:pPr>
            <w:r>
              <w:rPr>
                <w:color w:val="auto"/>
                <w:sz w:val="24"/>
                <w:szCs w:val="24"/>
              </w:rPr>
              <w:t xml:space="preserve">Colleagues and partners in Greater Manchester’s wider public sector </w:t>
            </w:r>
          </w:p>
          <w:p>
            <w:pPr>
              <w:pStyle w:val="ListParagraph"/>
              <w:numPr>
                <w:ilvl w:val="0"/>
                <w:numId w:val="5"/>
              </w:numPr>
              <w:pBdr/>
              <w:rPr>
                <w:color w:val="auto"/>
                <w:sz w:val="24"/>
                <w:szCs w:val="24"/>
              </w:rPr>
            </w:pPr>
            <w:r>
              <w:rPr>
                <w:color w:val="auto"/>
                <w:sz w:val="24"/>
                <w:szCs w:val="24"/>
              </w:rPr>
              <w:t xml:space="preserve">Education and Skills providers e.g. Colleges, Universities </w:t>
            </w:r>
          </w:p>
          <w:p>
            <w:pPr>
              <w:pStyle w:val="ListParagraph"/>
              <w:numPr>
                <w:ilvl w:val="0"/>
                <w:numId w:val="5"/>
              </w:numPr>
              <w:pBdr/>
              <w:rPr>
                <w:color w:val="auto"/>
                <w:sz w:val="24"/>
                <w:szCs w:val="24"/>
              </w:rPr>
            </w:pPr>
            <w:r>
              <w:rPr>
                <w:color w:val="auto"/>
                <w:sz w:val="24"/>
                <w:szCs w:val="24"/>
              </w:rPr>
              <w:t xml:space="preserve">Employment Support Providers e.g. Job Centre Plus, National Careers Service.   </w:t>
            </w:r>
          </w:p>
        </w:tc>
      </w:tr>
    </w:tbl>
    <w:p>
      <w:pPr>
        <w:pStyle w:val="Body"/>
        <w:pBdr/>
        <w:ind w:left="0" w:right="261" w:hanging="0"/>
        <w:rPr>
          <w:b/>
          <w:b/>
          <w:bCs/>
          <w:iCs/>
          <w:sz w:val="24"/>
          <w:szCs w:val="24"/>
        </w:rPr>
      </w:pPr>
      <w:r>
        <w:rPr>
          <w:b/>
          <w:bCs/>
          <w:iCs/>
          <w:sz w:val="24"/>
          <w:szCs w:val="24"/>
        </w:rPr>
      </w:r>
    </w:p>
    <w:tbl>
      <w:tblPr>
        <w:tblW w:w="10642" w:type="dxa"/>
        <w:jc w:val="center"/>
        <w:tblInd w:w="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0000" w:val="clear"/>
          </w:tcPr>
          <w:p>
            <w:pPr>
              <w:pStyle w:val="Body"/>
              <w:pBdr/>
              <w:spacing w:lineRule="auto" w:line="276"/>
              <w:ind w:left="0" w:right="261" w:hanging="0"/>
              <w:rPr>
                <w:b/>
                <w:b/>
                <w:bCs/>
                <w:iCs/>
                <w:color w:val="FFFFFF"/>
                <w:sz w:val="24"/>
                <w:szCs w:val="24"/>
              </w:rPr>
            </w:pPr>
            <w:r>
              <w:rPr>
                <w:b/>
                <w:bCs/>
                <w:iCs/>
                <w:color w:val="FFFFFF"/>
                <w:sz w:val="24"/>
                <w:szCs w:val="24"/>
              </w:rPr>
              <w:t>KEY RESPONSIBILITIES</w:t>
            </w:r>
          </w:p>
        </w:tc>
      </w:tr>
      <w:tr>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pBdr/>
              <w:snapToGrid w:val="false"/>
              <w:spacing w:lineRule="auto" w:line="256" w:before="0" w:after="160"/>
              <w:contextualSpacing/>
              <w:rPr>
                <w:rFonts w:ascii="Arial" w:hAnsi="Arial" w:cs="Arial"/>
                <w:sz w:val="16"/>
                <w:szCs w:val="16"/>
              </w:rPr>
            </w:pPr>
            <w:r>
              <w:rPr>
                <w:rFonts w:cs="Arial" w:ascii="Arial" w:hAnsi="Arial"/>
                <w:sz w:val="16"/>
                <w:szCs w:val="16"/>
              </w:rPr>
            </w:r>
          </w:p>
          <w:p>
            <w:pPr>
              <w:pStyle w:val="Normal"/>
              <w:pBdr/>
              <w:spacing w:lineRule="auto" w:line="256" w:before="0" w:after="160"/>
              <w:contextualSpacing/>
              <w:rPr>
                <w:rFonts w:ascii="Arial" w:hAnsi="Arial" w:cs="Arial"/>
              </w:rPr>
            </w:pPr>
            <w:r>
              <w:rPr>
                <w:rFonts w:cs="Arial" w:ascii="Arial" w:hAnsi="Arial"/>
              </w:rPr>
              <w:t>The Programme Manager will have responsibility for leading, developing and managing a programme of work to support the delivery of the Education, Skills, and Work Teams’ priorities:</w:t>
            </w:r>
          </w:p>
          <w:p>
            <w:pPr>
              <w:pStyle w:val="Normal"/>
              <w:pBdr/>
              <w:spacing w:lineRule="auto" w:line="256" w:before="0" w:after="160"/>
              <w:contextualSpacing/>
              <w:rPr>
                <w:rFonts w:ascii="Arial" w:hAnsi="Arial" w:cs="Arial"/>
              </w:rPr>
            </w:pPr>
            <w:r>
              <w:rPr>
                <w:rFonts w:cs="Arial" w:ascii="Arial" w:hAnsi="Arial"/>
              </w:rPr>
            </w:r>
          </w:p>
          <w:p>
            <w:pPr>
              <w:pStyle w:val="Normal"/>
              <w:pBdr/>
              <w:spacing w:lineRule="auto" w:line="256" w:before="0" w:after="160"/>
              <w:contextualSpacing/>
              <w:rPr>
                <w:rFonts w:ascii="Arial" w:hAnsi="Arial" w:cs="Arial"/>
              </w:rPr>
            </w:pPr>
            <w:r>
              <w:rPr>
                <w:rFonts w:cs="Arial" w:ascii="Arial" w:hAnsi="Arial"/>
              </w:rPr>
              <w:t>Key responsibilities include:</w:t>
            </w:r>
          </w:p>
          <w:p>
            <w:pPr>
              <w:pStyle w:val="Normal"/>
              <w:pBdr/>
              <w:spacing w:lineRule="auto" w:line="256" w:before="0" w:after="160"/>
              <w:contextualSpacing/>
              <w:jc w:val="both"/>
              <w:rPr>
                <w:rFonts w:ascii="Arial" w:hAnsi="Arial" w:cs="Arial"/>
              </w:rPr>
            </w:pPr>
            <w:r>
              <w:rPr>
                <w:rFonts w:cs="Arial" w:ascii="Arial" w:hAnsi="Arial"/>
              </w:rPr>
            </w:r>
          </w:p>
          <w:p>
            <w:pPr>
              <w:pStyle w:val="Normal"/>
              <w:numPr>
                <w:ilvl w:val="0"/>
                <w:numId w:val="3"/>
              </w:numPr>
              <w:pBdr/>
              <w:jc w:val="both"/>
              <w:rPr>
                <w:rFonts w:ascii="Arial" w:hAnsi="Arial" w:cs="Arial"/>
              </w:rPr>
            </w:pPr>
            <w:r>
              <w:rPr>
                <w:rFonts w:cs="Arial" w:ascii="Arial" w:hAnsi="Arial"/>
              </w:rPr>
              <w:t>Providing leadership for the programme of work, motivating team members/stakeholders, ensuring that project scope and objectives are clearly articulated and understood.</w:t>
            </w:r>
          </w:p>
          <w:p>
            <w:pPr>
              <w:pStyle w:val="Normal"/>
              <w:numPr>
                <w:ilvl w:val="0"/>
                <w:numId w:val="3"/>
              </w:numPr>
              <w:pBdr/>
              <w:jc w:val="both"/>
              <w:rPr>
                <w:rFonts w:ascii="Arial" w:hAnsi="Arial" w:cs="Arial"/>
              </w:rPr>
            </w:pPr>
            <w:r>
              <w:rPr>
                <w:rFonts w:cs="Arial" w:ascii="Arial" w:hAnsi="Arial"/>
              </w:rPr>
              <w:t>Developing and monitoring programme and project plans and supporting documentation, and play a key role in developing and implementing clear governance arrangements, reporting against project delivery milestones across key stakeholders.</w:t>
            </w:r>
          </w:p>
          <w:p>
            <w:pPr>
              <w:pStyle w:val="ListParagraph"/>
              <w:numPr>
                <w:ilvl w:val="0"/>
                <w:numId w:val="3"/>
              </w:numPr>
              <w:pBdr/>
              <w:spacing w:lineRule="auto" w:line="256" w:before="0" w:after="160"/>
              <w:contextualSpacing/>
              <w:rPr>
                <w:sz w:val="24"/>
                <w:szCs w:val="24"/>
              </w:rPr>
            </w:pPr>
            <w:r>
              <w:rPr>
                <w:sz w:val="24"/>
                <w:szCs w:val="24"/>
              </w:rPr>
              <w:t xml:space="preserve">Working to deliver commissioning priorities, leading the commissioning of skills and work products and services from initiation through to delivery. </w:t>
            </w:r>
          </w:p>
          <w:p>
            <w:pPr>
              <w:pStyle w:val="ListParagraph"/>
              <w:numPr>
                <w:ilvl w:val="0"/>
                <w:numId w:val="3"/>
              </w:numPr>
              <w:pBdr/>
              <w:spacing w:lineRule="auto" w:line="256" w:before="0" w:after="0"/>
              <w:contextualSpacing/>
              <w:jc w:val="both"/>
              <w:rPr>
                <w:sz w:val="24"/>
                <w:szCs w:val="24"/>
              </w:rPr>
            </w:pPr>
            <w:r>
              <w:rPr>
                <w:sz w:val="24"/>
                <w:szCs w:val="24"/>
              </w:rPr>
              <w:t>Proactively overseeing the delivery of commissioned projects working closely with the contract monitoring team, ensuring providers deliver quality and outcomes, managing risk and taking appropriate action when progress or performance is not as expected.</w:t>
            </w:r>
          </w:p>
          <w:p>
            <w:pPr>
              <w:pStyle w:val="ListParagraph"/>
              <w:numPr>
                <w:ilvl w:val="0"/>
                <w:numId w:val="3"/>
              </w:numPr>
              <w:pBdr/>
              <w:spacing w:lineRule="auto" w:line="256" w:before="0" w:after="0"/>
              <w:contextualSpacing/>
              <w:jc w:val="both"/>
              <w:rPr/>
            </w:pPr>
            <w:r>
              <w:rPr>
                <w:sz w:val="24"/>
                <w:szCs w:val="24"/>
              </w:rPr>
              <w:t>Establishing, developing and fostering multiple relationships with stakeholders including</w:t>
            </w:r>
            <w:r>
              <w:rPr/>
              <w:t xml:space="preserve"> </w:t>
            </w:r>
            <w:r>
              <w:rPr>
                <w:sz w:val="24"/>
                <w:szCs w:val="24"/>
              </w:rPr>
              <w:t xml:space="preserve">GMCA and external colleagues in local authorities, Department for Education, sector bodies, employers and with training providers such as Colleges and Universities.  </w:t>
            </w:r>
            <w:r>
              <w:rPr>
                <w:sz w:val="24"/>
                <w:szCs w:val="24"/>
                <w:lang w:val="en"/>
              </w:rPr>
              <w:t xml:space="preserve"> </w:t>
            </w:r>
          </w:p>
          <w:p>
            <w:pPr>
              <w:pStyle w:val="ListParagraph"/>
              <w:numPr>
                <w:ilvl w:val="0"/>
                <w:numId w:val="3"/>
              </w:numPr>
              <w:pBdr/>
              <w:spacing w:lineRule="auto" w:line="256" w:before="0" w:after="160"/>
              <w:contextualSpacing/>
              <w:rPr>
                <w:sz w:val="24"/>
                <w:szCs w:val="24"/>
              </w:rPr>
            </w:pPr>
            <w:r>
              <w:rPr>
                <w:sz w:val="24"/>
                <w:szCs w:val="24"/>
              </w:rPr>
              <w:t xml:space="preserve">Analyzing, interpreting and synthesizing complex information from a range of sources for use in project, policy and strategy development, presenting this to a variety of audiences in appropriate formats, with the ability to respond to queries in relation to the information. </w:t>
            </w:r>
          </w:p>
          <w:p>
            <w:pPr>
              <w:pStyle w:val="ListParagraph"/>
              <w:numPr>
                <w:ilvl w:val="0"/>
                <w:numId w:val="3"/>
              </w:numPr>
              <w:pBdr/>
              <w:spacing w:lineRule="auto" w:line="256" w:before="0" w:after="160"/>
              <w:contextualSpacing/>
              <w:rPr>
                <w:sz w:val="24"/>
                <w:szCs w:val="24"/>
              </w:rPr>
            </w:pPr>
            <w:r>
              <w:rPr>
                <w:sz w:val="24"/>
                <w:szCs w:val="24"/>
              </w:rPr>
              <w:t xml:space="preserve">Supporting the development of devolution by participating in meetings with Government departments and the development of new projects as required. </w:t>
            </w:r>
          </w:p>
          <w:p>
            <w:pPr>
              <w:pStyle w:val="ListParagraph"/>
              <w:numPr>
                <w:ilvl w:val="0"/>
                <w:numId w:val="3"/>
              </w:numPr>
              <w:pBdr/>
              <w:spacing w:lineRule="auto" w:line="256" w:before="0" w:after="160"/>
              <w:contextualSpacing/>
              <w:rPr>
                <w:sz w:val="24"/>
                <w:szCs w:val="24"/>
              </w:rPr>
            </w:pPr>
            <w:r>
              <w:rPr>
                <w:sz w:val="24"/>
                <w:szCs w:val="24"/>
              </w:rPr>
              <w:t xml:space="preserve">Overall financial management of the Skills Bootcamps Programme Budget. </w:t>
            </w:r>
          </w:p>
          <w:p>
            <w:pPr>
              <w:pStyle w:val="ListParagraph"/>
              <w:numPr>
                <w:ilvl w:val="0"/>
                <w:numId w:val="3"/>
              </w:numPr>
              <w:pBdr/>
              <w:spacing w:lineRule="auto" w:line="256" w:before="0" w:after="160"/>
              <w:contextualSpacing/>
              <w:rPr>
                <w:sz w:val="24"/>
                <w:szCs w:val="24"/>
              </w:rPr>
            </w:pPr>
            <w:r>
              <w:rPr>
                <w:sz w:val="24"/>
                <w:szCs w:val="24"/>
              </w:rPr>
              <w:t>Writing relevant reports and papers for GMCA and other governance meetings.</w:t>
            </w:r>
          </w:p>
          <w:p>
            <w:pPr>
              <w:pStyle w:val="ListParagraph"/>
              <w:numPr>
                <w:ilvl w:val="0"/>
                <w:numId w:val="3"/>
              </w:numPr>
              <w:pBdr/>
              <w:spacing w:lineRule="auto" w:line="256" w:before="0" w:after="160"/>
              <w:contextualSpacing/>
              <w:rPr>
                <w:sz w:val="24"/>
                <w:szCs w:val="24"/>
              </w:rPr>
            </w:pPr>
            <w:r>
              <w:rPr>
                <w:sz w:val="24"/>
                <w:szCs w:val="24"/>
              </w:rPr>
              <w:t xml:space="preserve">Deputising for Principal Managers at meetings including chairing. </w:t>
            </w:r>
          </w:p>
          <w:p>
            <w:pPr>
              <w:pStyle w:val="ListParagraph"/>
              <w:numPr>
                <w:ilvl w:val="0"/>
                <w:numId w:val="3"/>
              </w:numPr>
              <w:pBdr/>
              <w:spacing w:lineRule="auto" w:line="256" w:before="0" w:after="160"/>
              <w:contextualSpacing/>
              <w:rPr>
                <w:sz w:val="24"/>
                <w:szCs w:val="24"/>
              </w:rPr>
            </w:pPr>
            <w:r>
              <w:rPr>
                <w:sz w:val="24"/>
                <w:szCs w:val="24"/>
              </w:rPr>
              <w:t>Being responsible for contributing to the identification of own personal development needs and demonstrate a commitment to continuous self-development.</w:t>
            </w:r>
          </w:p>
          <w:p>
            <w:pPr>
              <w:pStyle w:val="ListParagraph"/>
              <w:numPr>
                <w:ilvl w:val="0"/>
                <w:numId w:val="3"/>
              </w:numPr>
              <w:pBdr/>
              <w:spacing w:lineRule="auto" w:line="256" w:before="0" w:after="160"/>
              <w:contextualSpacing/>
              <w:rPr>
                <w:sz w:val="24"/>
                <w:szCs w:val="24"/>
              </w:rPr>
            </w:pPr>
            <w:r>
              <w:rPr>
                <w:sz w:val="24"/>
                <w:szCs w:val="24"/>
              </w:rPr>
              <w:t>Other duties as determined by the line manager commensurate with the level of the post.</w:t>
            </w:r>
          </w:p>
        </w:tc>
      </w:tr>
    </w:tbl>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18" w:right="261" w:hanging="0"/>
              <w:rPr>
                <w:b/>
                <w:b/>
                <w:bCs/>
                <w:color w:val="FFFFFF"/>
                <w:sz w:val="24"/>
                <w:szCs w:val="24"/>
                <w:u w:val="none" w:color="FFFFFF"/>
              </w:rPr>
            </w:pPr>
            <w:r>
              <w:rPr>
                <w:b/>
                <w:bCs/>
                <w:color w:val="FFFFFF"/>
                <w:sz w:val="24"/>
                <w:szCs w:val="24"/>
                <w:u w:val="none" w:color="FFFFFF"/>
              </w:rPr>
              <w:t>KNOWLEDGE, SKILLS AND EXPERIENCE</w:t>
            </w:r>
          </w:p>
        </w:tc>
      </w:tr>
      <w:tr>
        <w:trPr>
          <w:trHeight w:val="9095"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Normal"/>
              <w:pBdr/>
              <w:rPr>
                <w:rFonts w:ascii="Arial" w:hAnsi="Arial" w:eastAsia="Calibri" w:cs="Arial"/>
                <w:b/>
                <w:b/>
                <w:lang w:val="en-GB" w:eastAsia="en-GB"/>
              </w:rPr>
            </w:pPr>
            <w:r>
              <w:rPr>
                <w:rFonts w:eastAsia="Calibri" w:cs="Arial" w:ascii="Arial" w:hAnsi="Arial"/>
                <w:b/>
                <w:lang w:val="en-GB" w:eastAsia="en-GB"/>
              </w:rPr>
              <w:t>Experience</w:t>
            </w:r>
          </w:p>
          <w:p>
            <w:pPr>
              <w:pStyle w:val="ListParagraph"/>
              <w:numPr>
                <w:ilvl w:val="0"/>
                <w:numId w:val="2"/>
              </w:numPr>
              <w:pBdr/>
              <w:spacing w:before="120" w:after="0"/>
              <w:rPr>
                <w:color w:val="auto"/>
                <w:sz w:val="24"/>
                <w:szCs w:val="24"/>
              </w:rPr>
            </w:pPr>
            <w:r>
              <w:rPr>
                <w:color w:val="auto"/>
                <w:sz w:val="24"/>
                <w:szCs w:val="24"/>
              </w:rPr>
              <w:t>Experience of working in a skills, employment, or business development environment.</w:t>
            </w:r>
          </w:p>
          <w:p>
            <w:pPr>
              <w:pStyle w:val="ListParagraph"/>
              <w:numPr>
                <w:ilvl w:val="0"/>
                <w:numId w:val="2"/>
              </w:numPr>
              <w:pBdr/>
              <w:rPr>
                <w:sz w:val="24"/>
                <w:szCs w:val="24"/>
              </w:rPr>
            </w:pPr>
            <w:r>
              <w:rPr>
                <w:sz w:val="24"/>
                <w:szCs w:val="24"/>
              </w:rPr>
              <w:t xml:space="preserve">Experience of managing programmes and/or projects using programme/project management methodologies and techniques. </w:t>
            </w:r>
          </w:p>
          <w:p>
            <w:pPr>
              <w:pStyle w:val="ListParagraph"/>
              <w:numPr>
                <w:ilvl w:val="0"/>
                <w:numId w:val="2"/>
              </w:numPr>
              <w:pBdr/>
              <w:rPr>
                <w:sz w:val="24"/>
                <w:szCs w:val="24"/>
              </w:rPr>
            </w:pPr>
            <w:r>
              <w:rPr>
                <w:sz w:val="24"/>
                <w:szCs w:val="24"/>
              </w:rPr>
              <w:t>Experience of working on programmes and/or projects with multiple stakeholders from different teams and/or organisations and cultures.</w:t>
            </w:r>
          </w:p>
          <w:p>
            <w:pPr>
              <w:pStyle w:val="ListParagraph"/>
              <w:numPr>
                <w:ilvl w:val="0"/>
                <w:numId w:val="2"/>
              </w:numPr>
              <w:pBdr/>
              <w:rPr>
                <w:sz w:val="24"/>
                <w:szCs w:val="24"/>
              </w:rPr>
            </w:pPr>
            <w:r>
              <w:rPr>
                <w:sz w:val="24"/>
                <w:szCs w:val="24"/>
              </w:rPr>
              <w:t xml:space="preserve">Experience of commissioning and/ or developing products and services, including working with employment and skills providers.  </w:t>
            </w:r>
          </w:p>
          <w:p>
            <w:pPr>
              <w:pStyle w:val="Normal"/>
              <w:numPr>
                <w:ilvl w:val="0"/>
                <w:numId w:val="2"/>
              </w:numPr>
              <w:pBdr/>
              <w:rPr>
                <w:rFonts w:ascii="Arial" w:hAnsi="Arial" w:cs="Arial"/>
              </w:rPr>
            </w:pPr>
            <w:r>
              <w:rPr>
                <w:rFonts w:cs="Arial" w:ascii="Arial" w:hAnsi="Arial"/>
              </w:rPr>
              <w:t xml:space="preserve">Experience of analysing government policy, translating to the local education skills, and work landscape and communicating implications to key partners. </w:t>
            </w:r>
          </w:p>
          <w:p>
            <w:pPr>
              <w:pStyle w:val="Normal"/>
              <w:numPr>
                <w:ilvl w:val="0"/>
                <w:numId w:val="2"/>
              </w:numPr>
              <w:pBdr/>
              <w:rPr>
                <w:rFonts w:ascii="Arial" w:hAnsi="Arial" w:cs="Arial"/>
              </w:rPr>
            </w:pPr>
            <w:r>
              <w:rPr>
                <w:rFonts w:cs="Arial" w:ascii="Arial" w:hAnsi="Arial"/>
              </w:rPr>
              <w:t>Proven ability to influence and develop joint objectives with stakeholders and decision makers, and collaboratively achieve those objectives through partnership working.</w:t>
            </w:r>
          </w:p>
          <w:p>
            <w:pPr>
              <w:pStyle w:val="Normal"/>
              <w:pBdr/>
              <w:rPr>
                <w:rFonts w:ascii="Arial" w:hAnsi="Arial" w:eastAsia="Calibri" w:cs="Arial"/>
                <w:b/>
                <w:b/>
                <w:lang w:val="en-GB" w:eastAsia="en-GB"/>
              </w:rPr>
            </w:pPr>
            <w:r>
              <w:rPr>
                <w:rFonts w:eastAsia="Calibri" w:cs="Arial" w:ascii="Arial" w:hAnsi="Arial"/>
                <w:b/>
                <w:lang w:val="en-GB" w:eastAsia="en-GB"/>
              </w:rPr>
            </w:r>
          </w:p>
          <w:p>
            <w:pPr>
              <w:pStyle w:val="Normal"/>
              <w:pBdr/>
              <w:rPr>
                <w:rFonts w:ascii="Arial" w:hAnsi="Arial" w:eastAsia="Calibri" w:cs="Arial"/>
                <w:b/>
                <w:b/>
                <w:lang w:val="en-GB" w:eastAsia="en-GB"/>
              </w:rPr>
            </w:pPr>
            <w:r>
              <w:rPr>
                <w:rFonts w:eastAsia="Calibri" w:cs="Arial" w:ascii="Arial" w:hAnsi="Arial"/>
                <w:b/>
                <w:lang w:val="en-GB" w:eastAsia="en-GB"/>
              </w:rPr>
              <w:t>Knowledge and Skills</w:t>
            </w:r>
          </w:p>
          <w:p>
            <w:pPr>
              <w:pStyle w:val="ListParagraph"/>
              <w:numPr>
                <w:ilvl w:val="0"/>
                <w:numId w:val="2"/>
              </w:numPr>
              <w:pBdr/>
              <w:ind w:left="714" w:right="0" w:hanging="357"/>
              <w:jc w:val="both"/>
              <w:rPr>
                <w:sz w:val="24"/>
                <w:szCs w:val="24"/>
              </w:rPr>
            </w:pPr>
            <w:r>
              <w:rPr>
                <w:sz w:val="24"/>
                <w:szCs w:val="24"/>
              </w:rPr>
              <w:t>Ability to work at a senior level in a complex environment building effective relationships with multiple stakeholders from different organisations and cultures, taking responsibility for ensuring commitments are followed through and impact delivered.</w:t>
            </w:r>
          </w:p>
          <w:p>
            <w:pPr>
              <w:pStyle w:val="Normal"/>
              <w:numPr>
                <w:ilvl w:val="0"/>
                <w:numId w:val="2"/>
              </w:numPr>
              <w:pBdr/>
              <w:ind w:left="714" w:right="0" w:hanging="357"/>
              <w:jc w:val="both"/>
              <w:rPr>
                <w:rFonts w:ascii="Arial" w:hAnsi="Arial" w:cs="Arial"/>
              </w:rPr>
            </w:pPr>
            <w:r>
              <w:rPr>
                <w:rFonts w:cs="Arial" w:ascii="Arial" w:hAnsi="Arial"/>
              </w:rPr>
              <w:t xml:space="preserve">Strategic thinking and Planning: able to work collaboratively to translate strategic and conceptual thinking into tangible proposals and practical well-organized plans. </w:t>
            </w:r>
          </w:p>
          <w:p>
            <w:pPr>
              <w:pStyle w:val="Normal"/>
              <w:numPr>
                <w:ilvl w:val="0"/>
                <w:numId w:val="2"/>
              </w:numPr>
              <w:pBdr/>
              <w:ind w:left="714" w:right="0" w:hanging="357"/>
              <w:jc w:val="both"/>
              <w:rPr>
                <w:rFonts w:ascii="Arial" w:hAnsi="Arial" w:cs="Arial"/>
              </w:rPr>
            </w:pPr>
            <w:r>
              <w:rPr>
                <w:rFonts w:cs="Arial" w:ascii="Arial" w:hAnsi="Arial"/>
              </w:rPr>
              <w:t>Programme Management: able to define and manage through to implementation multiple, complex projects with significant business impact, and high-risk dependencies.</w:t>
            </w:r>
          </w:p>
          <w:p>
            <w:pPr>
              <w:pStyle w:val="Normal"/>
              <w:numPr>
                <w:ilvl w:val="0"/>
                <w:numId w:val="2"/>
              </w:numPr>
              <w:pBdr/>
              <w:ind w:left="714" w:right="0" w:hanging="357"/>
              <w:jc w:val="both"/>
              <w:rPr>
                <w:rFonts w:ascii="Arial" w:hAnsi="Arial" w:cs="Arial"/>
              </w:rPr>
            </w:pPr>
            <w:r>
              <w:rPr>
                <w:rFonts w:cs="Arial" w:ascii="Arial" w:hAnsi="Arial"/>
              </w:rPr>
              <w:t xml:space="preserve">Communication and Influence: ability to influence and persuade internal or external stakeholders, securing and directing necessary commitment to deliver results. </w:t>
            </w:r>
          </w:p>
          <w:p>
            <w:pPr>
              <w:pStyle w:val="Normal"/>
              <w:numPr>
                <w:ilvl w:val="0"/>
                <w:numId w:val="2"/>
              </w:numPr>
              <w:pBdr/>
              <w:ind w:left="714" w:right="0" w:hanging="357"/>
              <w:jc w:val="both"/>
              <w:rPr>
                <w:rFonts w:ascii="Arial" w:hAnsi="Arial" w:cs="Arial"/>
              </w:rPr>
            </w:pPr>
            <w:r>
              <w:rPr>
                <w:rFonts w:cs="Arial" w:ascii="Arial" w:hAnsi="Arial"/>
              </w:rPr>
              <w:t>Commissioning Skills: demonstrates sound business intelligence and understanding of the commissioning cycle with ability to identify commercially viable opportunities and secure value for money in product and service delivery.</w:t>
            </w:r>
          </w:p>
          <w:p>
            <w:pPr>
              <w:pStyle w:val="Normal"/>
              <w:numPr>
                <w:ilvl w:val="0"/>
                <w:numId w:val="2"/>
              </w:numPr>
              <w:pBdr/>
              <w:ind w:left="714" w:right="0" w:hanging="357"/>
              <w:jc w:val="both"/>
              <w:rPr>
                <w:rFonts w:ascii="Arial" w:hAnsi="Arial" w:cs="Arial"/>
              </w:rPr>
            </w:pPr>
            <w:r>
              <w:rPr>
                <w:rFonts w:cs="Arial" w:ascii="Arial" w:hAnsi="Arial"/>
              </w:rPr>
              <w:t>Analytical Skills: Ability to review and interpret research, evidence, policy and strategy and synthesise for a range of audiences in a range of formats.</w:t>
            </w:r>
          </w:p>
          <w:p>
            <w:pPr>
              <w:pStyle w:val="Normal"/>
              <w:numPr>
                <w:ilvl w:val="0"/>
                <w:numId w:val="2"/>
              </w:numPr>
              <w:pBdr/>
              <w:ind w:left="714" w:right="0" w:hanging="357"/>
              <w:jc w:val="both"/>
              <w:rPr>
                <w:rFonts w:ascii="Arial" w:hAnsi="Arial" w:cs="Arial"/>
              </w:rPr>
            </w:pPr>
            <w:r>
              <w:rPr>
                <w:rFonts w:cs="Arial" w:ascii="Arial" w:hAnsi="Arial"/>
              </w:rPr>
              <w:t xml:space="preserve">Financial Management: excellent financial planning skills to develop short, medium and long term financial plans with an ability to budget proactively. </w:t>
            </w:r>
          </w:p>
          <w:p>
            <w:pPr>
              <w:pStyle w:val="Normal"/>
              <w:numPr>
                <w:ilvl w:val="0"/>
                <w:numId w:val="2"/>
              </w:numPr>
              <w:pBdr/>
              <w:ind w:left="714" w:right="0" w:hanging="357"/>
              <w:jc w:val="both"/>
              <w:rPr>
                <w:rFonts w:ascii="Arial" w:hAnsi="Arial" w:cs="Arial"/>
              </w:rPr>
            </w:pPr>
            <w:r>
              <w:rPr>
                <w:rFonts w:cs="Arial" w:ascii="Arial" w:hAnsi="Arial"/>
              </w:rPr>
              <w:t xml:space="preserve">Excellent written, IT and presentation skills; capable of constructing and delivering clear ideas and concepts concisely and accurately for diverse audiences. </w:t>
            </w:r>
          </w:p>
          <w:p>
            <w:pPr>
              <w:pStyle w:val="Normal"/>
              <w:numPr>
                <w:ilvl w:val="0"/>
                <w:numId w:val="2"/>
              </w:numPr>
              <w:pBdr/>
              <w:ind w:left="714" w:right="0" w:hanging="357"/>
              <w:jc w:val="both"/>
              <w:rPr>
                <w:rFonts w:ascii="Arial" w:hAnsi="Arial" w:cs="Arial"/>
              </w:rPr>
            </w:pPr>
            <w:r>
              <w:rPr>
                <w:rFonts w:cs="Arial" w:ascii="Arial" w:hAnsi="Arial"/>
              </w:rPr>
              <w:t>Knowledge and understanding of national and regional employment and skills priorities including the skills challenges faced by businesses in key growth sectors.</w:t>
            </w:r>
          </w:p>
          <w:p>
            <w:pPr>
              <w:pStyle w:val="Normal"/>
              <w:numPr>
                <w:ilvl w:val="0"/>
                <w:numId w:val="2"/>
              </w:numPr>
              <w:pBdr/>
              <w:ind w:left="714" w:right="0" w:hanging="357"/>
              <w:jc w:val="both"/>
              <w:rPr>
                <w:rFonts w:ascii="Arial" w:hAnsi="Arial" w:cs="Arial"/>
              </w:rPr>
            </w:pPr>
            <w:r>
              <w:rPr>
                <w:rFonts w:cs="Arial" w:ascii="Arial" w:hAnsi="Arial"/>
              </w:rPr>
              <w:t>Knowledge and awareness of the current opportunities and issues facing local government and the wider public sector.</w:t>
            </w:r>
          </w:p>
          <w:p>
            <w:pPr>
              <w:pStyle w:val="Normal"/>
              <w:numPr>
                <w:ilvl w:val="0"/>
                <w:numId w:val="2"/>
              </w:numPr>
              <w:pBdr/>
              <w:ind w:left="714" w:right="0" w:hanging="357"/>
              <w:jc w:val="both"/>
              <w:rPr>
                <w:rFonts w:ascii="Arial" w:hAnsi="Arial" w:cs="Arial"/>
              </w:rPr>
            </w:pPr>
            <w:r>
              <w:rPr>
                <w:rFonts w:cs="Arial" w:ascii="Arial" w:hAnsi="Arial"/>
              </w:rPr>
              <w:t xml:space="preserve">Personally, well organized with the ability to identify and work to priorities. </w:t>
            </w:r>
          </w:p>
          <w:p>
            <w:pPr>
              <w:pStyle w:val="Normal"/>
              <w:pBdr/>
              <w:ind w:left="360" w:right="0" w:hanging="0"/>
              <w:rPr>
                <w:rFonts w:ascii="Arial" w:hAnsi="Arial" w:eastAsia="Calibri" w:cs="Arial"/>
                <w:lang w:val="en-GB" w:eastAsia="en-GB"/>
              </w:rPr>
            </w:pPr>
            <w:r>
              <w:rPr>
                <w:rFonts w:eastAsia="Calibri" w:cs="Arial" w:ascii="Arial" w:hAnsi="Arial"/>
                <w:lang w:val="en-GB" w:eastAsia="en-GB"/>
              </w:rPr>
            </w:r>
          </w:p>
        </w:tc>
      </w:tr>
    </w:tbl>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p>
      <w:pPr>
        <w:pStyle w:val="Body"/>
        <w:pBdr/>
        <w:ind w:left="0" w:right="261" w:hanging="0"/>
        <w:rPr>
          <w:b/>
          <w:b/>
          <w:bCs/>
          <w:iCs/>
          <w:sz w:val="24"/>
          <w:szCs w:val="24"/>
        </w:rPr>
      </w:pPr>
      <w:r>
        <w:rPr>
          <w:b/>
          <w:bCs/>
          <w:iCs/>
          <w:sz w:val="24"/>
          <w:szCs w:val="24"/>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18" w:right="261" w:hanging="0"/>
              <w:rPr>
                <w:b/>
                <w:b/>
                <w:bCs/>
                <w:color w:val="FFFFFF"/>
                <w:sz w:val="24"/>
                <w:szCs w:val="24"/>
                <w:u w:val="none" w:color="FFFFFF"/>
              </w:rPr>
            </w:pPr>
            <w:r>
              <w:rPr>
                <w:b/>
                <w:bCs/>
                <w:color w:val="FFFFFF"/>
                <w:sz w:val="24"/>
                <w:szCs w:val="24"/>
                <w:u w:val="none" w:color="FFFFFF"/>
              </w:rPr>
              <w:t>VALUES AND BEHAVIOURS</w:t>
            </w:r>
          </w:p>
        </w:tc>
      </w:tr>
      <w:tr>
        <w:trPr>
          <w:trHeight w:val="23"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ListParagraph"/>
              <w:numPr>
                <w:ilvl w:val="0"/>
                <w:numId w:val="4"/>
              </w:numPr>
              <w:pBdr/>
              <w:ind w:left="714" w:right="0" w:hanging="357"/>
              <w:rPr>
                <w:sz w:val="24"/>
                <w:szCs w:val="24"/>
                <w:lang w:val="en-GB" w:eastAsia="en-GB"/>
              </w:rPr>
            </w:pPr>
            <w:r>
              <w:rPr>
                <w:sz w:val="24"/>
                <w:szCs w:val="24"/>
                <w:lang w:val="en-GB" w:eastAsia="en-GB"/>
              </w:rPr>
              <w:t>A desire to network internally across the organisation and to build visibility externally.</w:t>
            </w:r>
          </w:p>
          <w:p>
            <w:pPr>
              <w:pStyle w:val="ListParagraph"/>
              <w:numPr>
                <w:ilvl w:val="0"/>
                <w:numId w:val="4"/>
              </w:numPr>
              <w:pBdr/>
              <w:ind w:left="714" w:right="0" w:hanging="357"/>
              <w:rPr>
                <w:sz w:val="24"/>
                <w:szCs w:val="24"/>
                <w:lang w:val="en-GB" w:eastAsia="en-GB"/>
              </w:rPr>
            </w:pPr>
            <w:r>
              <w:rPr>
                <w:sz w:val="24"/>
                <w:szCs w:val="24"/>
                <w:lang w:val="en-GB" w:eastAsia="en-GB"/>
              </w:rPr>
              <w:t>Committed to public service and delivering high quality programmes and projects that improve outcomes for the residents of Greater Manchester.</w:t>
            </w:r>
          </w:p>
          <w:p>
            <w:pPr>
              <w:pStyle w:val="ListParagraph"/>
              <w:numPr>
                <w:ilvl w:val="0"/>
                <w:numId w:val="4"/>
              </w:numPr>
              <w:pBdr/>
              <w:ind w:left="714" w:right="0" w:hanging="357"/>
              <w:rPr>
                <w:sz w:val="24"/>
                <w:szCs w:val="24"/>
                <w:lang w:val="en-GB" w:eastAsia="en-GB"/>
              </w:rPr>
            </w:pPr>
            <w:r>
              <w:rPr>
                <w:sz w:val="24"/>
                <w:szCs w:val="24"/>
                <w:lang w:val="en-GB" w:eastAsia="en-GB"/>
              </w:rPr>
              <w:t>High standard of integrity and the ability to maintain professional standards.</w:t>
            </w:r>
          </w:p>
          <w:p>
            <w:pPr>
              <w:pStyle w:val="ListParagraph"/>
              <w:numPr>
                <w:ilvl w:val="0"/>
                <w:numId w:val="4"/>
              </w:numPr>
              <w:pBdr/>
              <w:ind w:left="714" w:right="0" w:hanging="357"/>
              <w:rPr>
                <w:sz w:val="24"/>
                <w:szCs w:val="24"/>
                <w:lang w:val="en-GB" w:eastAsia="en-GB"/>
              </w:rPr>
            </w:pPr>
            <w:r>
              <w:rPr>
                <w:sz w:val="24"/>
                <w:szCs w:val="24"/>
                <w:lang w:val="en-GB" w:eastAsia="en-GB"/>
              </w:rPr>
              <w:t>Understanding of and commitment to promotion of equality and diversity.</w:t>
            </w:r>
          </w:p>
          <w:p>
            <w:pPr>
              <w:pStyle w:val="ListParagraph"/>
              <w:numPr>
                <w:ilvl w:val="0"/>
                <w:numId w:val="4"/>
              </w:numPr>
              <w:pBdr/>
              <w:ind w:left="714" w:right="0" w:hanging="357"/>
              <w:rPr>
                <w:sz w:val="24"/>
                <w:szCs w:val="24"/>
                <w:lang w:val="en-GB" w:eastAsia="en-GB"/>
              </w:rPr>
            </w:pPr>
            <w:r>
              <w:rPr>
                <w:sz w:val="24"/>
                <w:szCs w:val="24"/>
                <w:lang w:val="en-GB" w:eastAsia="en-GB"/>
              </w:rPr>
              <w:t xml:space="preserve">A desire to learn, welcomes constructive challenge and reflects on own practice. </w:t>
            </w:r>
          </w:p>
          <w:p>
            <w:pPr>
              <w:pStyle w:val="ListParagraph"/>
              <w:numPr>
                <w:ilvl w:val="0"/>
                <w:numId w:val="4"/>
              </w:numPr>
              <w:pBdr/>
              <w:ind w:left="714" w:right="0" w:hanging="357"/>
              <w:rPr>
                <w:sz w:val="24"/>
                <w:szCs w:val="24"/>
                <w:lang w:val="en-GB" w:eastAsia="en-GB"/>
              </w:rPr>
            </w:pPr>
            <w:r>
              <w:rPr>
                <w:sz w:val="24"/>
                <w:szCs w:val="24"/>
                <w:lang w:val="en-GB" w:eastAsia="en-GB"/>
              </w:rPr>
              <w:t>Capacity to cope with challenges, pressures and setbacks.</w:t>
            </w:r>
          </w:p>
          <w:p>
            <w:pPr>
              <w:pStyle w:val="ListParagraph"/>
              <w:numPr>
                <w:ilvl w:val="0"/>
                <w:numId w:val="4"/>
              </w:numPr>
              <w:pBdr/>
              <w:ind w:left="714" w:right="0" w:hanging="357"/>
              <w:rPr>
                <w:sz w:val="24"/>
                <w:szCs w:val="24"/>
                <w:lang w:val="en-GB" w:eastAsia="en-GB"/>
              </w:rPr>
            </w:pPr>
            <w:r>
              <w:rPr>
                <w:sz w:val="24"/>
                <w:szCs w:val="24"/>
                <w:lang w:val="en-GB" w:eastAsia="en-GB"/>
              </w:rPr>
              <w:t xml:space="preserve">A high degree of initiative and flexibility. </w:t>
            </w:r>
          </w:p>
          <w:p>
            <w:pPr>
              <w:pStyle w:val="ListParagraph"/>
              <w:numPr>
                <w:ilvl w:val="0"/>
                <w:numId w:val="4"/>
              </w:numPr>
              <w:pBdr/>
              <w:ind w:left="714" w:right="0" w:hanging="357"/>
              <w:rPr>
                <w:sz w:val="24"/>
                <w:szCs w:val="24"/>
                <w:lang w:val="en-GB" w:eastAsia="en-GB"/>
              </w:rPr>
            </w:pPr>
            <w:r>
              <w:rPr>
                <w:sz w:val="24"/>
                <w:szCs w:val="24"/>
                <w:lang w:val="en-GB" w:eastAsia="en-GB"/>
              </w:rPr>
              <w:t xml:space="preserve">High level of attention to detail and a strong commitment to high quality work. </w:t>
            </w:r>
          </w:p>
          <w:p>
            <w:pPr>
              <w:pStyle w:val="ListParagraph"/>
              <w:numPr>
                <w:ilvl w:val="0"/>
                <w:numId w:val="4"/>
              </w:numPr>
              <w:pBdr/>
              <w:ind w:left="714" w:right="0" w:hanging="357"/>
              <w:rPr>
                <w:sz w:val="24"/>
                <w:szCs w:val="24"/>
                <w:lang w:val="en-GB" w:eastAsia="en-GB"/>
              </w:rPr>
            </w:pPr>
            <w:r>
              <w:rPr>
                <w:sz w:val="24"/>
                <w:szCs w:val="24"/>
                <w:lang w:val="en-GB" w:eastAsia="en-GB"/>
              </w:rPr>
              <w:t>Works with care and consideration for others.</w:t>
            </w:r>
          </w:p>
          <w:p>
            <w:pPr>
              <w:pStyle w:val="ListParagraph"/>
              <w:numPr>
                <w:ilvl w:val="0"/>
                <w:numId w:val="4"/>
              </w:numPr>
              <w:pBdr/>
              <w:ind w:left="714" w:right="0" w:hanging="357"/>
              <w:rPr>
                <w:sz w:val="24"/>
                <w:szCs w:val="24"/>
                <w:lang w:val="en-GB" w:eastAsia="en-GB"/>
              </w:rPr>
            </w:pPr>
            <w:r>
              <w:rPr>
                <w:sz w:val="24"/>
                <w:szCs w:val="24"/>
                <w:lang w:val="en-GB" w:eastAsia="en-GB"/>
              </w:rPr>
              <w:t>Politically astute.</w:t>
            </w:r>
          </w:p>
        </w:tc>
      </w:tr>
    </w:tbl>
    <w:p>
      <w:pPr>
        <w:pStyle w:val="Body"/>
        <w:pBdr/>
        <w:ind w:left="0" w:right="261" w:hanging="0"/>
        <w:rPr/>
      </w:pPr>
      <w:r>
        <w:rPr/>
      </w:r>
    </w:p>
    <w:sectPr>
      <w:headerReference w:type="default" r:id="rId3"/>
      <w:headerReference w:type="first" r:id="rId4"/>
      <w:footerReference w:type="default" r:id="rId5"/>
      <w:footerReference w:type="first" r:id="rId6"/>
      <w:type w:val="nextPage"/>
      <w:pgSz w:w="11906" w:h="16838"/>
      <w:pgMar w:left="1440" w:right="1440" w:header="227" w:top="567" w:footer="144" w:bottom="79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Book Antiqua">
    <w:charset w:val="00"/>
    <w:family w:val="roman"/>
    <w:pitch w:val="variable"/>
  </w:font>
  <w:font w:name="Liberation Sans">
    <w:altName w:val="Arial"/>
    <w:charset w:val="00"/>
    <w:family w:val="swiss"/>
    <w:pitch w:val="variable"/>
  </w:font>
  <w:font w:name="Tahoma">
    <w:charset w:val="00"/>
    <w:family w:val="roman"/>
    <w:pitch w:val="variable"/>
  </w:font>
  <w:font w:name="Frutiger LT St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4</w:t>
    </w:r>
    <w:r>
      <w:rPr/>
      <w:fldChar w:fldCharType="end"/>
    </w:r>
  </w:p>
  <w:p>
    <w:pPr>
      <w:pStyle w:val="Footer"/>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927"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o"/>
      <w:lvlJc w:val="left"/>
      <w:pPr>
        <w:ind w:left="720" w:hanging="360"/>
      </w:pPr>
      <w:rPr>
        <w:rFonts w:ascii="Courier New" w:hAnsi="Courier New" w:cs="Courier New" w:hint="default"/>
        <w:sz w:val="24"/>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Cambria"/>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Cambria"/>
      <w:b/>
      <w:bCs/>
      <w:color w:val="4F81BD"/>
      <w:sz w:val="26"/>
      <w:szCs w:val="26"/>
    </w:rPr>
  </w:style>
  <w:style w:type="paragraph" w:styleId="Heading3">
    <w:name w:val="Heading 3"/>
    <w:basedOn w:val="Normal"/>
    <w:next w:val="Body"/>
    <w:qFormat/>
    <w:pPr>
      <w:keepNext w:val="true"/>
      <w:numPr>
        <w:ilvl w:val="2"/>
        <w:numId w:val="1"/>
      </w:numPr>
      <w:outlineLvl w:val="2"/>
    </w:pPr>
    <w:rPr>
      <w:rFonts w:ascii="Arial" w:hAnsi="Arial" w:eastAsia="Calibri" w:cs="Arial"/>
      <w:b/>
      <w:bCs/>
      <w:color w:val="FFFFFF"/>
      <w:u w:val="none" w:color="FFFFFF"/>
    </w:rPr>
  </w:style>
  <w:style w:type="paragraph" w:styleId="Heading6">
    <w:name w:val="Heading 6"/>
    <w:basedOn w:val="Normal"/>
    <w:next w:val="Normal"/>
    <w:qFormat/>
    <w:pPr>
      <w:keepNext w:val="true"/>
      <w:keepLines/>
      <w:numPr>
        <w:ilvl w:val="5"/>
        <w:numId w:val="1"/>
      </w:numPr>
      <w:spacing w:before="40" w:after="0"/>
      <w:outlineLvl w:val="5"/>
    </w:pPr>
    <w:rPr>
      <w:rFonts w:ascii="Cambria" w:hAnsi="Cambria" w:eastAsia="ＭＳ ゴシック" w:cs=""/>
      <w:color w:val="243F6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ourier New" w:hAnsi="Courier New" w:cs="Courier New"/>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lang w:val="en-US"/>
    </w:rPr>
  </w:style>
  <w:style w:type="character" w:styleId="Heading2Char">
    <w:name w:val="Heading 2 Char"/>
    <w:basedOn w:val="DefaultParagraphFont"/>
    <w:qFormat/>
    <w:rPr>
      <w:rFonts w:ascii="Cambria" w:hAnsi="Cambria" w:cs="Times New Roman"/>
      <w:b/>
      <w:bCs/>
      <w:color w:val="4F81BD"/>
      <w:sz w:val="26"/>
      <w:szCs w:val="26"/>
      <w:lang w:val="en-US"/>
    </w:rPr>
  </w:style>
  <w:style w:type="character" w:styleId="Heading3Char">
    <w:name w:val="Heading 3 Char"/>
    <w:basedOn w:val="DefaultParagraphFont"/>
    <w:qFormat/>
    <w:rPr>
      <w:rFonts w:ascii="Arial" w:hAnsi="Arial" w:eastAsia="Times New Roman" w:cs="Arial"/>
      <w:b/>
      <w:bCs/>
      <w:color w:val="FFFFFF"/>
      <w:sz w:val="24"/>
      <w:szCs w:val="24"/>
      <w:u w:val="none" w:color="FFFFFF"/>
      <w:lang w:val="en-US" w:eastAsia="en-US" w:bidi="ar-SA"/>
    </w:rPr>
  </w:style>
  <w:style w:type="character" w:styleId="HeaderChar">
    <w:name w:val="Header Char"/>
    <w:basedOn w:val="DefaultParagraphFont"/>
    <w:qFormat/>
    <w:rPr>
      <w:rFonts w:ascii="Arial" w:hAnsi="Arial" w:eastAsia="Times New Roman" w:cs="Arial"/>
      <w:color w:val="000000"/>
      <w:sz w:val="22"/>
      <w:szCs w:val="22"/>
      <w:u w:val="none" w:color="000000"/>
      <w:lang w:val="en-US" w:eastAsia="en-US" w:bidi="ar-SA"/>
    </w:rPr>
  </w:style>
  <w:style w:type="character" w:styleId="FooterChar">
    <w:name w:val="Footer Char"/>
    <w:basedOn w:val="DefaultParagraphFont"/>
    <w:qFormat/>
    <w:rPr>
      <w:rFonts w:ascii="Arial" w:hAnsi="Arial" w:eastAsia="Times New Roman" w:cs="Arial"/>
      <w:color w:val="000000"/>
      <w:sz w:val="22"/>
      <w:szCs w:val="22"/>
      <w:u w:val="none" w:color="000000"/>
      <w:lang w:val="en-US" w:eastAsia="en-US" w:bidi="ar-SA"/>
    </w:rPr>
  </w:style>
  <w:style w:type="character" w:styleId="Annotationreference">
    <w:name w:val="annotation reference"/>
    <w:basedOn w:val="DefaultParagraphFont"/>
    <w:qFormat/>
    <w:rPr>
      <w:rFonts w:cs="Times New Roman"/>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eastAsia="en-US"/>
    </w:rPr>
  </w:style>
  <w:style w:type="character" w:styleId="BalloonTextChar">
    <w:name w:val="Balloon Text Char"/>
    <w:basedOn w:val="DefaultParagraphFont"/>
    <w:qFormat/>
    <w:rPr>
      <w:rFonts w:ascii="Times New Roman" w:hAnsi="Times New Roman" w:eastAsia="Arial Unicode MS" w:cs="Times New Roman"/>
      <w:sz w:val="0"/>
      <w:szCs w:val="0"/>
      <w:lang w:val="en-US" w:eastAsia="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eastAsia="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eading6Char">
    <w:name w:val="Heading 6 Char"/>
    <w:basedOn w:val="DefaultParagraphFont"/>
    <w:qFormat/>
    <w:rPr>
      <w:rFonts w:ascii="Cambria" w:hAnsi="Cambria" w:eastAsia="ＭＳ ゴシック" w:cs=""/>
      <w:color w:val="243F60"/>
      <w:sz w:val="24"/>
      <w:szCs w:val="24"/>
      <w:lang w:val="en-US" w:eastAsia="en-US"/>
    </w:rPr>
  </w:style>
  <w:style w:type="character" w:styleId="ListParagraphChar">
    <w:name w:val="List Paragraph Char"/>
    <w:basedOn w:val="DefaultParagraphFont"/>
    <w:qFormat/>
    <w:rPr>
      <w:rFonts w:ascii="Arial" w:hAnsi="Arial" w:cs="Arial"/>
      <w:color w:val="000000"/>
      <w:u w:val="none" w:color="000000"/>
      <w:lang w:val="en-US" w:eastAsia="en-US"/>
    </w:rPr>
  </w:style>
  <w:style w:type="character" w:styleId="BodyTextChar">
    <w:name w:val="Body Text Char"/>
    <w:basedOn w:val="DefaultParagraphFont"/>
    <w:qFormat/>
    <w:rPr>
      <w:rFonts w:ascii="Book Antiqua" w:hAnsi="Book Antiqua" w:eastAsia="Times New Roman" w:cs="Book Antiqua"/>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overflowPunct w:val="true"/>
      <w:jc w:val="both"/>
      <w:textAlignment w:val="baseline"/>
    </w:pPr>
    <w:rPr>
      <w:rFonts w:ascii="Book Antiqua" w:hAnsi="Book Antiqua" w:eastAsia="Times New Roman" w:cs="Book Antiqua"/>
      <w:sz w:val="22"/>
      <w:szCs w:val="20"/>
      <w:lang w:val="en-GB"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Footer">
    <w:name w:val="Foot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Body">
    <w:name w:val="Body"/>
    <w:qFormat/>
    <w:pPr>
      <w:widowControl/>
      <w:pBdr/>
      <w:suppressAutoHyphens w:val="true"/>
      <w:bidi w:val="0"/>
      <w:spacing w:before="0" w:after="0"/>
      <w:jc w:val="left"/>
    </w:pPr>
    <w:rPr>
      <w:rFonts w:ascii="Arial" w:hAnsi="Arial" w:eastAsia="Calibri" w:cs="Arial"/>
      <w:color w:val="000000"/>
      <w:kern w:val="0"/>
      <w:sz w:val="24"/>
      <w:szCs w:val="22"/>
      <w:u w:val="none" w:color="000000"/>
      <w:lang w:val="en-GB" w:eastAsia="en-US" w:bidi="ar-SA"/>
    </w:rPr>
  </w:style>
  <w:style w:type="paragraph" w:styleId="ListParagraph">
    <w:name w:val="List Paragraph"/>
    <w:basedOn w:val="Normal"/>
    <w:qFormat/>
    <w:pPr>
      <w:ind w:left="720" w:right="0" w:hanging="0"/>
    </w:pPr>
    <w:rPr>
      <w:rFonts w:ascii="Arial" w:hAnsi="Arial" w:eastAsia="Calibri" w:cs="Arial"/>
      <w:color w:val="000000"/>
      <w:sz w:val="22"/>
      <w:szCs w:val="22"/>
      <w:u w:val="none" w:color="000000"/>
    </w:rPr>
  </w:style>
  <w:style w:type="paragraph" w:styleId="Annotationtext">
    <w:name w:val="annotation text"/>
    <w:basedOn w:val="Normal"/>
    <w:qFormat/>
    <w:pPr>
      <w:pBdr/>
    </w:pPr>
    <w:rPr>
      <w:rFonts w:eastAsia="Calibri"/>
      <w:sz w:val="20"/>
      <w:szCs w:val="20"/>
      <w:lang w:val="en-GB" w:eastAsia="en-GB"/>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Annotationtext"/>
    <w:next w:val="Annotationtext"/>
    <w:qFormat/>
    <w:pPr>
      <w:pBdr/>
    </w:pPr>
    <w:rPr>
      <w:rFonts w:eastAsia="Arial Unicode MS"/>
      <w:b/>
      <w:bCs/>
      <w:lang w:val="en-US" w:eastAsia="en-US"/>
    </w:rPr>
  </w:style>
  <w:style w:type="paragraph" w:styleId="NormalWeb">
    <w:name w:val="Normal (Web)"/>
    <w:basedOn w:val="Normal"/>
    <w:qFormat/>
    <w:pPr>
      <w:pBdr/>
      <w:spacing w:before="0" w:after="192"/>
    </w:pPr>
    <w:rPr>
      <w:rFonts w:eastAsia="Times New Roman"/>
      <w:lang w:val="en-GB" w:eastAsia="en-GB"/>
    </w:rPr>
  </w:style>
  <w:style w:type="paragraph" w:styleId="DefaultText1">
    <w:name w:val="Default Text:1"/>
    <w:basedOn w:val="Normal"/>
    <w:qFormat/>
    <w:pPr>
      <w:pBdr/>
      <w:overflowPunct w:val="true"/>
    </w:pPr>
    <w:rPr>
      <w:rFonts w:eastAsia="Times New Roman"/>
      <w:color w:val="000000"/>
      <w:szCs w:val="20"/>
    </w:rPr>
  </w:style>
  <w:style w:type="paragraph" w:styleId="Default">
    <w:name w:val="Default"/>
    <w:qFormat/>
    <w:pPr>
      <w:widowControl/>
      <w:suppressAutoHyphens w:val="true"/>
      <w:bidi w:val="0"/>
      <w:spacing w:before="0" w:after="0"/>
      <w:jc w:val="left"/>
    </w:pPr>
    <w:rPr>
      <w:rFonts w:ascii="Frutiger LT Std" w:hAnsi="Frutiger LT Std" w:eastAsia="Calibri" w:cs="Frutiger LT Std"/>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2026-07-01T13:09:00Z</dcterms:created>
  <dc:creator>Casey, Natalie (Manchester Solutions)</dc:creator>
  <dc:description/>
  <dc:language>en-US</dc:language>
  <cp:lastModifiedBy>Vincent, Hannah</cp:lastModifiedBy>
  <cp:lastPrinted>1995-11-21T17:41:00Z</cp:lastPrinted>
  <dcterms:modified xsi:type="dcterms:W3CDTF">2026-07-01T13:09:00Z</dcterms:modified>
  <cp:revision>2</cp:revision>
  <dc:subject/>
  <dc:title>Manchester Growth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wner">
    <vt:lpwstr>812;#HR Advice</vt:lpwstr>
  </property>
  <property fmtid="{D5CDD505-2E9C-101B-9397-08002B2CF9AE}" pid="9" name="Review Date">
    <vt:lpwstr>2016-09-16T23:00:00Z</vt:lpwstr>
  </property>
  <property fmtid="{D5CDD505-2E9C-101B-9397-08002B2CF9AE}" pid="10" name="ScaleCrop">
    <vt:bool>0</vt:bool>
  </property>
  <property fmtid="{D5CDD505-2E9C-101B-9397-08002B2CF9AE}" pid="11" name="ShareDoc">
    <vt:bool>0</vt:bool>
  </property>
</Properties>
</file>