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
        <w:ind w:left="0" w:right="-761" w:hanging="709"/>
        <w:jc w:val="center"/>
        <w:rPr>
          <w:rFonts w:eastAsia="Calibri"/>
          <w:b/>
          <w:b/>
          <w:bCs/>
          <w:iCs/>
        </w:rPr>
      </w:pPr>
      <w:r>
        <w:rPr/>
        <w:drawing>
          <wp:inline distT="0" distB="0" distL="0" distR="0">
            <wp:extent cx="6330315" cy="5346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54" r="-5" b="-54"/>
                    <a:stretch>
                      <a:fillRect/>
                    </a:stretch>
                  </pic:blipFill>
                  <pic:spPr bwMode="auto">
                    <a:xfrm>
                      <a:off x="0" y="0"/>
                      <a:ext cx="6330315" cy="534670"/>
                    </a:xfrm>
                    <a:prstGeom prst="rect">
                      <a:avLst/>
                    </a:prstGeom>
                  </pic:spPr>
                </pic:pic>
              </a:graphicData>
            </a:graphic>
          </wp:inline>
        </w:drawing>
      </w:r>
    </w:p>
    <w:p>
      <w:pPr>
        <w:pStyle w:val="Body"/>
        <w:ind w:left="0" w:right="261" w:hanging="0"/>
        <w:jc w:val="center"/>
        <w:rPr>
          <w:rFonts w:eastAsia="Calibri"/>
          <w:b/>
          <w:b/>
          <w:bCs/>
          <w:iCs/>
        </w:rPr>
      </w:pPr>
      <w:r>
        <w:rPr>
          <w:rFonts w:eastAsia="Calibri"/>
          <w:b/>
          <w:bCs/>
          <w:iCs/>
        </w:rPr>
      </w:r>
    </w:p>
    <w:p>
      <w:pPr>
        <w:pStyle w:val="Body"/>
        <w:ind w:left="0" w:right="261" w:hanging="0"/>
        <w:jc w:val="both"/>
        <w:rPr>
          <w:rFonts w:eastAsia="Calibri"/>
          <w:b/>
          <w:b/>
          <w:bCs/>
          <w:iCs/>
        </w:rPr>
      </w:pPr>
      <w:r>
        <w:rPr>
          <w:rFonts w:eastAsia="Calibri"/>
          <w:b/>
          <w:bCs/>
          <w:iCs/>
        </w:rPr>
      </w:r>
    </w:p>
    <w:tbl>
      <w:tblPr>
        <w:tblW w:w="10357" w:type="dxa"/>
        <w:jc w:val="left"/>
        <w:tblInd w:w="-606" w:type="dxa"/>
        <w:tblCellMar>
          <w:top w:w="0" w:type="dxa"/>
          <w:left w:w="108" w:type="dxa"/>
          <w:bottom w:w="0" w:type="dxa"/>
          <w:right w:w="108" w:type="dxa"/>
        </w:tblCellMar>
      </w:tblPr>
      <w:tblGrid>
        <w:gridCol w:w="2127"/>
        <w:gridCol w:w="3092"/>
        <w:gridCol w:w="2309"/>
        <w:gridCol w:w="2829"/>
      </w:tblGrid>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Job Title: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pPr>
            <w:r>
              <w:rPr/>
              <w:t>Accessibility Project Manager – Change</w:t>
            </w:r>
          </w:p>
          <w:p>
            <w:pPr>
              <w:pStyle w:val="Body"/>
              <w:pBdr/>
              <w:spacing w:lineRule="auto" w:line="240" w:before="120" w:after="120"/>
              <w:ind w:left="0" w:right="261" w:hanging="0"/>
              <w:rPr>
                <w:lang w:val="en-US"/>
              </w:rPr>
            </w:pPr>
            <w:r>
              <w:rPr>
                <w:lang w:val="en-US"/>
              </w:rPr>
              <w:t xml:space="preserve">(Information and Data Governance)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Date:</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pPr>
            <w:r>
              <w:rPr>
                <w:rFonts w:eastAsia="Arial"/>
              </w:rPr>
              <w:t xml:space="preserve"> </w:t>
            </w:r>
            <w:r>
              <w:rPr>
                <w:rFonts w:eastAsia="Calibri"/>
              </w:rPr>
              <w:t>June 2026</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Reporting Line: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lang w:val="en-US"/>
              </w:rPr>
            </w:pPr>
            <w:r>
              <w:rPr>
                <w:rFonts w:eastAsia="Calibri"/>
                <w:lang w:val="en-US"/>
              </w:rPr>
              <w:t>Programme Manager –Change</w:t>
            </w:r>
          </w:p>
          <w:p>
            <w:pPr>
              <w:pStyle w:val="Body"/>
              <w:pBdr/>
              <w:spacing w:lineRule="auto" w:line="240" w:before="120" w:after="120"/>
              <w:ind w:left="0" w:right="261" w:hanging="0"/>
              <w:rPr>
                <w:rFonts w:eastAsia="Calibri"/>
                <w:lang w:val="en-US"/>
              </w:rPr>
            </w:pPr>
            <w:r>
              <w:rPr>
                <w:rFonts w:eastAsia="Calibri"/>
                <w:lang w:val="en-US"/>
              </w:rPr>
              <w:t>(Information and Data Governance)</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Salary:</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rPr>
            </w:pPr>
            <w:r>
              <w:rPr>
                <w:rFonts w:eastAsia="Calibri"/>
                <w:bCs/>
                <w:iCs/>
              </w:rPr>
              <w:t>Grade 9</w:t>
            </w:r>
          </w:p>
        </w:tc>
      </w:tr>
      <w:tr>
        <w:trPr>
          <w:trHeight w:val="919" w:hRule="atLeast"/>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Team:</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color w:val="auto"/>
              </w:rPr>
            </w:pPr>
            <w:r>
              <w:rPr>
                <w:rFonts w:eastAsia="Calibri"/>
                <w:color w:val="auto"/>
              </w:rPr>
              <w:t xml:space="preserve">Information and Data Governance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Department:</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rPr>
            </w:pPr>
            <w:r>
              <w:rPr>
                <w:rFonts w:eastAsia="Calibri"/>
                <w:bCs/>
                <w:iCs/>
              </w:rPr>
              <w:t xml:space="preserve">Legal and Governance </w:t>
            </w:r>
          </w:p>
        </w:tc>
      </w:tr>
    </w:tbl>
    <w:p>
      <w:pPr>
        <w:pStyle w:val="Body"/>
        <w:ind w:left="0" w:right="261" w:hanging="0"/>
        <w:jc w:val="both"/>
        <w:rPr>
          <w:rFonts w:eastAsia="Calibri"/>
          <w:b/>
          <w:b/>
          <w:bCs/>
          <w:iCs/>
        </w:rPr>
      </w:pPr>
      <w:r>
        <w:rPr>
          <w:rFonts w:eastAsia="Calibri"/>
          <w:b/>
          <w:bCs/>
          <w:iCs/>
        </w:rPr>
      </w:r>
    </w:p>
    <w:tbl>
      <w:tblPr>
        <w:tblW w:w="10371" w:type="dxa"/>
        <w:jc w:val="center"/>
        <w:tblInd w:w="0" w:type="dxa"/>
        <w:tblCellMar>
          <w:top w:w="80" w:type="dxa"/>
          <w:left w:w="80" w:type="dxa"/>
          <w:bottom w:w="80" w:type="dxa"/>
          <w:right w:w="80" w:type="dxa"/>
        </w:tblCellMar>
      </w:tblPr>
      <w:tblGrid>
        <w:gridCol w:w="10371"/>
      </w:tblGrid>
      <w:tr>
        <w:trPr>
          <w:trHeight w:val="180" w:hRule="atLeast"/>
        </w:trPr>
        <w:tc>
          <w:tcPr>
            <w:tcW w:w="10371" w:type="dxa"/>
            <w:tcBorders>
              <w:top w:val="single" w:sz="6" w:space="0" w:color="000000"/>
              <w:left w:val="single" w:sz="6" w:space="0" w:color="0000FF"/>
              <w:right w:val="single" w:sz="6" w:space="0" w:color="0000FF"/>
            </w:tcBorders>
            <w:shd w:fill="000000" w:val="clear"/>
            <w:vAlign w:val="center"/>
          </w:tcPr>
          <w:p>
            <w:pPr>
              <w:pStyle w:val="Heading3"/>
              <w:ind w:left="0" w:right="261" w:hanging="0"/>
              <w:rPr>
                <w:rFonts w:eastAsia="Calibri"/>
                <w:sz w:val="22"/>
                <w:szCs w:val="22"/>
                <w:lang w:val="en-GB"/>
              </w:rPr>
            </w:pPr>
            <w:r>
              <w:rPr>
                <w:rFonts w:eastAsia="Calibri"/>
                <w:sz w:val="22"/>
                <w:szCs w:val="22"/>
                <w:lang w:val="en-GB"/>
              </w:rPr>
              <w:t>JOB PURPOSE</w:t>
            </w:r>
          </w:p>
        </w:tc>
      </w:tr>
      <w:tr>
        <w:trPr>
          <w:trHeight w:val="793" w:hRule="atLeast"/>
        </w:trPr>
        <w:tc>
          <w:tcPr>
            <w:tcW w:w="10371" w:type="dxa"/>
            <w:tcBorders>
              <w:left w:val="single" w:sz="6" w:space="0" w:color="000000"/>
              <w:bottom w:val="single" w:sz="4" w:space="0" w:color="000000"/>
              <w:right w:val="single" w:sz="6" w:space="0" w:color="000000"/>
            </w:tcBorders>
            <w:shd w:fill="auto" w:val="clear"/>
            <w:vAlign w:val="center"/>
          </w:tcPr>
          <w:p>
            <w:pPr>
              <w:pStyle w:val="Paragraph"/>
              <w:spacing w:before="0" w:after="0"/>
              <w:jc w:val="both"/>
              <w:textAlignment w:val="baseline"/>
              <w:rPr/>
            </w:pPr>
            <w:r>
              <w:rPr>
                <w:rStyle w:val="Normaltextrun"/>
                <w:rFonts w:cs="Arial" w:ascii="Arial" w:hAnsi="Arial"/>
                <w:b/>
                <w:bCs/>
                <w:lang w:val="en-US"/>
              </w:rPr>
              <w:t>The Information and Data Governance (IDG) Shared Service  </w:t>
            </w:r>
            <w:r>
              <w:rPr>
                <w:rStyle w:val="Eop"/>
                <w:rFonts w:eastAsia="Arial"/>
              </w:rPr>
              <w:t> </w:t>
            </w:r>
          </w:p>
          <w:p>
            <w:pPr>
              <w:pStyle w:val="Paragraph"/>
              <w:spacing w:before="0" w:after="0"/>
              <w:jc w:val="both"/>
              <w:textAlignment w:val="baseline"/>
              <w:rPr/>
            </w:pPr>
            <w:r>
              <w:rPr>
                <w:rStyle w:val="Normaltextrun"/>
                <w:rFonts w:cs="Arial" w:ascii="Arial" w:hAnsi="Arial"/>
                <w:lang w:val="en-US"/>
              </w:rPr>
              <w:t xml:space="preserve">The IDG shared service is responsible for ensuring proper and effective information governance and data protection </w:t>
            </w:r>
            <w:bookmarkStart w:id="0" w:name="_Int_YhaSNn3z"/>
            <w:r>
              <w:rPr>
                <w:rStyle w:val="Normaltextrun"/>
                <w:rFonts w:cs="Arial" w:ascii="Arial" w:hAnsi="Arial"/>
                <w:lang w:val="en-US"/>
              </w:rPr>
              <w:t>practice is</w:t>
            </w:r>
            <w:bookmarkEnd w:id="0"/>
            <w:r>
              <w:rPr>
                <w:rStyle w:val="Normaltextrun"/>
                <w:rFonts w:cs="Arial" w:ascii="Arial" w:hAnsi="Arial"/>
                <w:lang w:val="en-US"/>
              </w:rPr>
              <w:t xml:space="preserve"> conducted across the GMCA, TfGM, and GMFRS. We provide strategic leadership for Information Governance across Greater Manchester, and our work delivers the vision of the </w:t>
            </w:r>
            <w:r>
              <w:rPr>
                <w:rStyle w:val="InternetLink"/>
                <w:rFonts w:cs="Arial" w:ascii="Arial" w:hAnsi="Arial"/>
                <w:lang w:val="en-US"/>
              </w:rPr>
              <w:t>GM Information Strategy</w:t>
            </w:r>
            <w:r>
              <w:rPr>
                <w:rStyle w:val="Normaltextrun"/>
                <w:rFonts w:cs="Arial" w:ascii="Arial" w:hAnsi="Arial"/>
                <w:lang w:val="en-US"/>
              </w:rPr>
              <w:t xml:space="preserve">. </w:t>
            </w:r>
          </w:p>
          <w:p>
            <w:pPr>
              <w:pStyle w:val="Paragraph"/>
              <w:spacing w:before="0" w:after="0"/>
              <w:jc w:val="both"/>
              <w:textAlignment w:val="baseline"/>
              <w:rPr/>
            </w:pPr>
            <w:r>
              <w:rPr>
                <w:rStyle w:val="Eop"/>
                <w:rFonts w:eastAsia="Arial"/>
              </w:rPr>
              <w:t> </w:t>
            </w:r>
          </w:p>
          <w:p>
            <w:pPr>
              <w:pStyle w:val="Paragraph"/>
              <w:spacing w:before="0" w:after="0"/>
              <w:jc w:val="center"/>
              <w:textAlignment w:val="baseline"/>
              <w:rPr/>
            </w:pPr>
            <w:r>
              <w:rPr>
                <w:rStyle w:val="Normaltextrun"/>
                <w:rFonts w:cs="Arial" w:ascii="Arial" w:hAnsi="Arial"/>
                <w:i/>
                <w:iCs/>
                <w:lang w:val="en-US"/>
              </w:rPr>
              <w:t xml:space="preserve">Our vision is to create a better information ecosystem that realises the full potential of information; managing, sharing, and using information responsibility to help to tackle our most serious challenges and support Greater Manchester's wider ambitions. </w:t>
            </w:r>
          </w:p>
          <w:p>
            <w:pPr>
              <w:pStyle w:val="Paragraph"/>
              <w:spacing w:before="0" w:after="0"/>
              <w:jc w:val="both"/>
              <w:textAlignment w:val="baseline"/>
              <w:rPr/>
            </w:pPr>
            <w:r>
              <w:rPr>
                <w:rStyle w:val="Normaltextrun"/>
                <w:rFonts w:cs="Arial" w:ascii="Arial" w:hAnsi="Arial"/>
                <w:lang w:val="en-US"/>
              </w:rPr>
              <w:t> </w:t>
            </w:r>
            <w:r>
              <w:rPr>
                <w:rStyle w:val="Eop"/>
                <w:rFonts w:eastAsia="Arial"/>
              </w:rPr>
              <w:t> </w:t>
            </w:r>
          </w:p>
          <w:p>
            <w:pPr>
              <w:pStyle w:val="Paragraph"/>
              <w:spacing w:before="0" w:after="0"/>
              <w:jc w:val="both"/>
              <w:textAlignment w:val="baseline"/>
              <w:rPr/>
            </w:pPr>
            <w:r>
              <w:rPr>
                <w:rStyle w:val="Normaltextrun"/>
                <w:rFonts w:cs="Arial" w:ascii="Arial" w:hAnsi="Arial"/>
                <w:b/>
                <w:bCs/>
                <w:lang w:val="en-US"/>
              </w:rPr>
              <w:t>The GM Information Strategy </w:t>
            </w:r>
            <w:r>
              <w:rPr>
                <w:rStyle w:val="Eop"/>
                <w:rFonts w:eastAsia="Arial"/>
              </w:rPr>
              <w:t> </w:t>
            </w:r>
          </w:p>
          <w:p>
            <w:pPr>
              <w:pStyle w:val="Paragraph"/>
              <w:spacing w:before="0" w:after="0"/>
              <w:jc w:val="both"/>
              <w:textAlignment w:val="baseline"/>
              <w:rPr/>
            </w:pPr>
            <w:r>
              <w:rPr>
                <w:rStyle w:val="Normaltextrun"/>
                <w:rFonts w:cs="Arial" w:ascii="Arial" w:hAnsi="Arial"/>
                <w:lang w:val="en-US"/>
              </w:rPr>
              <w:t>The GM Information Strategy was approved by the Combined Authority in January 2022 and ha</w:t>
            </w:r>
            <w:r>
              <w:rPr>
                <w:rStyle w:val="Normaltextrun"/>
                <w:rFonts w:eastAsia="" w:cs="Arial" w:ascii="Arial" w:hAnsi="Arial"/>
                <w:lang w:val="en-US"/>
              </w:rPr>
              <w:t xml:space="preserve">s an ambitious vision for the use of data and information across Greater Manchester. </w:t>
            </w:r>
          </w:p>
          <w:p>
            <w:pPr>
              <w:pStyle w:val="Paragraph"/>
              <w:spacing w:before="0" w:after="0"/>
              <w:jc w:val="both"/>
              <w:rPr/>
            </w:pPr>
            <w:r>
              <w:rPr>
                <w:rStyle w:val="Normaltextrun"/>
                <w:rFonts w:eastAsia="" w:cs="Arial" w:ascii="Arial" w:hAnsi="Arial"/>
                <w:lang w:val="en-US"/>
              </w:rPr>
              <w:t>We are seeking an Accessibility Change Project Manager to inform and implement an effective model of accessibility practice and governance across our three organisations, ensuring all content we produce, commission and publish meets the needs of our residents and legal requirements.</w:t>
            </w:r>
          </w:p>
          <w:p>
            <w:pPr>
              <w:pStyle w:val="Paragraph"/>
              <w:spacing w:before="0" w:after="0"/>
              <w:jc w:val="both"/>
              <w:textAlignment w:val="baseline"/>
              <w:rPr>
                <w:rFonts w:ascii="Arial" w:hAnsi="Arial" w:cs="Arial"/>
                <w:sz w:val="22"/>
                <w:szCs w:val="22"/>
                <w:lang w:val="en-US"/>
              </w:rPr>
            </w:pPr>
            <w:r>
              <w:rPr>
                <w:rFonts w:cs="Arial" w:ascii="Arial" w:hAnsi="Arial"/>
                <w:sz w:val="22"/>
                <w:szCs w:val="22"/>
                <w:lang w:val="en-US"/>
              </w:rPr>
            </w:r>
          </w:p>
          <w:p>
            <w:pPr>
              <w:pStyle w:val="Paragraph"/>
              <w:spacing w:before="0" w:after="0"/>
              <w:jc w:val="both"/>
              <w:textAlignment w:val="baseline"/>
              <w:rPr/>
            </w:pPr>
            <w:r>
              <w:rPr>
                <w:rStyle w:val="Normaltextrun"/>
                <w:rFonts w:cs="Arial" w:ascii="Arial" w:hAnsi="Arial"/>
                <w:b/>
                <w:bCs/>
                <w:lang w:val="en-US"/>
              </w:rPr>
              <w:t>The Role</w:t>
            </w:r>
          </w:p>
          <w:p>
            <w:pPr>
              <w:pStyle w:val="Normal"/>
              <w:rPr/>
            </w:pPr>
            <w:r>
              <w:rPr>
                <w:rStyle w:val="Normaltextrun"/>
                <w:rFonts w:eastAsia="Times New Roman" w:cs="Arial" w:ascii="Arial" w:hAnsi="Arial"/>
                <w:lang w:eastAsia="en-GB"/>
              </w:rPr>
              <w:t>Reporting to the Change Programme Manager, the Accessibility Change Project Manager is responsible for designing, developing a</w:t>
            </w:r>
            <w:r>
              <w:rPr>
                <w:rStyle w:val="Normaltextrun"/>
                <w:rFonts w:eastAsia="" w:cs="Arial" w:ascii="Arial" w:hAnsi="Arial"/>
                <w:lang w:eastAsia="en-GB"/>
              </w:rPr>
              <w:t xml:space="preserve">nd implementing a consistent approach to ensuring the production of accessible content across GMCA, GMFRS, and TfGM. This would ensure all our colleagues have the right knowledge and support to commission and produce content to best practice and statutory guidelines. </w:t>
            </w:r>
          </w:p>
          <w:p>
            <w:pPr>
              <w:pStyle w:val="Normal"/>
              <w:rPr/>
            </w:pPr>
            <w:r>
              <w:rPr>
                <w:rStyle w:val="Normaltextrun"/>
                <w:rFonts w:eastAsia="Times New Roman" w:cs="Arial" w:ascii="Arial" w:hAnsi="Arial"/>
                <w:lang w:eastAsia="en-GB"/>
              </w:rPr>
              <w:t>The role provides specialist accessibility advice, leads organisation-wide change activity, develops new processes and standards and ensures accessibility requirements are embedded into policy, project delivery, procurement and business-as-usual operations.</w:t>
            </w:r>
          </w:p>
          <w:p>
            <w:pPr>
              <w:pStyle w:val="Normal"/>
              <w:rPr>
                <w:rFonts w:ascii="Arial" w:hAnsi="Arial" w:cs="Arial"/>
              </w:rPr>
            </w:pPr>
            <w:r>
              <w:rPr>
                <w:rFonts w:cs="Arial" w:ascii="Arial" w:hAnsi="Arial"/>
              </w:rPr>
            </w:r>
          </w:p>
          <w:p>
            <w:pPr>
              <w:pStyle w:val="Normal"/>
              <w:rPr/>
            </w:pPr>
            <w:r>
              <w:rPr>
                <w:rFonts w:cs="Arial" w:ascii="Arial" w:hAnsi="Arial"/>
              </w:rPr>
              <w:t xml:space="preserve">We are looking for an Accessibility Change Project Manager who has </w:t>
            </w:r>
            <w:bookmarkStart w:id="1" w:name="_Int_rjzXP7qd"/>
            <w:r>
              <w:rPr>
                <w:rFonts w:cs="Arial" w:ascii="Arial" w:hAnsi="Arial"/>
              </w:rPr>
              <w:t>good experience</w:t>
            </w:r>
            <w:bookmarkEnd w:id="1"/>
            <w:r>
              <w:rPr>
                <w:rFonts w:cs="Arial" w:ascii="Arial" w:hAnsi="Arial"/>
              </w:rPr>
              <w:t xml:space="preserve"> delivering projects i</w:t>
            </w:r>
            <w:r>
              <w:rPr>
                <w:rFonts w:eastAsia="" w:cs="Arial" w:ascii="Arial" w:hAnsi="Arial"/>
              </w:rPr>
              <w:t>n a complex environment. You will have experience of improving ways of working around accessibility across an organisation and / or partnership. The post will be responsible for bringing colleagues together from different teams across our three organisations to drive the group's ambition of fully accessible approaches to content through a clear project road map.</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The Accessibility Change Project Manager will work as part of the shared Information and Data Governance service, utilising resources within the team which include a wealth of IDG subject matter expertise, comms and engagement support and research support. When required, the project team will involve external partners, and you will be comfortable managing projects with diverse make-up, depending on the output required. </w:t>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366" w:type="dxa"/>
        <w:jc w:val="center"/>
        <w:tblInd w:w="0" w:type="dxa"/>
        <w:tblCellMar>
          <w:top w:w="80" w:type="dxa"/>
          <w:left w:w="80" w:type="dxa"/>
          <w:bottom w:w="80" w:type="dxa"/>
          <w:right w:w="80" w:type="dxa"/>
        </w:tblCellMar>
      </w:tblPr>
      <w:tblGrid>
        <w:gridCol w:w="10366"/>
      </w:tblGrid>
      <w:tr>
        <w:trPr>
          <w:trHeight w:val="180" w:hRule="atLeast"/>
        </w:trPr>
        <w:tc>
          <w:tcPr>
            <w:tcW w:w="103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pBdr/>
              <w:ind w:left="0" w:right="261" w:hanging="0"/>
              <w:rPr>
                <w:b/>
                <w:b/>
                <w:bCs/>
                <w:color w:val="FFFFFF"/>
                <w:u w:val="none" w:color="FFFFFF"/>
              </w:rPr>
            </w:pPr>
            <w:r>
              <w:rPr>
                <w:b/>
                <w:bCs/>
                <w:color w:val="FFFFFF"/>
                <w:u w:val="none" w:color="FFFFFF"/>
              </w:rPr>
              <w:t>KEY RELATIONSHIPS</w:t>
            </w:r>
          </w:p>
        </w:tc>
      </w:tr>
      <w:tr>
        <w:trPr>
          <w:trHeight w:val="1201" w:hRule="atLeast"/>
        </w:trPr>
        <w:tc>
          <w:tcPr>
            <w:tcW w:w="10366"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ListParagraph"/>
              <w:numPr>
                <w:ilvl w:val="0"/>
                <w:numId w:val="2"/>
              </w:numPr>
              <w:pBdr/>
              <w:rPr>
                <w:bCs/>
                <w:iCs/>
                <w:color w:val="auto"/>
              </w:rPr>
            </w:pPr>
            <w:r>
              <w:rPr>
                <w:bCs/>
                <w:iCs/>
                <w:color w:val="auto"/>
              </w:rPr>
              <w:t>Work with key stakeholders and strategic partners at local and GM levels including:</w:t>
            </w:r>
          </w:p>
          <w:p>
            <w:pPr>
              <w:pStyle w:val="Normal"/>
              <w:pBdr/>
              <w:rPr/>
            </w:pPr>
            <w:r>
              <w:rPr/>
            </w:r>
          </w:p>
          <w:p>
            <w:pPr>
              <w:pStyle w:val="ListParagraph"/>
              <w:numPr>
                <w:ilvl w:val="0"/>
                <w:numId w:val="3"/>
              </w:numPr>
              <w:pBdr/>
              <w:rPr>
                <w:color w:val="auto"/>
              </w:rPr>
            </w:pPr>
            <w:r>
              <w:rPr>
                <w:color w:val="auto"/>
              </w:rPr>
              <w:t>Colleagues in the GMCA, TfGM and GMFRS, in particular Comms and Engagement, Digital Services and People Services</w:t>
            </w:r>
          </w:p>
          <w:p>
            <w:pPr>
              <w:pStyle w:val="ListParagraph"/>
              <w:numPr>
                <w:ilvl w:val="0"/>
                <w:numId w:val="3"/>
              </w:numPr>
              <w:pBdr/>
              <w:rPr>
                <w:color w:val="auto"/>
              </w:rPr>
            </w:pPr>
            <w:r>
              <w:rPr>
                <w:color w:val="auto"/>
              </w:rPr>
              <w:t>Internal customer groups and strategic partners</w:t>
            </w:r>
          </w:p>
          <w:p>
            <w:pPr>
              <w:pStyle w:val="ListParagraph"/>
              <w:numPr>
                <w:ilvl w:val="0"/>
                <w:numId w:val="3"/>
              </w:numPr>
              <w:pBdr/>
              <w:rPr>
                <w:color w:val="auto"/>
              </w:rPr>
            </w:pPr>
            <w:r>
              <w:rPr>
                <w:color w:val="auto"/>
              </w:rPr>
              <w:t>Senior Managers and staff within GMCA and GMFRS</w:t>
            </w:r>
          </w:p>
          <w:p>
            <w:pPr>
              <w:pStyle w:val="ListParagraph"/>
              <w:numPr>
                <w:ilvl w:val="0"/>
                <w:numId w:val="3"/>
              </w:numPr>
              <w:pBdr/>
              <w:rPr>
                <w:color w:val="auto"/>
              </w:rPr>
            </w:pPr>
            <w:r>
              <w:rPr>
                <w:color w:val="auto"/>
              </w:rPr>
              <w:t xml:space="preserve">Central Government departments </w:t>
            </w:r>
          </w:p>
          <w:p>
            <w:pPr>
              <w:pStyle w:val="ListParagraph"/>
              <w:numPr>
                <w:ilvl w:val="0"/>
                <w:numId w:val="3"/>
              </w:numPr>
              <w:pBdr/>
              <w:rPr>
                <w:color w:val="auto"/>
              </w:rPr>
            </w:pPr>
            <w:r>
              <w:rPr>
                <w:color w:val="auto"/>
              </w:rPr>
              <w:t>Third Party Suppliers</w:t>
            </w:r>
          </w:p>
          <w:p>
            <w:pPr>
              <w:pStyle w:val="ListParagraph"/>
              <w:numPr>
                <w:ilvl w:val="0"/>
                <w:numId w:val="3"/>
              </w:numPr>
              <w:pBdr/>
              <w:rPr>
                <w:color w:val="auto"/>
              </w:rPr>
            </w:pPr>
            <w:r>
              <w:rPr>
                <w:color w:val="auto"/>
              </w:rPr>
              <w:t>Senior Leadership Teams across GMCA, GMFRS and TfGM</w:t>
            </w:r>
          </w:p>
          <w:p>
            <w:pPr>
              <w:pStyle w:val="ListParagraph"/>
              <w:numPr>
                <w:ilvl w:val="0"/>
                <w:numId w:val="3"/>
              </w:numPr>
              <w:pBdr/>
              <w:rPr>
                <w:color w:val="auto"/>
              </w:rPr>
            </w:pPr>
            <w:r>
              <w:rPr>
                <w:color w:val="auto"/>
              </w:rPr>
              <w:t xml:space="preserve">Colleagues in Greater Manchester’s wider public sector </w:t>
            </w:r>
          </w:p>
          <w:p>
            <w:pPr>
              <w:pStyle w:val="ListParagraph"/>
              <w:numPr>
                <w:ilvl w:val="0"/>
                <w:numId w:val="3"/>
              </w:numPr>
              <w:pBdr/>
              <w:rPr>
                <w:color w:val="auto"/>
              </w:rPr>
            </w:pPr>
            <w:r>
              <w:rPr>
                <w:color w:val="auto"/>
              </w:rPr>
              <w:t>Staff in related GM bodies such as MIDAS, Manchester Solutions, Marketing Manchester, the Manchester Growth Company, Universities, Open Data Manchester</w:t>
            </w:r>
          </w:p>
          <w:p>
            <w:pPr>
              <w:pStyle w:val="ListParagraph"/>
              <w:numPr>
                <w:ilvl w:val="0"/>
                <w:numId w:val="3"/>
              </w:numPr>
              <w:pBdr/>
              <w:rPr>
                <w:color w:val="auto"/>
              </w:rPr>
            </w:pPr>
            <w:r>
              <w:rPr>
                <w:color w:val="auto"/>
              </w:rPr>
              <w:t>Residents and resident groups</w:t>
            </w:r>
          </w:p>
          <w:p>
            <w:pPr>
              <w:pStyle w:val="Normal"/>
              <w:pBdr/>
              <w:ind w:left="360" w:right="0" w:hanging="0"/>
              <w:rPr>
                <w:lang w:val="en-GB"/>
              </w:rPr>
            </w:pPr>
            <w:r>
              <w:rPr>
                <w:lang w:val="en-GB"/>
              </w:rPr>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401" w:type="dxa"/>
        <w:jc w:val="center"/>
        <w:tblInd w:w="0" w:type="dxa"/>
        <w:tblCellMar>
          <w:top w:w="80" w:type="dxa"/>
          <w:left w:w="80" w:type="dxa"/>
          <w:bottom w:w="80" w:type="dxa"/>
          <w:right w:w="80" w:type="dxa"/>
        </w:tblCellMar>
      </w:tblPr>
      <w:tblGrid>
        <w:gridCol w:w="10401"/>
      </w:tblGrid>
      <w:tr>
        <w:trPr>
          <w:trHeight w:val="479" w:hRule="atLeast"/>
        </w:trPr>
        <w:tc>
          <w:tcPr>
            <w:tcW w:w="10401" w:type="dxa"/>
            <w:tcBorders>
              <w:top w:val="single" w:sz="6" w:space="0" w:color="000000"/>
              <w:left w:val="single" w:sz="6" w:space="0" w:color="000000"/>
              <w:right w:val="single" w:sz="6" w:space="0" w:color="000000"/>
            </w:tcBorders>
            <w:shd w:fill="000000" w:val="clear"/>
            <w:vAlign w:val="center"/>
          </w:tcPr>
          <w:p>
            <w:pPr>
              <w:pStyle w:val="Body"/>
              <w:ind w:left="0" w:right="261" w:hanging="0"/>
              <w:rPr>
                <w:rFonts w:eastAsia="Calibri"/>
                <w:b/>
                <w:b/>
                <w:bCs/>
                <w:color w:val="FFFFFF"/>
                <w:u w:val="none" w:color="FFFFFF"/>
              </w:rPr>
            </w:pPr>
            <w:r>
              <w:rPr>
                <w:rFonts w:eastAsia="Calibri"/>
                <w:b/>
                <w:bCs/>
                <w:color w:val="FFFFFF"/>
                <w:u w:val="none" w:color="FFFFFF"/>
              </w:rPr>
              <w:t xml:space="preserve">KEY RESPONSIBILITIES </w:t>
            </w:r>
          </w:p>
        </w:tc>
      </w:tr>
      <w:tr>
        <w:trPr>
          <w:trHeight w:val="739" w:hRule="atLeast"/>
        </w:trPr>
        <w:tc>
          <w:tcPr>
            <w:tcW w:w="10401" w:type="dxa"/>
            <w:tcBorders>
              <w:left w:val="single" w:sz="4" w:space="0" w:color="000000"/>
              <w:right w:val="single" w:sz="6" w:space="0" w:color="000000"/>
            </w:tcBorders>
            <w:shd w:fill="auto" w:val="clear"/>
            <w:vAlign w:val="center"/>
          </w:tcPr>
          <w:p>
            <w:pPr>
              <w:pStyle w:val="Default"/>
              <w:numPr>
                <w:ilvl w:val="0"/>
                <w:numId w:val="2"/>
              </w:numPr>
              <w:spacing w:before="120" w:after="120"/>
              <w:rPr/>
            </w:pPr>
            <w:r>
              <w:rPr>
                <w:rFonts w:eastAsia="Arial Unicode MS" w:cs="Arial" w:ascii="Arial" w:hAnsi="Arial"/>
                <w:sz w:val="22"/>
                <w:szCs w:val="22"/>
                <w:lang w:val="en-US"/>
              </w:rPr>
              <w:t>Manage the successful delivery of the accessibility project and initiatives on time, to budget and of the right quality, ensuring that key benefits are realised, using standard change project management methodology where appropriate.</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You will lead and provide advice and guidance to projects and programmes of work on how to ensure accessibility is considered throughout the delivery and especially factored in from the start. Contributing to the adoption of a way of working that embeds accessibility standards into business as usual for service areas and our suppliers.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Develop and maintain effective relationships with senior officers and produce high quality, timely reports, and briefings, pulling together complex information from numerous sources.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Develop and facilitate effective relevant forums and networks involving all stakeholders, ensuring clear and effective channels of communication.</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Establish, modify, and embed recognised change processes to all stakeholders.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Identify opportunities for taking forward action on defined strategic priorities and drive the implementation of co-produced, innovative local strategies and plans.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Use persuasion and negotiation skills to engage key stakeholders with complex and/or sensitive service changes in relation to process and/or service re-design and overcome resistance to change from staff at all levels of the organisation. </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Influence senior stakeholders, suppliers and programme leads to implement accessibility improvements and adopt revised working practices.</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Establish accessibility monitoring and assurance arrangements across the group.</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Embed accessibility into programme, project and procurement delivery.</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Increase organisational capability and awareness of accessibility requirements.</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Monitor and manage allocated project budgets, ensuring expenditure is controlled, reported and aligned with project objectives.</w:t>
            </w:r>
          </w:p>
          <w:p>
            <w:pPr>
              <w:pStyle w:val="Default"/>
              <w:numPr>
                <w:ilvl w:val="0"/>
                <w:numId w:val="2"/>
              </w:numPr>
              <w:spacing w:before="120" w:after="120"/>
              <w:rPr>
                <w:rFonts w:ascii="Arial" w:hAnsi="Arial" w:cs="Arial"/>
                <w:sz w:val="22"/>
                <w:szCs w:val="22"/>
                <w:lang w:val="en-US"/>
              </w:rPr>
            </w:pPr>
            <w:r>
              <w:rPr>
                <w:rFonts w:cs="Arial" w:ascii="Arial" w:hAnsi="Arial"/>
                <w:sz w:val="22"/>
                <w:szCs w:val="22"/>
                <w:lang w:val="en-US"/>
              </w:rPr>
              <w:t>Contribute to organisational policies and practices that support equitable access to information and services.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Communicate, in the most appropriate manner, technical and non-technical information, and sensitive issues to internal and external stakeholders, and suppliers.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Motivate and engage team members, leading by example across the Information and Data Governance shared service.</w:t>
            </w:r>
          </w:p>
          <w:p>
            <w:pPr>
              <w:pStyle w:val="Default"/>
              <w:numPr>
                <w:ilvl w:val="0"/>
                <w:numId w:val="2"/>
              </w:numPr>
              <w:spacing w:before="120" w:after="120"/>
              <w:rPr/>
            </w:pPr>
            <w:r>
              <w:rPr>
                <w:rFonts w:eastAsia="Arial Unicode MS" w:cs="Arial" w:ascii="Arial" w:hAnsi="Arial"/>
                <w:sz w:val="22"/>
                <w:szCs w:val="22"/>
                <w:lang w:val="en-US"/>
              </w:rPr>
              <w:t xml:space="preserve">Ensure effective communication of business change plans and drive stakeholders to </w:t>
            </w:r>
            <w:bookmarkStart w:id="2" w:name="_Int_a3Uyh3sh"/>
            <w:r>
              <w:rPr>
                <w:rFonts w:eastAsia="Arial Unicode MS" w:cs="Arial" w:ascii="Arial" w:hAnsi="Arial"/>
                <w:sz w:val="22"/>
                <w:szCs w:val="22"/>
                <w:lang w:val="en-US"/>
              </w:rPr>
              <w:t>benefits</w:t>
            </w:r>
            <w:bookmarkEnd w:id="2"/>
            <w:r>
              <w:rPr>
                <w:rFonts w:eastAsia="Arial Unicode MS" w:cs="Arial" w:ascii="Arial" w:hAnsi="Arial"/>
                <w:sz w:val="22"/>
                <w:szCs w:val="22"/>
                <w:lang w:val="en-US"/>
              </w:rPr>
              <w:t xml:space="preserve"> agreements.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Lead multiple workstreams under the direction of the Programme Manager, ensuring projects are supported and delivered in-line with the agreed scope and timescales, delivering the functionality and benefits identified.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Develop best practice methodologies and approaches for the proposed change, resolving complex problems and dealing with unanticipated issues, escalating to the Deputy Director and Data Protection Officer where necessary.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Communicate sensitive information about project delivery to relevant Boards and other key stakeholders as required. </w:t>
            </w:r>
          </w:p>
          <w:p>
            <w:pPr>
              <w:pStyle w:val="Default"/>
              <w:numPr>
                <w:ilvl w:val="0"/>
                <w:numId w:val="2"/>
              </w:numPr>
              <w:spacing w:before="120" w:after="120"/>
              <w:rPr/>
            </w:pPr>
            <w:r>
              <w:rPr>
                <w:rFonts w:eastAsia="Arial Unicode MS" w:cs="Arial" w:ascii="Arial" w:hAnsi="Arial"/>
                <w:sz w:val="22"/>
                <w:szCs w:val="22"/>
                <w:lang w:val="en-US"/>
              </w:rPr>
              <w:t xml:space="preserve">Provide advice to a variety of stakeholders regarding implementing new practices and </w:t>
            </w:r>
            <w:bookmarkStart w:id="3" w:name="_Int_Gz07iRNc"/>
            <w:r>
              <w:rPr>
                <w:rFonts w:eastAsia="Arial Unicode MS" w:cs="Arial" w:ascii="Arial" w:hAnsi="Arial"/>
                <w:sz w:val="22"/>
                <w:szCs w:val="22"/>
                <w:lang w:val="en-US"/>
              </w:rPr>
              <w:t>report</w:t>
            </w:r>
            <w:bookmarkEnd w:id="3"/>
            <w:r>
              <w:rPr>
                <w:rFonts w:eastAsia="Arial Unicode MS" w:cs="Arial" w:ascii="Arial" w:hAnsi="Arial"/>
                <w:sz w:val="22"/>
                <w:szCs w:val="22"/>
                <w:lang w:val="en-US"/>
              </w:rPr>
              <w:t xml:space="preserve"> on the progress and effectiveness of the change.</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Identify the training and development needs of all stakeholders and participate in the planning, implementation, and evaluation of training programmes.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 xml:space="preserve">Understand, document, and manage the needs and opinions of a wide range of stakeholders in relation to business change, including production of new standard operating procedures (SOP) and processes. </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Provide regular progress reports to the AD of IDG, IDG Head of Service and Programme Manager, and ensure risks and issues are escalated in a timely manner.</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Develop accessibility governance arrangements, standards, processes and guidance for adoption across GMCA, GMFRS and TfGM.</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Support the development of accessibility-related policy and assurance frameworks.</w:t>
            </w:r>
          </w:p>
          <w:p>
            <w:pPr>
              <w:pStyle w:val="Default"/>
              <w:numPr>
                <w:ilvl w:val="0"/>
                <w:numId w:val="2"/>
              </w:numPr>
              <w:spacing w:before="120" w:after="120"/>
              <w:rPr>
                <w:rFonts w:ascii="Arial" w:hAnsi="Arial" w:eastAsia="Arial Unicode MS" w:cs="Arial"/>
                <w:sz w:val="22"/>
                <w:szCs w:val="22"/>
                <w:lang w:val="en-US"/>
              </w:rPr>
            </w:pPr>
            <w:r>
              <w:rPr>
                <w:rFonts w:eastAsia="Arial Unicode MS" w:cs="Arial" w:ascii="Arial" w:hAnsi="Arial"/>
                <w:sz w:val="22"/>
                <w:szCs w:val="22"/>
                <w:lang w:val="en-US"/>
              </w:rPr>
              <w:t>Increase organisational capability and awareness of accessibility requirements</w:t>
            </w:r>
          </w:p>
        </w:tc>
      </w:tr>
      <w:tr>
        <w:trPr>
          <w:trHeight w:val="739" w:hRule="atLeast"/>
        </w:trPr>
        <w:tc>
          <w:tcPr>
            <w:tcW w:w="10401" w:type="dxa"/>
            <w:tcBorders>
              <w:left w:val="single" w:sz="4" w:space="0" w:color="000000"/>
              <w:bottom w:val="single" w:sz="4" w:space="0" w:color="000000"/>
              <w:right w:val="single" w:sz="6" w:space="0" w:color="000000"/>
            </w:tcBorders>
            <w:shd w:fill="auto" w:val="clear"/>
            <w:vAlign w:val="center"/>
          </w:tcPr>
          <w:p>
            <w:pPr>
              <w:pStyle w:val="Normal"/>
              <w:pBdr/>
              <w:snapToGrid w:val="false"/>
              <w:jc w:val="both"/>
              <w:rPr>
                <w:rFonts w:ascii="Arial" w:hAnsi="Arial" w:cs="Arial"/>
                <w:sz w:val="22"/>
                <w:szCs w:val="22"/>
                <w:lang w:val="en-GB"/>
              </w:rPr>
            </w:pPr>
            <w:r>
              <w:rPr>
                <w:rFonts w:cs="Arial" w:ascii="Arial" w:hAnsi="Arial"/>
                <w:sz w:val="22"/>
                <w:szCs w:val="22"/>
                <w:lang w:val="en-GB"/>
              </w:rPr>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359" w:type="dxa"/>
        <w:jc w:val="center"/>
        <w:tblInd w:w="0" w:type="dxa"/>
        <w:tblCellMar>
          <w:top w:w="80" w:type="dxa"/>
          <w:left w:w="80" w:type="dxa"/>
          <w:bottom w:w="80" w:type="dxa"/>
          <w:right w:w="80" w:type="dxa"/>
        </w:tblCellMar>
      </w:tblPr>
      <w:tblGrid>
        <w:gridCol w:w="10359"/>
      </w:tblGrid>
      <w:tr>
        <w:trPr>
          <w:trHeight w:val="180" w:hRule="atLeast"/>
        </w:trPr>
        <w:tc>
          <w:tcPr>
            <w:tcW w:w="10359"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ind w:left="18" w:right="261" w:hanging="0"/>
              <w:rPr/>
            </w:pPr>
            <w:r>
              <w:rPr>
                <w:rFonts w:eastAsia="Calibri"/>
                <w:b/>
                <w:bCs/>
                <w:color w:val="FFFFFF"/>
              </w:rPr>
              <w:t xml:space="preserve">KNOWLEDGE, </w:t>
            </w:r>
            <w:bookmarkStart w:id="4" w:name="_Int_kQQmgE5z"/>
            <w:r>
              <w:rPr>
                <w:rFonts w:eastAsia="Calibri"/>
                <w:b/>
                <w:bCs/>
                <w:color w:val="FFFFFF"/>
              </w:rPr>
              <w:t>SKILLS</w:t>
            </w:r>
            <w:bookmarkEnd w:id="4"/>
            <w:r>
              <w:rPr>
                <w:rFonts w:eastAsia="Calibri"/>
                <w:b/>
                <w:bCs/>
                <w:color w:val="FFFFFF"/>
              </w:rPr>
              <w:t xml:space="preserve"> AND EXPERIENCE</w:t>
            </w:r>
          </w:p>
        </w:tc>
      </w:tr>
      <w:tr>
        <w:trPr>
          <w:trHeight w:val="1186" w:hRule="atLeast"/>
        </w:trPr>
        <w:tc>
          <w:tcPr>
            <w:tcW w:w="10359" w:type="dxa"/>
            <w:tcBorders>
              <w:top w:val="single" w:sz="4" w:space="0" w:color="000000"/>
              <w:left w:val="single" w:sz="4" w:space="0" w:color="000000"/>
              <w:bottom w:val="single" w:sz="4" w:space="0" w:color="000000"/>
              <w:right w:val="single" w:sz="4" w:space="0" w:color="000000"/>
            </w:tcBorders>
            <w:shd w:fill="auto" w:val="clear"/>
            <w:tcMar>
              <w:left w:w="363" w:type="dxa"/>
            </w:tcMar>
          </w:tcPr>
          <w:p>
            <w:pPr>
              <w:pStyle w:val="Normal"/>
              <w:rPr>
                <w:rFonts w:ascii="Arial" w:hAnsi="Arial" w:cs="Arial"/>
                <w:b/>
                <w:b/>
                <w:bCs/>
                <w:sz w:val="22"/>
                <w:szCs w:val="22"/>
              </w:rPr>
            </w:pPr>
            <w:r>
              <w:rPr>
                <w:rFonts w:cs="Arial" w:ascii="Arial" w:hAnsi="Arial"/>
                <w:b/>
                <w:bCs/>
                <w:sz w:val="22"/>
                <w:szCs w:val="22"/>
              </w:rPr>
              <w:t>Knowledge &amp; Experience</w:t>
            </w:r>
          </w:p>
          <w:p>
            <w:pPr>
              <w:pStyle w:val="Normal"/>
              <w:spacing w:before="240" w:after="240"/>
              <w:rPr>
                <w:rFonts w:ascii="Arial" w:hAnsi="Arial" w:cs="Arial"/>
                <w:b/>
                <w:b/>
                <w:bCs/>
              </w:rPr>
            </w:pPr>
            <w:r>
              <w:rPr>
                <w:rFonts w:cs="Arial" w:ascii="Arial" w:hAnsi="Arial"/>
                <w:b/>
                <w:bCs/>
              </w:rPr>
              <w:t>Essential</w:t>
            </w:r>
          </w:p>
          <w:p>
            <w:pPr>
              <w:pStyle w:val="ListParagraph"/>
              <w:numPr>
                <w:ilvl w:val="0"/>
                <w:numId w:val="5"/>
              </w:numPr>
              <w:rPr>
                <w:rFonts w:eastAsia="Arial Unicode MS"/>
                <w:color w:val="auto"/>
              </w:rPr>
            </w:pPr>
            <w:r>
              <w:rPr>
                <w:rFonts w:eastAsia="Arial Unicode MS"/>
                <w:color w:val="auto"/>
              </w:rPr>
              <w:t xml:space="preserve">Significant project experience and relevant qualification to the duties of the post. </w:t>
            </w:r>
          </w:p>
          <w:p>
            <w:pPr>
              <w:pStyle w:val="ListParagraph"/>
              <w:numPr>
                <w:ilvl w:val="0"/>
                <w:numId w:val="5"/>
              </w:numPr>
              <w:spacing w:before="240" w:after="0"/>
              <w:rPr>
                <w:rFonts w:eastAsia="Arial Unicode MS"/>
                <w:color w:val="auto"/>
              </w:rPr>
            </w:pPr>
            <w:r>
              <w:rPr>
                <w:rFonts w:eastAsia="Arial Unicode MS"/>
                <w:color w:val="auto"/>
              </w:rPr>
              <w:t>Knowledge of relevant accessibility regulations and legislation and their application to internal assurance processes to maintain Web Content Accessibility Guidelines (WCAG)</w:t>
            </w:r>
          </w:p>
          <w:p>
            <w:pPr>
              <w:pStyle w:val="ListParagraph"/>
              <w:numPr>
                <w:ilvl w:val="0"/>
                <w:numId w:val="5"/>
              </w:numPr>
              <w:spacing w:before="240" w:after="0"/>
              <w:rPr/>
            </w:pPr>
            <w:r>
              <w:rPr/>
              <w:t>Knowledge of accessibility practice, processes, and models alongside some experience of supporting organisational approaches move towards fully accessible digital content, including websites, documents, and multimedia.</w:t>
            </w:r>
          </w:p>
          <w:p>
            <w:pPr>
              <w:pStyle w:val="ListParagraph"/>
              <w:numPr>
                <w:ilvl w:val="0"/>
                <w:numId w:val="5"/>
              </w:numPr>
              <w:spacing w:before="240" w:after="0"/>
              <w:rPr/>
            </w:pPr>
            <w:r>
              <w:rPr/>
              <w:t>Knowledge and experience of managing multiple, complex projects and/or a diverse workload, achieving objectives to time and quality.</w:t>
            </w:r>
          </w:p>
          <w:p>
            <w:pPr>
              <w:pStyle w:val="ListParagraph"/>
              <w:numPr>
                <w:ilvl w:val="0"/>
                <w:numId w:val="5"/>
              </w:numPr>
              <w:spacing w:before="240" w:after="0"/>
              <w:rPr/>
            </w:pPr>
            <w:r>
              <w:rPr/>
              <w:t xml:space="preserve">Experience of delivering change projects, within a structured methodology, to challenging timelines, balancing conflicting project priorities to ensure the delivery of successful outcomes. </w:t>
            </w:r>
          </w:p>
          <w:p>
            <w:pPr>
              <w:pStyle w:val="ListParagraph"/>
              <w:numPr>
                <w:ilvl w:val="0"/>
                <w:numId w:val="5"/>
              </w:numPr>
              <w:spacing w:before="240" w:after="0"/>
              <w:rPr/>
            </w:pPr>
            <w:r>
              <w:rPr/>
              <w:t>Experience working with a range of internal and external stakeholders to work collaboratively, manage and implement change, working flexibly, and developing innovative approaches.</w:t>
            </w:r>
          </w:p>
          <w:p>
            <w:pPr>
              <w:pStyle w:val="ListParagraph"/>
              <w:numPr>
                <w:ilvl w:val="0"/>
                <w:numId w:val="5"/>
              </w:numPr>
              <w:spacing w:before="240" w:after="0"/>
              <w:rPr/>
            </w:pPr>
            <w:r>
              <w:rPr/>
              <w:t>Experience evaluating options, assessing risk, and determining appropriate actions.</w:t>
            </w:r>
          </w:p>
          <w:p>
            <w:pPr>
              <w:pStyle w:val="Normal"/>
              <w:spacing w:before="240" w:after="240"/>
              <w:rPr>
                <w:rFonts w:ascii="Arial" w:hAnsi="Arial" w:cs="Arial"/>
                <w:b/>
                <w:b/>
                <w:bCs/>
              </w:rPr>
            </w:pPr>
            <w:r>
              <w:rPr>
                <w:rFonts w:cs="Arial" w:ascii="Arial" w:hAnsi="Arial"/>
                <w:b/>
                <w:bCs/>
              </w:rPr>
              <w:t>Desirable</w:t>
            </w:r>
          </w:p>
          <w:p>
            <w:pPr>
              <w:pStyle w:val="Normal"/>
              <w:rPr>
                <w:rFonts w:ascii="Arial" w:hAnsi="Arial" w:cs="Arial"/>
                <w:sz w:val="22"/>
                <w:szCs w:val="22"/>
                <w:u w:val="none" w:color="000000"/>
              </w:rPr>
            </w:pPr>
            <w:r>
              <w:rPr>
                <w:rFonts w:cs="Arial" w:ascii="Arial" w:hAnsi="Arial"/>
                <w:sz w:val="22"/>
                <w:szCs w:val="22"/>
                <w:u w:val="none" w:color="000000"/>
              </w:rPr>
              <w:t>Experience of:</w:t>
            </w:r>
          </w:p>
          <w:p>
            <w:pPr>
              <w:pStyle w:val="ListParagraph"/>
              <w:numPr>
                <w:ilvl w:val="0"/>
                <w:numId w:val="5"/>
              </w:numPr>
              <w:spacing w:before="240" w:after="0"/>
              <w:rPr/>
            </w:pPr>
            <w:r>
              <w:rPr/>
              <w:t>Supporting development of and implementing complex or large-scale projects and initiatives within a complex and/or political environment.</w:t>
            </w:r>
          </w:p>
          <w:p>
            <w:pPr>
              <w:pStyle w:val="ListParagraph"/>
              <w:numPr>
                <w:ilvl w:val="0"/>
                <w:numId w:val="5"/>
              </w:numPr>
              <w:spacing w:before="240" w:after="0"/>
              <w:rPr/>
            </w:pPr>
            <w:r>
              <w:rPr/>
              <w:t>Testing documents, websites, systems, or processes against accessibility standards and reporting findings.</w:t>
            </w:r>
          </w:p>
          <w:p>
            <w:pPr>
              <w:pStyle w:val="ListParagraph"/>
              <w:numPr>
                <w:ilvl w:val="0"/>
                <w:numId w:val="5"/>
              </w:numPr>
              <w:spacing w:before="240" w:after="0"/>
              <w:rPr/>
            </w:pPr>
            <w:r>
              <w:rPr/>
              <w:t>Identifying skills gaps and training requirements and finding ways to meet these.</w:t>
            </w:r>
          </w:p>
          <w:p>
            <w:pPr>
              <w:pStyle w:val="ListParagraph"/>
              <w:numPr>
                <w:ilvl w:val="0"/>
                <w:numId w:val="5"/>
              </w:numPr>
              <w:spacing w:before="240" w:after="0"/>
              <w:rPr/>
            </w:pPr>
            <w:r>
              <w:rPr/>
              <w:t>Training and developing others; establishing a network of champions throughout an organisation to cascade new skills or behaviours</w:t>
            </w:r>
          </w:p>
          <w:p>
            <w:pPr>
              <w:pStyle w:val="ListParagraph"/>
              <w:numPr>
                <w:ilvl w:val="0"/>
                <w:numId w:val="5"/>
              </w:numPr>
              <w:spacing w:before="240" w:after="0"/>
              <w:rPr/>
            </w:pPr>
            <w:r>
              <w:rPr/>
              <w:t>Using assistive technologies</w:t>
            </w:r>
          </w:p>
          <w:p>
            <w:pPr>
              <w:pStyle w:val="ListParagraph"/>
              <w:numPr>
                <w:ilvl w:val="0"/>
                <w:numId w:val="5"/>
              </w:numPr>
              <w:spacing w:before="240" w:after="0"/>
              <w:rPr/>
            </w:pPr>
            <w:r>
              <w:rPr/>
              <w:t>Understanding of accessible Hyper Text Mark up language (HTML) and Cascading Style Sheets (CSS)</w:t>
            </w:r>
          </w:p>
          <w:p>
            <w:pPr>
              <w:pStyle w:val="ListParagraph"/>
              <w:ind w:left="420" w:right="0" w:hanging="0"/>
              <w:rPr>
                <w:rFonts w:eastAsia="Arial Unicode MS"/>
                <w:color w:val="auto"/>
              </w:rPr>
            </w:pPr>
            <w:r>
              <w:rPr>
                <w:rFonts w:eastAsia="Arial Unicode MS"/>
                <w:color w:val="auto"/>
              </w:rPr>
            </w:r>
          </w:p>
          <w:p>
            <w:pPr>
              <w:pStyle w:val="Normal"/>
              <w:ind w:left="60" w:right="0" w:hanging="0"/>
              <w:rPr>
                <w:rFonts w:ascii="Arial" w:hAnsi="Arial" w:eastAsia="Arial Unicode MS" w:cs="Arial"/>
                <w:color w:val="auto"/>
                <w:sz w:val="22"/>
                <w:szCs w:val="22"/>
              </w:rPr>
            </w:pPr>
            <w:r>
              <w:rPr>
                <w:rFonts w:eastAsia="Arial Unicode MS" w:cs="Arial" w:ascii="Arial" w:hAnsi="Arial"/>
                <w:color w:val="auto"/>
                <w:sz w:val="22"/>
                <w:szCs w:val="22"/>
              </w:rPr>
            </w:r>
          </w:p>
          <w:p>
            <w:pPr>
              <w:pStyle w:val="Normal"/>
              <w:ind w:left="60" w:right="0" w:hanging="0"/>
              <w:rPr>
                <w:rFonts w:ascii="Arial" w:hAnsi="Arial" w:cs="Arial"/>
                <w:b/>
                <w:b/>
                <w:sz w:val="22"/>
                <w:szCs w:val="22"/>
              </w:rPr>
            </w:pPr>
            <w:r>
              <w:rPr>
                <w:rFonts w:cs="Arial" w:ascii="Arial" w:hAnsi="Arial"/>
                <w:b/>
                <w:sz w:val="22"/>
                <w:szCs w:val="22"/>
              </w:rPr>
              <w:t>Skills &amp; Behaviours</w:t>
            </w:r>
          </w:p>
          <w:p>
            <w:pPr>
              <w:pStyle w:val="Normal"/>
              <w:pBdr/>
              <w:rPr>
                <w:rFonts w:ascii="Arial" w:hAnsi="Arial" w:cs="Arial"/>
                <w:b/>
                <w:b/>
                <w:sz w:val="22"/>
                <w:szCs w:val="22"/>
              </w:rPr>
            </w:pPr>
            <w:r>
              <w:rPr>
                <w:rFonts w:cs="Arial" w:ascii="Arial" w:hAnsi="Arial"/>
                <w:b/>
                <w:sz w:val="22"/>
                <w:szCs w:val="22"/>
              </w:rPr>
            </w:r>
          </w:p>
          <w:p>
            <w:pPr>
              <w:pStyle w:val="ListParagraph"/>
              <w:numPr>
                <w:ilvl w:val="0"/>
                <w:numId w:val="4"/>
              </w:numPr>
              <w:rPr>
                <w:rFonts w:eastAsia="Arial Unicode MS"/>
                <w:color w:val="auto"/>
              </w:rPr>
            </w:pPr>
            <w:r>
              <w:rPr>
                <w:rFonts w:eastAsia="Arial Unicode MS"/>
                <w:color w:val="auto"/>
              </w:rPr>
              <w:t>Excellent relationship management and consulting skills with demonstrated ability to develop effective strategic relationships with key stakeholders and colleagues.</w:t>
            </w:r>
          </w:p>
          <w:p>
            <w:pPr>
              <w:pStyle w:val="ListParagraph"/>
              <w:ind w:left="360" w:right="0" w:hanging="0"/>
              <w:rPr>
                <w:rFonts w:eastAsia="Arial Unicode MS"/>
                <w:color w:val="auto"/>
              </w:rPr>
            </w:pPr>
            <w:r>
              <w:rPr>
                <w:rFonts w:eastAsia="Arial Unicode MS"/>
                <w:color w:val="auto"/>
              </w:rPr>
            </w:r>
          </w:p>
          <w:p>
            <w:pPr>
              <w:pStyle w:val="ListParagraph"/>
              <w:numPr>
                <w:ilvl w:val="0"/>
                <w:numId w:val="4"/>
              </w:numPr>
              <w:rPr>
                <w:rFonts w:eastAsia="Arial Unicode MS"/>
                <w:color w:val="auto"/>
              </w:rPr>
            </w:pPr>
            <w:r>
              <w:rPr>
                <w:rFonts w:eastAsia="Arial Unicode MS"/>
                <w:color w:val="auto"/>
              </w:rPr>
              <w:t>Excellent writing skills and ability to translate complex messaging for differing audiences, through a variety of formats.</w:t>
            </w:r>
          </w:p>
          <w:p>
            <w:pPr>
              <w:pStyle w:val="Normal"/>
              <w:rPr>
                <w:rFonts w:ascii="Arial" w:hAnsi="Arial" w:cs="Arial"/>
                <w:sz w:val="22"/>
                <w:szCs w:val="22"/>
              </w:rPr>
            </w:pPr>
            <w:r>
              <w:rPr>
                <w:rFonts w:cs="Arial" w:ascii="Arial" w:hAnsi="Arial"/>
                <w:sz w:val="22"/>
                <w:szCs w:val="22"/>
              </w:rPr>
            </w:r>
          </w:p>
          <w:p>
            <w:pPr>
              <w:pStyle w:val="ListParagraph"/>
              <w:numPr>
                <w:ilvl w:val="0"/>
                <w:numId w:val="4"/>
              </w:numPr>
              <w:rPr/>
            </w:pPr>
            <w:r>
              <w:rPr>
                <w:rFonts w:eastAsia="Arial Unicode MS"/>
                <w:color w:val="auto"/>
              </w:rPr>
              <w:t xml:space="preserve">Well-developed negotiating and influencing skills, and the ability to negotiate at senior levels with a proven </w:t>
            </w:r>
            <w:bookmarkStart w:id="5" w:name="_Int_4upQUGVN"/>
            <w:r>
              <w:rPr>
                <w:rFonts w:eastAsia="Arial Unicode MS"/>
                <w:color w:val="auto"/>
              </w:rPr>
              <w:t>track record</w:t>
            </w:r>
            <w:bookmarkEnd w:id="5"/>
            <w:r>
              <w:rPr>
                <w:rFonts w:eastAsia="Arial Unicode MS"/>
                <w:color w:val="auto"/>
              </w:rPr>
              <w:t xml:space="preserve"> of using influencing, negotiation, and coaching skills at these levels.</w:t>
            </w:r>
          </w:p>
          <w:p>
            <w:pPr>
              <w:pStyle w:val="ListParagraph"/>
              <w:ind w:left="360" w:right="0" w:hanging="0"/>
              <w:rPr>
                <w:rFonts w:eastAsia="Arial Unicode MS"/>
                <w:color w:val="auto"/>
              </w:rPr>
            </w:pPr>
            <w:r>
              <w:rPr>
                <w:rFonts w:eastAsia="Arial Unicode MS"/>
                <w:color w:val="auto"/>
              </w:rPr>
            </w:r>
          </w:p>
          <w:p>
            <w:pPr>
              <w:pStyle w:val="ListParagraph"/>
              <w:numPr>
                <w:ilvl w:val="0"/>
                <w:numId w:val="4"/>
              </w:numPr>
              <w:rPr>
                <w:rFonts w:eastAsia="Arial Unicode MS"/>
                <w:color w:val="auto"/>
              </w:rPr>
            </w:pPr>
            <w:r>
              <w:rPr>
                <w:rFonts w:eastAsia="Arial Unicode MS"/>
                <w:color w:val="auto"/>
              </w:rPr>
              <w:t>Strong analytical skills with the ability to quickly establish and address key issues.</w:t>
            </w:r>
          </w:p>
          <w:p>
            <w:pPr>
              <w:pStyle w:val="ListParagraph"/>
              <w:rPr>
                <w:rFonts w:eastAsia="Arial Unicode MS"/>
                <w:color w:val="auto"/>
              </w:rPr>
            </w:pPr>
            <w:r>
              <w:rPr>
                <w:rFonts w:eastAsia="Arial Unicode MS"/>
                <w:color w:val="auto"/>
              </w:rPr>
            </w:r>
          </w:p>
          <w:p>
            <w:pPr>
              <w:pStyle w:val="ListParagraph"/>
              <w:numPr>
                <w:ilvl w:val="0"/>
                <w:numId w:val="4"/>
              </w:numPr>
              <w:rPr>
                <w:rFonts w:eastAsia="Arial Unicode MS"/>
                <w:color w:val="auto"/>
              </w:rPr>
            </w:pPr>
            <w:r>
              <w:rPr>
                <w:rFonts w:eastAsia="Arial Unicode MS"/>
                <w:color w:val="auto"/>
              </w:rPr>
              <w:t>Effective oral and written communication skills with a confident presentational style.</w:t>
            </w:r>
          </w:p>
          <w:p>
            <w:pPr>
              <w:pStyle w:val="Normal"/>
              <w:rPr>
                <w:rFonts w:ascii="Arial" w:hAnsi="Arial" w:cs="Arial"/>
                <w:sz w:val="22"/>
                <w:szCs w:val="22"/>
              </w:rPr>
            </w:pPr>
            <w:r>
              <w:rPr>
                <w:rFonts w:cs="Arial" w:ascii="Arial" w:hAnsi="Arial"/>
                <w:sz w:val="22"/>
                <w:szCs w:val="22"/>
              </w:rPr>
            </w:r>
          </w:p>
          <w:p>
            <w:pPr>
              <w:pStyle w:val="ListParagraph"/>
              <w:numPr>
                <w:ilvl w:val="0"/>
                <w:numId w:val="4"/>
              </w:numPr>
              <w:rPr>
                <w:rFonts w:eastAsia="Arial Unicode MS"/>
                <w:color w:val="auto"/>
              </w:rPr>
            </w:pPr>
            <w:r>
              <w:rPr>
                <w:rFonts w:eastAsia="Arial Unicode MS"/>
                <w:color w:val="auto"/>
              </w:rPr>
              <w:t>Self-motivation and ability to deal with a demanding workload and deliver consistently to deadlines.</w:t>
            </w:r>
          </w:p>
        </w:tc>
      </w:tr>
    </w:tbl>
    <w:p>
      <w:pPr>
        <w:pStyle w:val="Normal"/>
        <w:shd w:fill="FFFFFF" w:val="clear"/>
        <w:jc w:val="both"/>
        <w:rPr>
          <w:rFonts w:ascii="Arial" w:hAnsi="Arial" w:cs="Arial"/>
          <w:b/>
          <w:b/>
          <w:color w:val="595959"/>
          <w:sz w:val="22"/>
          <w:szCs w:val="22"/>
        </w:rPr>
      </w:pPr>
      <w:r>
        <w:rPr>
          <w:rFonts w:cs="Arial" w:ascii="Arial" w:hAnsi="Arial"/>
          <w:b/>
          <w:color w:val="595959"/>
          <w:sz w:val="22"/>
          <w:szCs w:val="22"/>
        </w:rPr>
      </w:r>
    </w:p>
    <w:p>
      <w:pPr>
        <w:pStyle w:val="Normal"/>
        <w:shd w:fill="FFFFFF" w:val="clear"/>
        <w:jc w:val="both"/>
        <w:rPr>
          <w:rFonts w:ascii="Arial" w:hAnsi="Arial" w:cs="Arial"/>
          <w:b/>
          <w:b/>
          <w:color w:val="595959"/>
          <w:sz w:val="22"/>
          <w:szCs w:val="22"/>
        </w:rPr>
      </w:pPr>
      <w:r>
        <w:rPr>
          <w:rFonts w:cs="Arial" w:ascii="Arial" w:hAnsi="Arial"/>
          <w:b/>
          <w:color w:val="595959"/>
          <w:sz w:val="22"/>
          <w:szCs w:val="22"/>
        </w:rPr>
      </w:r>
    </w:p>
    <w:p>
      <w:pPr>
        <w:pStyle w:val="Normal"/>
        <w:shd w:fill="FFFFFF" w:val="clear"/>
        <w:jc w:val="both"/>
        <w:rPr>
          <w:rFonts w:ascii="Arial" w:hAnsi="Arial" w:cs="Arial"/>
          <w:b/>
          <w:b/>
          <w:color w:val="595959"/>
          <w:sz w:val="22"/>
          <w:szCs w:val="22"/>
        </w:rPr>
      </w:pPr>
      <w:r>
        <w:rPr>
          <w:rFonts w:cs="Arial" w:ascii="Arial" w:hAnsi="Arial"/>
          <w:b/>
          <w:color w:val="595959"/>
          <w:sz w:val="22"/>
          <w:szCs w:val="22"/>
        </w:rPr>
        <w:t>Corporate Duties</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TextBody"/>
        <w:widowControl w:val="false"/>
        <w:suppressAutoHyphens w:val="true"/>
        <w:rPr/>
      </w:pPr>
      <w:r>
        <w:rPr>
          <w:rFonts w:cs="Arial"/>
          <w:color w:val="595959"/>
          <w:sz w:val="22"/>
          <w:szCs w:val="22"/>
        </w:rPr>
        <w:t xml:space="preserve">Avoid any behaviour which discriminates against your fellow employees, or potential employees on the grounds of their sex, sexual orientation, marital status, race, religion, creed, colour, nationality, ethnic </w:t>
      </w:r>
      <w:bookmarkStart w:id="6" w:name="_Int_fRmqwX0K"/>
      <w:r>
        <w:rPr>
          <w:rFonts w:cs="Arial"/>
          <w:color w:val="595959"/>
          <w:sz w:val="22"/>
          <w:szCs w:val="22"/>
        </w:rPr>
        <w:t>origin</w:t>
      </w:r>
      <w:bookmarkEnd w:id="6"/>
      <w:r>
        <w:rPr>
          <w:rFonts w:cs="Arial"/>
          <w:color w:val="595959"/>
          <w:sz w:val="22"/>
          <w:szCs w:val="22"/>
        </w:rPr>
        <w:t xml:space="preserve"> or disability.</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Normal"/>
        <w:widowControl w:val="false"/>
        <w:suppressAutoHyphens w:val="true"/>
        <w:jc w:val="both"/>
        <w:rPr/>
      </w:pPr>
      <w:r>
        <w:rPr>
          <w:rFonts w:cs="Arial" w:ascii="Arial" w:hAnsi="Arial"/>
          <w:color w:val="595959"/>
          <w:sz w:val="22"/>
          <w:szCs w:val="22"/>
        </w:rPr>
        <w:t xml:space="preserve">Safeguard </w:t>
      </w:r>
      <w:bookmarkStart w:id="7" w:name="_Int_35gtLqsh"/>
      <w:r>
        <w:rPr>
          <w:rFonts w:cs="Arial" w:ascii="Arial" w:hAnsi="Arial"/>
          <w:color w:val="595959"/>
          <w:sz w:val="22"/>
          <w:szCs w:val="22"/>
        </w:rPr>
        <w:t>at all times</w:t>
      </w:r>
      <w:bookmarkEnd w:id="7"/>
      <w:r>
        <w:rPr>
          <w:rFonts w:cs="Arial" w:ascii="Arial" w:hAnsi="Arial"/>
          <w:color w:val="595959"/>
          <w:sz w:val="22"/>
          <w:szCs w:val="22"/>
        </w:rPr>
        <w:t xml:space="preserve"> confidentiality of information relating to staff and pensioners.</w:t>
      </w:r>
    </w:p>
    <w:p>
      <w:pPr>
        <w:pStyle w:val="Normal"/>
        <w:widowControl w:val="false"/>
        <w:suppressAutoHyphens w:val="true"/>
        <w:jc w:val="both"/>
        <w:rPr/>
      </w:pPr>
      <w:r>
        <w:rPr>
          <w:rFonts w:cs="Arial" w:ascii="Arial" w:hAnsi="Arial"/>
          <w:color w:val="595959"/>
          <w:sz w:val="22"/>
          <w:szCs w:val="22"/>
        </w:rPr>
        <w:t xml:space="preserve">Refrain from smoking in any </w:t>
      </w:r>
      <w:bookmarkStart w:id="8" w:name="_Int_27QhCQlS"/>
      <w:r>
        <w:rPr>
          <w:rFonts w:cs="Arial" w:ascii="Arial" w:hAnsi="Arial"/>
          <w:color w:val="595959"/>
          <w:sz w:val="22"/>
          <w:szCs w:val="22"/>
        </w:rPr>
        <w:t>areas</w:t>
      </w:r>
      <w:bookmarkEnd w:id="8"/>
      <w:r>
        <w:rPr>
          <w:rFonts w:cs="Arial" w:ascii="Arial" w:hAnsi="Arial"/>
          <w:color w:val="595959"/>
          <w:sz w:val="22"/>
          <w:szCs w:val="22"/>
        </w:rPr>
        <w:t xml:space="preserve"> of Service premises.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Behave in a manner that ensures the security of property and resources.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Abide by all relevant Service Policies and Procedures.</w:t>
      </w:r>
    </w:p>
    <w:p>
      <w:pPr>
        <w:pStyle w:val="ListParagraph"/>
        <w:ind w:left="0" w:right="0" w:hanging="0"/>
        <w:jc w:val="both"/>
        <w:rPr>
          <w:color w:val="595959"/>
        </w:rPr>
      </w:pPr>
      <w:r>
        <w:rPr>
          <w:color w:val="595959"/>
        </w:rPr>
      </w:r>
    </w:p>
    <w:p>
      <w:pPr>
        <w:pStyle w:val="Normal"/>
        <w:tabs>
          <w:tab w:val="clear" w:pos="720"/>
          <w:tab w:val="left" w:pos="1134" w:leader="none"/>
        </w:tabs>
        <w:spacing w:before="0" w:after="0"/>
        <w:contextualSpacing/>
        <w:jc w:val="both"/>
        <w:rPr/>
      </w:pPr>
      <w:r>
        <w:rPr>
          <w:rFonts w:cs="Arial" w:ascii="Arial" w:hAnsi="Arial"/>
          <w:b/>
          <w:bCs/>
          <w:color w:val="595959"/>
          <w:sz w:val="22"/>
          <w:szCs w:val="22"/>
        </w:rPr>
        <w:t xml:space="preserve">Records Management/ Data Protection - </w:t>
      </w:r>
      <w:r>
        <w:rPr>
          <w:rFonts w:cs="Arial" w:ascii="Arial" w:hAnsi="Arial"/>
          <w:color w:val="595959"/>
          <w:sz w:val="22"/>
          <w:szCs w:val="22"/>
        </w:rPr>
        <w:t xml:space="preserve">As an employee of the GMCA, you have a legal responsibility for all records (including employee health, financial, personal, and administrative) that you gather or use as part of your work with the Service. The records may be paper, electronic, </w:t>
      </w:r>
      <w:bookmarkStart w:id="9" w:name="_Int_08gOoKBm"/>
      <w:r>
        <w:rPr>
          <w:rFonts w:cs="Arial" w:ascii="Arial" w:hAnsi="Arial"/>
          <w:color w:val="595959"/>
          <w:sz w:val="22"/>
          <w:szCs w:val="22"/>
        </w:rPr>
        <w:t>audio</w:t>
      </w:r>
      <w:bookmarkEnd w:id="9"/>
      <w:r>
        <w:rPr>
          <w:rFonts w:cs="Arial" w:ascii="Arial" w:hAnsi="Arial"/>
          <w:color w:val="595959"/>
          <w:sz w:val="22"/>
          <w:szCs w:val="22"/>
        </w:rPr>
        <w:t xml:space="preserve"> or videotapes. You must consult your manager if you have any </w:t>
      </w:r>
      <w:bookmarkStart w:id="10" w:name="_Int_A0hwkBQE"/>
      <w:r>
        <w:rPr>
          <w:rFonts w:cs="Arial" w:ascii="Arial" w:hAnsi="Arial"/>
          <w:color w:val="595959"/>
          <w:sz w:val="22"/>
          <w:szCs w:val="22"/>
        </w:rPr>
        <w:t>doubt as</w:t>
      </w:r>
      <w:bookmarkEnd w:id="10"/>
      <w:r>
        <w:rPr>
          <w:rFonts w:cs="Arial" w:ascii="Arial" w:hAnsi="Arial"/>
          <w:color w:val="595959"/>
          <w:sz w:val="22"/>
          <w:szCs w:val="22"/>
        </w:rPr>
        <w:t xml:space="preserve"> </w:t>
      </w:r>
      <w:bookmarkStart w:id="11" w:name="_Int_tR8n0xOX"/>
      <w:r>
        <w:rPr>
          <w:rFonts w:cs="Arial" w:ascii="Arial" w:hAnsi="Arial"/>
          <w:color w:val="595959"/>
          <w:sz w:val="22"/>
          <w:szCs w:val="22"/>
        </w:rPr>
        <w:t>to</w:t>
      </w:r>
      <w:bookmarkEnd w:id="11"/>
      <w:r>
        <w:rPr>
          <w:rFonts w:cs="Arial" w:ascii="Arial" w:hAnsi="Arial"/>
          <w:color w:val="595959"/>
          <w:sz w:val="22"/>
          <w:szCs w:val="22"/>
        </w:rPr>
        <w:t xml:space="preserve"> the correct management of the records with which you work.</w:t>
      </w:r>
    </w:p>
    <w:p>
      <w:pPr>
        <w:pStyle w:val="BodyTextIndent3"/>
        <w:tabs>
          <w:tab w:val="clear" w:pos="720"/>
          <w:tab w:val="left" w:pos="1134" w:leader="none"/>
        </w:tabs>
        <w:spacing w:before="0" w:after="0"/>
        <w:ind w:left="0" w:right="0" w:hanging="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bCs/>
          <w:color w:val="595959"/>
          <w:sz w:val="22"/>
          <w:szCs w:val="22"/>
        </w:rPr>
        <w:t xml:space="preserve">Confidentiality and Information Security - </w:t>
      </w:r>
      <w:r>
        <w:rPr>
          <w:rFonts w:cs="Arial" w:ascii="Arial" w:hAnsi="Arial"/>
          <w:color w:val="595959"/>
          <w:sz w:val="22"/>
          <w:szCs w:val="22"/>
        </w:rPr>
        <w:t xml:space="preserve">As a GMCA </w:t>
      </w:r>
      <w:bookmarkStart w:id="12" w:name="_Int_PIwygqPB"/>
      <w:r>
        <w:rPr>
          <w:rFonts w:cs="Arial" w:ascii="Arial" w:hAnsi="Arial"/>
          <w:color w:val="595959"/>
          <w:sz w:val="22"/>
          <w:szCs w:val="22"/>
        </w:rPr>
        <w:t>employee</w:t>
      </w:r>
      <w:bookmarkEnd w:id="12"/>
      <w:r>
        <w:rPr>
          <w:rFonts w:cs="Arial" w:ascii="Arial" w:hAnsi="Arial"/>
          <w:color w:val="595959"/>
          <w:sz w:val="22"/>
          <w:szCs w:val="22"/>
        </w:rPr>
        <w:t xml:space="preserve"> you are required to uphold the confidentiality of all records held by the GMCA, whether employee records or GMCA information. This duty lasts indefinitely and will continue after you leave the </w:t>
      </w:r>
      <w:bookmarkStart w:id="13" w:name="_Int_2YHvcPAm"/>
      <w:r>
        <w:rPr>
          <w:rFonts w:cs="Arial" w:ascii="Arial" w:hAnsi="Arial"/>
          <w:color w:val="595959"/>
          <w:sz w:val="22"/>
          <w:szCs w:val="22"/>
        </w:rPr>
        <w:t>GMCA</w:t>
      </w:r>
      <w:bookmarkEnd w:id="13"/>
      <w:r>
        <w:rPr>
          <w:rFonts w:cs="Arial" w:ascii="Arial" w:hAnsi="Arial"/>
          <w:color w:val="595959"/>
          <w:sz w:val="22"/>
          <w:szCs w:val="22"/>
        </w:rPr>
        <w:t xml:space="preserve"> employment. All employees must maintain confidentiality and abide by the Data Protection Act.</w:t>
      </w:r>
    </w:p>
    <w:p>
      <w:pPr>
        <w:pStyle w:val="Normal"/>
        <w:spacing w:before="0" w:after="0"/>
        <w:contextualSpacing/>
        <w:jc w:val="both"/>
        <w:rPr>
          <w:rFonts w:ascii="Arial" w:hAnsi="Arial" w:eastAsia="Arial" w:cs="Arial"/>
          <w:color w:val="595959"/>
          <w:sz w:val="22"/>
          <w:szCs w:val="22"/>
        </w:rPr>
      </w:pPr>
      <w:r>
        <w:rPr>
          <w:rFonts w:eastAsia="Arial" w:cs="Arial" w:ascii="Arial" w:hAnsi="Arial"/>
          <w:color w:val="595959"/>
          <w:sz w:val="22"/>
          <w:szCs w:val="22"/>
        </w:rPr>
        <w:t xml:space="preserve"> </w:t>
      </w:r>
    </w:p>
    <w:p>
      <w:pPr>
        <w:pStyle w:val="Normal"/>
        <w:spacing w:before="0" w:after="0"/>
        <w:contextualSpacing/>
        <w:jc w:val="both"/>
        <w:rPr/>
      </w:pPr>
      <w:r>
        <w:rPr>
          <w:rFonts w:cs="Arial" w:ascii="Arial" w:hAnsi="Arial"/>
          <w:b/>
          <w:color w:val="595959"/>
          <w:sz w:val="22"/>
          <w:szCs w:val="22"/>
        </w:rPr>
        <w:t xml:space="preserve">Data Quality - </w:t>
      </w:r>
      <w:r>
        <w:rPr>
          <w:rFonts w:cs="Arial" w:ascii="Arial" w:hAnsi="Arial"/>
          <w:color w:val="595959"/>
          <w:sz w:val="22"/>
          <w:szCs w:val="22"/>
        </w:rPr>
        <w:t>All staff are personally responsible</w:t>
      </w:r>
      <w:r>
        <w:rPr>
          <w:rFonts w:cs="Arial" w:ascii="Arial" w:hAnsi="Arial"/>
          <w:b/>
          <w:bCs/>
          <w:color w:val="595959"/>
          <w:sz w:val="22"/>
          <w:szCs w:val="22"/>
        </w:rPr>
        <w:t xml:space="preserve"> </w:t>
      </w:r>
      <w:r>
        <w:rPr>
          <w:rFonts w:cs="Arial" w:ascii="Arial" w:hAnsi="Arial"/>
          <w:color w:val="595959"/>
          <w:sz w:val="22"/>
          <w:szCs w:val="22"/>
        </w:rPr>
        <w:t>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w:t>
      </w:r>
    </w:p>
    <w:p>
      <w:pPr>
        <w:pStyle w:val="Normal"/>
        <w:jc w:val="both"/>
        <w:rPr>
          <w:rFonts w:ascii="Arial" w:hAnsi="Arial" w:cs="Arial"/>
          <w:color w:val="595959"/>
          <w:sz w:val="22"/>
          <w:szCs w:val="22"/>
        </w:rPr>
      </w:pPr>
      <w:r>
        <w:rPr>
          <w:rFonts w:cs="Arial" w:ascii="Arial" w:hAnsi="Arial"/>
          <w:color w:val="595959"/>
          <w:sz w:val="22"/>
          <w:szCs w:val="22"/>
        </w:rPr>
        <w:t>  </w:t>
      </w:r>
    </w:p>
    <w:p>
      <w:pPr>
        <w:pStyle w:val="Normal"/>
        <w:jc w:val="both"/>
        <w:rPr/>
      </w:pPr>
      <w:r>
        <w:rPr>
          <w:rFonts w:cs="Arial" w:ascii="Arial" w:hAnsi="Arial"/>
          <w:color w:val="595959"/>
          <w:sz w:val="22"/>
          <w:szCs w:val="22"/>
        </w:rPr>
        <w:t xml:space="preserve">To ensure data is handled in a secure </w:t>
      </w:r>
      <w:bookmarkStart w:id="14" w:name="_Int_fafelhjg"/>
      <w:r>
        <w:rPr>
          <w:rFonts w:cs="Arial" w:ascii="Arial" w:hAnsi="Arial"/>
          <w:color w:val="595959"/>
          <w:sz w:val="22"/>
          <w:szCs w:val="22"/>
        </w:rPr>
        <w:t>manner</w:t>
      </w:r>
      <w:bookmarkEnd w:id="14"/>
      <w:r>
        <w:rPr>
          <w:rFonts w:cs="Arial" w:ascii="Arial" w:hAnsi="Arial"/>
          <w:color w:val="595959"/>
          <w:sz w:val="22"/>
          <w:szCs w:val="22"/>
        </w:rPr>
        <w:t xml:space="preserve"> protecting the confidentiality of any personal data held in meeting the requirements of the Data Protection Act. </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bCs/>
          <w:color w:val="595959"/>
          <w:sz w:val="22"/>
          <w:szCs w:val="22"/>
        </w:rPr>
        <w:t xml:space="preserve">Health and Safety - </w:t>
      </w:r>
      <w:r>
        <w:rPr>
          <w:rFonts w:cs="Arial" w:ascii="Arial" w:hAnsi="Arial"/>
          <w:color w:val="595959"/>
          <w:sz w:val="22"/>
          <w:szCs w:val="22"/>
        </w:rPr>
        <w:t xml:space="preserve">All employees of GMCA have a statutory duty of care for their own personal safety and that of others who may be affected by their acts or omissions. Employees are required to co-operate with management to enable GMCA to meet its own legal duties and to </w:t>
      </w:r>
      <w:bookmarkStart w:id="15" w:name="_Int_AemkdyJY"/>
      <w:r>
        <w:rPr>
          <w:rFonts w:cs="Arial" w:ascii="Arial" w:hAnsi="Arial"/>
          <w:color w:val="595959"/>
          <w:sz w:val="22"/>
          <w:szCs w:val="22"/>
        </w:rPr>
        <w:t>report</w:t>
      </w:r>
      <w:bookmarkEnd w:id="15"/>
      <w:r>
        <w:rPr>
          <w:rFonts w:cs="Arial" w:ascii="Arial" w:hAnsi="Arial"/>
          <w:color w:val="595959"/>
          <w:sz w:val="22"/>
          <w:szCs w:val="22"/>
        </w:rPr>
        <w:t xml:space="preserve"> any circumstances that may compromise the health, safety, and welfare of those affected by the Service’s undertakings.</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Service Policies - </w:t>
      </w:r>
      <w:r>
        <w:rPr>
          <w:rFonts w:cs="Arial" w:ascii="Arial" w:hAnsi="Arial"/>
          <w:color w:val="595959"/>
          <w:sz w:val="22"/>
          <w:szCs w:val="22"/>
        </w:rPr>
        <w:t>All GMCA employees must observe and adhere to the provisions outlined in these policies.</w:t>
      </w:r>
    </w:p>
    <w:p>
      <w:pPr>
        <w:pStyle w:val="Normal"/>
        <w:spacing w:before="0" w:after="0"/>
        <w:contextualSpacing/>
        <w:jc w:val="both"/>
        <w:rPr>
          <w:rFonts w:ascii="Arial" w:hAnsi="Arial" w:cs="Arial"/>
          <w:color w:val="595959"/>
          <w:sz w:val="22"/>
          <w:szCs w:val="22"/>
        </w:rPr>
      </w:pPr>
      <w:r>
        <w:rPr>
          <w:rFonts w:cs="Arial" w:ascii="Arial" w:hAnsi="Arial"/>
          <w:color w:val="595959"/>
          <w:sz w:val="22"/>
          <w:szCs w:val="22"/>
        </w:rPr>
      </w:r>
    </w:p>
    <w:p>
      <w:pPr>
        <w:pStyle w:val="Body"/>
        <w:ind w:left="0" w:right="261" w:hanging="0"/>
        <w:rPr/>
      </w:pPr>
      <w:r>
        <w:rPr>
          <w:b/>
          <w:bCs/>
          <w:color w:val="595959"/>
          <w:lang w:val="en-US"/>
        </w:rPr>
        <w:t xml:space="preserve">Equal Opportunities - </w:t>
      </w:r>
      <w:r>
        <w:rPr>
          <w:color w:val="595959"/>
          <w:lang w:val="en-US"/>
        </w:rPr>
        <w:t>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3"/>
      <w:headerReference w:type="first" r:id="rId4"/>
      <w:footerReference w:type="default" r:id="rId5"/>
      <w:footerReference w:type="first" r:id="rId6"/>
      <w:type w:val="nextPage"/>
      <w:pgSz w:w="11906" w:h="16838"/>
      <w:pgMar w:left="1440" w:right="1440" w:header="426" w:top="993" w:footer="144" w:bottom="851"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Courier New">
    <w:charset w:val="00"/>
    <w:family w:val="roman"/>
    <w:pitch w:val="variable"/>
  </w:font>
  <w:font w:name="Segoe UI">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5</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sz w:val="22"/>
        <w:szCs w:val="22"/>
        <w:rFonts w:cs="Symbol"/>
        <w:lang w:val="en-U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z w:val="22"/>
        <w:szCs w:val="22"/>
        <w:rFonts w:cs="Symbol"/>
        <w:lang w:val="en-U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z w:val="22"/>
        <w:szCs w:val="22"/>
        <w:rFonts w:cs="Symbol"/>
        <w:lang w:val="en-U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o"/>
      <w:lvlJc w:val="left"/>
      <w:pPr>
        <w:ind w:left="720" w:hanging="360"/>
      </w:pPr>
      <w:rPr>
        <w:rFonts w:ascii="Courier New" w:hAnsi="Courier New" w:cs="Courier New" w:hint="default"/>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tabs>
          <w:tab w:val="num" w:pos="360"/>
        </w:tabs>
        <w:ind w:left="360" w:hanging="360"/>
      </w:pPr>
      <w:rPr>
        <w:rFonts w:ascii="Symbol" w:hAnsi="Symbol" w:cs="Symbol" w:hint="default"/>
        <w:rFonts w:cs="Symbol"/>
        <w:color w:val="auto"/>
      </w:rPr>
    </w:lvl>
    <w:lvl w:ilvl="1">
      <w:start w:val="1"/>
      <w:numFmt w:val="bullet"/>
      <w:lvlText w:val=""/>
      <w:lvlJc w:val="left"/>
      <w:pPr>
        <w:tabs>
          <w:tab w:val="num" w:pos="1080"/>
        </w:tabs>
        <w:ind w:left="1080" w:hanging="360"/>
      </w:pPr>
      <w:rPr>
        <w:rFonts w:ascii="Symbol" w:hAnsi="Symbol" w:cs="Symbol" w:hint="default"/>
        <w:rFonts w:cs="Symbol"/>
        <w:color w:val="auto"/>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rFonts w:cs="Symbol"/>
        <w:color w:val="auto"/>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rFonts w:cs="Symbol"/>
        <w:color w:val="auto"/>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5">
    <w:lvl w:ilvl="0">
      <w:start w:val="1"/>
      <w:numFmt w:val="bullet"/>
      <w:lvlText w:val=""/>
      <w:lvlJc w:val="left"/>
      <w:pPr>
        <w:tabs>
          <w:tab w:val="num" w:pos="420"/>
        </w:tabs>
        <w:ind w:left="4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lineRule="auto" w:line="240" w:before="0" w:after="0"/>
      <w:jc w:val="left"/>
    </w:pPr>
    <w:rPr>
      <w:rFonts w:ascii="Times New Roman" w:hAnsi="Times New Roman" w:eastAsia="Arial Unicode MS" w:cs="Times New Roman"/>
      <w:color w:val="auto"/>
      <w:kern w:val="0"/>
      <w:sz w:val="24"/>
      <w:szCs w:val="24"/>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3">
    <w:name w:val="Heading 3"/>
    <w:next w:val="Body"/>
    <w:qFormat/>
    <w:pPr>
      <w:keepNext w:val="true"/>
      <w:widowControl/>
      <w:numPr>
        <w:ilvl w:val="2"/>
        <w:numId w:val="1"/>
      </w:numPr>
      <w:pBdr/>
      <w:suppressAutoHyphens w:val="true"/>
      <w:bidi w:val="0"/>
      <w:spacing w:lineRule="auto" w:line="240" w:before="0" w:after="0"/>
      <w:jc w:val="left"/>
      <w:outlineLvl w:val="2"/>
    </w:pPr>
    <w:rPr>
      <w:rFonts w:ascii="Arial" w:hAnsi="Arial" w:eastAsia="Arial" w:cs="Arial"/>
      <w:b/>
      <w:bCs/>
      <w:color w:val="FFFFFF"/>
      <w:kern w:val="0"/>
      <w:sz w:val="24"/>
      <w:szCs w:val="24"/>
      <w:u w:val="none" w:color="FFFFFF"/>
      <w:lang w:val="en-US" w:eastAsia="en-US" w:bidi="ar-SA"/>
    </w:rPr>
  </w:style>
  <w:style w:type="character" w:styleId="WW8Num1z0">
    <w:name w:val="WW8Num1z0"/>
    <w:qFormat/>
    <w:rPr>
      <w:rFonts w:ascii="Symbol" w:hAnsi="Symbol" w:eastAsia="Arial Unicode MS" w:cs="Symbol"/>
      <w:sz w:val="22"/>
      <w:szCs w:val="22"/>
      <w:lang w:val="en-US"/>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eastAsia="Arial Unicode MS" w:cs="Symbol"/>
      <w:color w:val="auto"/>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3Char">
    <w:name w:val="Heading 3 Char"/>
    <w:basedOn w:val="DefaultParagraphFont"/>
    <w:qFormat/>
    <w:rPr>
      <w:rFonts w:ascii="Arial" w:hAnsi="Arial" w:eastAsia="Arial" w:cs="Arial"/>
      <w:b/>
      <w:bCs/>
      <w:color w:val="FFFFFF"/>
      <w:sz w:val="24"/>
      <w:szCs w:val="24"/>
      <w:u w:val="none" w:color="FFFFFF"/>
      <w:lang w:val="en-US"/>
    </w:rPr>
  </w:style>
  <w:style w:type="character" w:styleId="HeaderChar">
    <w:name w:val="Header Char"/>
    <w:basedOn w:val="DefaultParagraphFont"/>
    <w:qFormat/>
    <w:rPr>
      <w:rFonts w:ascii="Arial" w:hAnsi="Arial" w:eastAsia="Arial" w:cs="Arial"/>
      <w:color w:val="000000"/>
      <w:u w:val="none" w:color="000000"/>
      <w:lang w:val="en-US"/>
    </w:rPr>
  </w:style>
  <w:style w:type="character" w:styleId="FooterChar">
    <w:name w:val="Footer Char"/>
    <w:basedOn w:val="DefaultParagraphFont"/>
    <w:qFormat/>
    <w:rPr>
      <w:rFonts w:ascii="Arial" w:hAnsi="Arial" w:eastAsia="Arial" w:cs="Arial"/>
      <w:color w:val="000000"/>
      <w:u w:val="none" w:color="000000"/>
      <w:lang w:val="en-US"/>
    </w:rPr>
  </w:style>
  <w:style w:type="character" w:styleId="Heading1Char">
    <w:name w:val="Heading 1 Char"/>
    <w:basedOn w:val="DefaultParagraphFont"/>
    <w:qFormat/>
    <w:rPr>
      <w:rFonts w:ascii="Cambria" w:hAnsi="Cambria" w:eastAsia="" w:cs=""/>
      <w:b/>
      <w:bCs/>
      <w:color w:val="365F91"/>
      <w:sz w:val="28"/>
      <w:szCs w:val="28"/>
      <w:lang w:val="en-US"/>
    </w:rPr>
  </w:style>
  <w:style w:type="character" w:styleId="Heading2Char">
    <w:name w:val="Heading 2 Char"/>
    <w:basedOn w:val="DefaultParagraphFont"/>
    <w:qFormat/>
    <w:rPr>
      <w:rFonts w:ascii="Cambria" w:hAnsi="Cambria" w:eastAsia="" w:cs=""/>
      <w:b/>
      <w:bCs/>
      <w:color w:val="4F81BD"/>
      <w:sz w:val="26"/>
      <w:szCs w:val="26"/>
      <w:lang w:val="en-US"/>
    </w:rPr>
  </w:style>
  <w:style w:type="character" w:styleId="BalloonTextChar">
    <w:name w:val="Balloon Text Char"/>
    <w:basedOn w:val="DefaultParagraphFont"/>
    <w:qFormat/>
    <w:rPr>
      <w:rFonts w:ascii="Tahoma" w:hAnsi="Tahoma" w:eastAsia="Arial Unicode MS" w:cs="Tahoma"/>
      <w:sz w:val="16"/>
      <w:szCs w:val="16"/>
      <w:lang w:val="en-US"/>
    </w:rPr>
  </w:style>
  <w:style w:type="character" w:styleId="PlainTextChar">
    <w:name w:val="Plain Text Char"/>
    <w:basedOn w:val="DefaultParagraphFont"/>
    <w:qFormat/>
    <w:rPr>
      <w:rFonts w:ascii="Courier New" w:hAnsi="Courier New" w:eastAsia="Times New Roman" w:cs="Times New Roman"/>
      <w:sz w:val="20"/>
      <w:szCs w:val="20"/>
    </w:rPr>
  </w:style>
  <w:style w:type="character" w:styleId="BodyTextChar">
    <w:name w:val="Body Text Char"/>
    <w:basedOn w:val="DefaultParagraphFont"/>
    <w:qFormat/>
    <w:rPr>
      <w:rFonts w:ascii="Arial" w:hAnsi="Arial"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Arial Unicode MS" w:cs="Times New Roman"/>
      <w:sz w:val="20"/>
      <w:szCs w:val="20"/>
      <w:lang w:val="en-US"/>
    </w:rPr>
  </w:style>
  <w:style w:type="character" w:styleId="CommentSubjectChar">
    <w:name w:val="Comment Subject Char"/>
    <w:basedOn w:val="CommentTextChar"/>
    <w:qFormat/>
    <w:rPr>
      <w:rFonts w:ascii="Times New Roman" w:hAnsi="Times New Roman" w:eastAsia="Arial Unicode MS" w:cs="Times New Roman"/>
      <w:b/>
      <w:bCs/>
      <w:sz w:val="20"/>
      <w:szCs w:val="20"/>
      <w:lang w:val="en-US"/>
    </w:rPr>
  </w:style>
  <w:style w:type="character" w:styleId="BodyTextIndent3Char">
    <w:name w:val="Body Text Indent 3 Char"/>
    <w:basedOn w:val="DefaultParagraphFont"/>
    <w:qFormat/>
    <w:rPr>
      <w:rFonts w:ascii="Times New Roman" w:hAnsi="Times New Roman" w:eastAsia="Arial Unicode MS" w:cs="Times New Roman"/>
      <w:sz w:val="16"/>
      <w:szCs w:val="16"/>
      <w:lang w:val="en-US"/>
    </w:rPr>
  </w:style>
  <w:style w:type="character" w:styleId="Normaltextrun">
    <w:name w:val="normaltextrun"/>
    <w:basedOn w:val="DefaultParagraphFont"/>
    <w:qFormat/>
    <w:rPr/>
  </w:style>
  <w:style w:type="character" w:styleId="Eop">
    <w:name w:val="eop"/>
    <w:basedOn w:val="DefaultParagraphFont"/>
    <w:qForma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Cf01">
    <w:name w:val="cf01"/>
    <w:basedOn w:val="DefaultParagraphFont"/>
    <w:qFormat/>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pBdr/>
      <w:snapToGrid w:val="false"/>
    </w:pPr>
    <w:rPr>
      <w:rFonts w:ascii="Arial" w:hAnsi="Arial" w:eastAsia="Times New Roman" w:cs="Arial"/>
      <w:szCs w:val="20"/>
      <w:lang w:val="en-G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Footer">
    <w:name w:val="Foot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Body">
    <w:name w:val="Body"/>
    <w:qFormat/>
    <w:pPr>
      <w:widowControl/>
      <w:pBdr/>
      <w:suppressAutoHyphens w:val="true"/>
      <w:bidi w:val="0"/>
      <w:spacing w:lineRule="auto" w:line="240" w:before="0" w:after="0"/>
      <w:jc w:val="left"/>
    </w:pPr>
    <w:rPr>
      <w:rFonts w:ascii="Arial" w:hAnsi="Arial" w:eastAsia="Arial" w:cs="Arial"/>
      <w:color w:val="000000"/>
      <w:kern w:val="0"/>
      <w:sz w:val="24"/>
      <w:szCs w:val="22"/>
      <w:u w:val="none" w:color="000000"/>
      <w:lang w:val="en-GB" w:eastAsia="en-US" w:bidi="ar-SA"/>
    </w:rPr>
  </w:style>
  <w:style w:type="paragraph" w:styleId="ListParagraph">
    <w:name w:val="List Paragraph"/>
    <w:qFormat/>
    <w:pPr>
      <w:widowControl/>
      <w:pBdr/>
      <w:suppressAutoHyphens w:val="true"/>
      <w:bidi w:val="0"/>
      <w:spacing w:lineRule="auto" w:line="240" w:before="0" w:after="0"/>
      <w:ind w:left="720" w:right="0" w:hanging="0"/>
      <w:jc w:val="left"/>
    </w:pPr>
    <w:rPr>
      <w:rFonts w:ascii="Arial" w:hAnsi="Arial" w:eastAsia="Arial" w:cs="Arial"/>
      <w:color w:val="000000"/>
      <w:kern w:val="0"/>
      <w:sz w:val="24"/>
      <w:szCs w:val="22"/>
      <w:u w:val="none" w:color="000000"/>
      <w:lang w:val="en-US" w:eastAsia="en-US" w:bidi="ar-SA"/>
    </w:rPr>
  </w:style>
  <w:style w:type="paragraph" w:styleId="BalloonText">
    <w:name w:val="Balloon Text"/>
    <w:basedOn w:val="Normal"/>
    <w:qFormat/>
    <w:pPr/>
    <w:rPr>
      <w:rFonts w:ascii="Tahoma" w:hAnsi="Tahoma" w:cs="Tahoma"/>
      <w:sz w:val="16"/>
      <w:szCs w:val="16"/>
    </w:rPr>
  </w:style>
  <w:style w:type="paragraph" w:styleId="Default">
    <w:name w:val="Default"/>
    <w:qFormat/>
    <w:pPr>
      <w:widowControl/>
      <w:suppressAutoHyphens w:val="true"/>
      <w:bidi w:val="0"/>
      <w:spacing w:lineRule="auto" w:line="240" w:before="0" w:after="0"/>
      <w:jc w:val="left"/>
    </w:pPr>
    <w:rPr>
      <w:rFonts w:ascii="Verdana" w:hAnsi="Verdana" w:eastAsia="Times New Roman" w:cs="Verdana"/>
      <w:color w:val="000000"/>
      <w:kern w:val="0"/>
      <w:sz w:val="24"/>
      <w:szCs w:val="24"/>
      <w:lang w:val="en-GB" w:eastAsia="en-GB" w:bidi="ar-SA"/>
    </w:rPr>
  </w:style>
  <w:style w:type="paragraph" w:styleId="PlainText">
    <w:name w:val="Plain Text"/>
    <w:basedOn w:val="Normal"/>
    <w:qFormat/>
    <w:pPr>
      <w:pBdr/>
    </w:pPr>
    <w:rPr>
      <w:rFonts w:ascii="Courier New" w:hAnsi="Courier New" w:eastAsia="Times New Roman" w:cs="Courier New"/>
      <w:sz w:val="20"/>
      <w:szCs w:val="20"/>
      <w:lang w:val="en-GB"/>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Indent3">
    <w:name w:val="Body Text Indent 3"/>
    <w:basedOn w:val="Normal"/>
    <w:qFormat/>
    <w:pPr>
      <w:spacing w:before="0" w:after="120"/>
      <w:ind w:left="283" w:right="0" w:hanging="0"/>
    </w:pPr>
    <w:rPr>
      <w:sz w:val="16"/>
      <w:szCs w:val="16"/>
    </w:rPr>
  </w:style>
  <w:style w:type="paragraph" w:styleId="Paragraph">
    <w:name w:val="paragraph"/>
    <w:basedOn w:val="Normal"/>
    <w:qFormat/>
    <w:pPr>
      <w:pBdr/>
      <w:spacing w:before="280" w:after="280"/>
    </w:pPr>
    <w:rPr>
      <w:rFonts w:eastAsia="Times New Roman"/>
      <w:lang w:val="en-GB" w:eastAsia="en-GB"/>
    </w:rPr>
  </w:style>
  <w:style w:type="paragraph" w:styleId="Revision">
    <w:name w:val="Revision"/>
    <w:qFormat/>
    <w:pPr>
      <w:widowControl/>
      <w:suppressAutoHyphens w:val="true"/>
      <w:bidi w:val="0"/>
      <w:spacing w:lineRule="auto" w:line="240" w:before="0" w:after="0"/>
      <w:jc w:val="left"/>
    </w:pPr>
    <w:rPr>
      <w:rFonts w:ascii="Times New Roman" w:hAnsi="Times New Roman" w:eastAsia="Arial Unicode MS" w:cs="Times New Roman"/>
      <w:color w:val="auto"/>
      <w:kern w:val="0"/>
      <w:sz w:val="24"/>
      <w:szCs w:val="24"/>
      <w:lang w:val="en-US" w:eastAsia="en-US" w:bidi="ar-SA"/>
    </w:rPr>
  </w:style>
  <w:style w:type="paragraph" w:styleId="Pf0">
    <w:name w:val="pf0"/>
    <w:basedOn w:val="Normal"/>
    <w:qFormat/>
    <w:pPr>
      <w:pBdr/>
      <w:spacing w:before="280" w:after="280"/>
      <w:ind w:left="300" w:right="0" w:hanging="0"/>
    </w:pPr>
    <w:rPr>
      <w:rFonts w:eastAsia="Times New Roman"/>
      <w:lang w:val="en-GB"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