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pacing w:before="240" w:after="0"/>
        <w:ind w:left="0" w:right="261" w:hanging="0"/>
        <w:jc w:val="center"/>
        <w:rPr>
          <w:b/>
          <w:b/>
          <w:sz w:val="24"/>
          <w:szCs w:val="24"/>
        </w:rPr>
      </w:pPr>
      <w:r>
        <w:rPr>
          <w:b/>
          <w:sz w:val="24"/>
          <w:szCs w:val="24"/>
        </w:rPr>
        <w:t>Employee Relations Business Partner</w:t>
      </w:r>
    </w:p>
    <w:p>
      <w:pPr>
        <w:pStyle w:val="Body"/>
        <w:ind w:left="0" w:right="261" w:hanging="0"/>
        <w:jc w:val="center"/>
        <w:rPr>
          <w:b/>
          <w:b/>
          <w:bCs/>
          <w:sz w:val="24"/>
          <w:szCs w:val="24"/>
        </w:rPr>
      </w:pPr>
      <w:r>
        <w:rPr>
          <w:b/>
          <w:bCs/>
          <w:sz w:val="24"/>
          <w:szCs w:val="24"/>
        </w:rPr>
        <w:t>Greater Manchester Combined Authority</w:t>
      </w:r>
    </w:p>
    <w:p>
      <w:pPr>
        <w:pStyle w:val="Body"/>
        <w:ind w:left="0" w:right="261" w:hanging="0"/>
        <w:jc w:val="center"/>
        <w:rPr>
          <w:b/>
          <w:b/>
          <w:bCs/>
          <w:iCs/>
          <w:sz w:val="24"/>
          <w:szCs w:val="24"/>
        </w:rPr>
      </w:pPr>
      <w:r>
        <w:rPr>
          <w:b/>
          <w:bCs/>
          <w:iCs/>
          <w:sz w:val="24"/>
          <w:szCs w:val="24"/>
        </w:rPr>
        <w:t>Role Profile</w:t>
      </w:r>
    </w:p>
    <w:tbl>
      <w:tblPr>
        <w:tblW w:w="10370" w:type="dxa"/>
        <w:jc w:val="center"/>
        <w:tblInd w:w="0" w:type="dxa"/>
        <w:tblCellMar>
          <w:top w:w="0" w:type="dxa"/>
          <w:left w:w="108" w:type="dxa"/>
          <w:bottom w:w="0" w:type="dxa"/>
          <w:right w:w="108" w:type="dxa"/>
        </w:tblCellMar>
      </w:tblPr>
      <w:tblGrid>
        <w:gridCol w:w="1801"/>
        <w:gridCol w:w="3748"/>
        <w:gridCol w:w="1922"/>
        <w:gridCol w:w="2899"/>
      </w:tblGrid>
      <w:tr>
        <w:trPr>
          <w:trHeight w:val="450" w:hRule="atLeast"/>
        </w:trPr>
        <w:tc>
          <w:tcPr>
            <w:tcW w:w="1801" w:type="dxa"/>
            <w:tcBorders>
              <w:top w:val="single" w:sz="6" w:space="0" w:color="000000"/>
              <w:left w:val="single" w:sz="6" w:space="0" w:color="000000"/>
              <w:bottom w:val="single" w:sz="4" w:space="0" w:color="000000"/>
            </w:tcBorders>
            <w:shd w:fill="auto" w:val="clear"/>
            <w:vAlign w:val="center"/>
          </w:tcPr>
          <w:p>
            <w:pPr>
              <w:pStyle w:val="Normal"/>
              <w:pBdr/>
              <w:tabs>
                <w:tab w:val="clear" w:pos="720"/>
                <w:tab w:val="left" w:pos="2189" w:leader="none"/>
                <w:tab w:val="left" w:pos="6300" w:leader="none"/>
              </w:tabs>
              <w:rPr>
                <w:rFonts w:ascii="Arial" w:hAnsi="Arial" w:cs="Arial"/>
                <w:b/>
                <w:b/>
                <w:sz w:val="22"/>
                <w:szCs w:val="22"/>
                <w:lang w:val="en-GB"/>
              </w:rPr>
            </w:pPr>
            <w:r>
              <w:rPr>
                <w:rFonts w:cs="Arial" w:ascii="Arial" w:hAnsi="Arial"/>
                <w:b/>
                <w:sz w:val="22"/>
                <w:szCs w:val="22"/>
                <w:lang w:val="en-GB"/>
              </w:rPr>
              <w:t>Job Title:</w:t>
            </w:r>
          </w:p>
        </w:tc>
        <w:tc>
          <w:tcPr>
            <w:tcW w:w="3748" w:type="dxa"/>
            <w:tcBorders>
              <w:top w:val="single" w:sz="6" w:space="0" w:color="000000"/>
              <w:left w:val="single" w:sz="4" w:space="0" w:color="000000"/>
              <w:bottom w:val="single" w:sz="4" w:space="0" w:color="000000"/>
            </w:tcBorders>
            <w:shd w:fill="auto" w:val="clear"/>
            <w:vAlign w:val="center"/>
          </w:tcPr>
          <w:p>
            <w:pPr>
              <w:pStyle w:val="Normal"/>
              <w:pBdr/>
              <w:tabs>
                <w:tab w:val="clear" w:pos="720"/>
                <w:tab w:val="left" w:pos="2189" w:leader="none"/>
                <w:tab w:val="left" w:pos="6300" w:leader="none"/>
              </w:tabs>
              <w:rPr>
                <w:rFonts w:ascii="Arial" w:hAnsi="Arial" w:cs="Arial"/>
                <w:sz w:val="22"/>
                <w:szCs w:val="22"/>
                <w:lang w:val="en-GB"/>
              </w:rPr>
            </w:pPr>
            <w:r>
              <w:rPr>
                <w:rFonts w:cs="Arial" w:ascii="Arial" w:hAnsi="Arial"/>
                <w:sz w:val="22"/>
                <w:szCs w:val="22"/>
                <w:lang w:val="en-GB"/>
              </w:rPr>
              <w:t>Employee Relations Business Partner</w:t>
            </w:r>
          </w:p>
        </w:tc>
        <w:tc>
          <w:tcPr>
            <w:tcW w:w="1922" w:type="dxa"/>
            <w:tcBorders>
              <w:top w:val="single" w:sz="6" w:space="0" w:color="000000"/>
              <w:left w:val="single" w:sz="4" w:space="0" w:color="000000"/>
              <w:bottom w:val="single" w:sz="4" w:space="0" w:color="000000"/>
            </w:tcBorders>
            <w:shd w:fill="auto" w:val="clear"/>
            <w:vAlign w:val="center"/>
          </w:tcPr>
          <w:p>
            <w:pPr>
              <w:pStyle w:val="Normal"/>
              <w:pBdr/>
              <w:tabs>
                <w:tab w:val="clear" w:pos="720"/>
                <w:tab w:val="left" w:pos="2189" w:leader="none"/>
                <w:tab w:val="left" w:pos="6300" w:leader="none"/>
              </w:tabs>
              <w:rPr>
                <w:rFonts w:ascii="Arial" w:hAnsi="Arial" w:cs="Arial"/>
                <w:b/>
                <w:b/>
                <w:sz w:val="22"/>
                <w:szCs w:val="22"/>
                <w:lang w:val="en-GB"/>
              </w:rPr>
            </w:pPr>
            <w:r>
              <w:rPr>
                <w:rFonts w:cs="Arial" w:ascii="Arial" w:hAnsi="Arial"/>
                <w:b/>
                <w:sz w:val="22"/>
                <w:szCs w:val="22"/>
                <w:lang w:val="en-GB"/>
              </w:rPr>
              <w:t xml:space="preserve">Date: </w:t>
            </w:r>
          </w:p>
        </w:tc>
        <w:tc>
          <w:tcPr>
            <w:tcW w:w="2899"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pBdr/>
              <w:tabs>
                <w:tab w:val="clear" w:pos="720"/>
                <w:tab w:val="left" w:pos="2189" w:leader="none"/>
                <w:tab w:val="left" w:pos="6300" w:leader="none"/>
              </w:tabs>
              <w:rPr>
                <w:rFonts w:ascii="Arial" w:hAnsi="Arial" w:cs="Arial"/>
                <w:sz w:val="22"/>
                <w:szCs w:val="22"/>
                <w:lang w:val="en-GB"/>
              </w:rPr>
            </w:pPr>
            <w:r>
              <w:rPr>
                <w:rFonts w:cs="Arial" w:ascii="Arial" w:hAnsi="Arial"/>
                <w:sz w:val="22"/>
                <w:szCs w:val="22"/>
                <w:lang w:val="en-GB"/>
              </w:rPr>
              <w:t>April 2022</w:t>
            </w:r>
          </w:p>
        </w:tc>
      </w:tr>
      <w:tr>
        <w:trPr>
          <w:trHeight w:val="385" w:hRule="atLeast"/>
        </w:trPr>
        <w:tc>
          <w:tcPr>
            <w:tcW w:w="1801" w:type="dxa"/>
            <w:tcBorders>
              <w:top w:val="single" w:sz="4" w:space="0" w:color="000000"/>
              <w:left w:val="single" w:sz="6"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sz w:val="22"/>
                <w:szCs w:val="22"/>
                <w:lang w:val="en-GB"/>
              </w:rPr>
            </w:pPr>
            <w:r>
              <w:rPr>
                <w:rFonts w:cs="Arial" w:ascii="Arial" w:hAnsi="Arial"/>
                <w:b/>
                <w:sz w:val="22"/>
                <w:szCs w:val="22"/>
                <w:lang w:val="en-GB"/>
              </w:rPr>
              <w:t xml:space="preserve">Reporting Line: </w:t>
            </w:r>
          </w:p>
        </w:tc>
        <w:tc>
          <w:tcPr>
            <w:tcW w:w="3748" w:type="dxa"/>
            <w:tcBorders>
              <w:top w:val="single" w:sz="4" w:space="0" w:color="000000"/>
              <w:left w:val="single" w:sz="4" w:space="0" w:color="000000"/>
              <w:bottom w:val="single" w:sz="4" w:space="0" w:color="000000"/>
            </w:tcBorders>
            <w:shd w:fill="auto" w:val="clear"/>
            <w:vAlign w:val="center"/>
          </w:tcPr>
          <w:p>
            <w:pPr>
              <w:pStyle w:val="DefaultText1"/>
              <w:rPr>
                <w:rFonts w:ascii="Arial" w:hAnsi="Arial" w:cs="Arial"/>
                <w:sz w:val="22"/>
                <w:szCs w:val="22"/>
                <w:lang w:val="en-GB"/>
              </w:rPr>
            </w:pPr>
            <w:r>
              <w:rPr>
                <w:rFonts w:cs="Arial" w:ascii="Arial" w:hAnsi="Arial"/>
                <w:sz w:val="22"/>
                <w:szCs w:val="22"/>
                <w:lang w:val="en-GB"/>
              </w:rPr>
              <w:t>Senior Employee Relations &amp; Wellbeing Manager</w:t>
            </w:r>
          </w:p>
        </w:tc>
        <w:tc>
          <w:tcPr>
            <w:tcW w:w="1922" w:type="dxa"/>
            <w:tcBorders>
              <w:top w:val="single" w:sz="4" w:space="0" w:color="000000"/>
              <w:left w:val="single" w:sz="4" w:space="0" w:color="000000"/>
              <w:bottom w:val="single" w:sz="4"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sz w:val="22"/>
                <w:szCs w:val="22"/>
                <w:lang w:val="en-GB"/>
              </w:rPr>
            </w:pPr>
            <w:r>
              <w:rPr>
                <w:rFonts w:cs="Arial" w:ascii="Arial" w:hAnsi="Arial"/>
                <w:b/>
                <w:sz w:val="22"/>
                <w:szCs w:val="22"/>
                <w:lang w:val="en-GB"/>
              </w:rPr>
              <w:t>Job Level:</w:t>
            </w:r>
          </w:p>
        </w:tc>
        <w:tc>
          <w:tcPr>
            <w:tcW w:w="289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spacing w:before="120" w:after="120"/>
              <w:rPr>
                <w:rFonts w:ascii="Arial" w:hAnsi="Arial" w:cs="Arial"/>
                <w:bCs/>
                <w:sz w:val="22"/>
                <w:szCs w:val="22"/>
                <w:lang w:val="en-GB"/>
              </w:rPr>
            </w:pPr>
            <w:r>
              <w:rPr>
                <w:rFonts w:cs="Arial" w:ascii="Arial" w:hAnsi="Arial"/>
                <w:bCs/>
                <w:sz w:val="22"/>
                <w:szCs w:val="22"/>
                <w:lang w:val="en-GB"/>
              </w:rPr>
              <w:t>Grade 8</w:t>
            </w:r>
          </w:p>
        </w:tc>
      </w:tr>
      <w:tr>
        <w:trPr>
          <w:trHeight w:val="687" w:hRule="atLeast"/>
        </w:trPr>
        <w:tc>
          <w:tcPr>
            <w:tcW w:w="1801" w:type="dxa"/>
            <w:tcBorders>
              <w:top w:val="single" w:sz="4" w:space="0" w:color="000000"/>
              <w:left w:val="single" w:sz="6"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sz w:val="22"/>
                <w:szCs w:val="22"/>
                <w:lang w:val="en-GB"/>
              </w:rPr>
            </w:pPr>
            <w:r>
              <w:rPr>
                <w:rFonts w:cs="Arial" w:ascii="Arial" w:hAnsi="Arial"/>
                <w:b/>
                <w:sz w:val="22"/>
                <w:szCs w:val="22"/>
                <w:lang w:val="en-GB"/>
              </w:rPr>
              <w:t>Service:</w:t>
            </w:r>
          </w:p>
        </w:tc>
        <w:tc>
          <w:tcPr>
            <w:tcW w:w="3748" w:type="dxa"/>
            <w:tcBorders>
              <w:top w:val="single" w:sz="4" w:space="0" w:color="000000"/>
              <w:left w:val="single" w:sz="4"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sz w:val="22"/>
                <w:szCs w:val="22"/>
                <w:lang w:val="en-GB"/>
              </w:rPr>
            </w:pPr>
            <w:r>
              <w:rPr>
                <w:rFonts w:cs="Arial" w:ascii="Arial" w:hAnsi="Arial"/>
                <w:sz w:val="22"/>
                <w:szCs w:val="22"/>
                <w:lang w:val="en-GB"/>
              </w:rPr>
              <w:t xml:space="preserve">People Services </w:t>
            </w:r>
          </w:p>
        </w:tc>
        <w:tc>
          <w:tcPr>
            <w:tcW w:w="1922" w:type="dxa"/>
            <w:tcBorders>
              <w:top w:val="single" w:sz="4" w:space="0" w:color="000000"/>
              <w:left w:val="single" w:sz="4" w:space="0" w:color="000000"/>
              <w:bottom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b/>
                <w:b/>
                <w:sz w:val="22"/>
                <w:szCs w:val="22"/>
                <w:lang w:val="en-GB"/>
              </w:rPr>
            </w:pPr>
            <w:r>
              <w:rPr>
                <w:rFonts w:cs="Arial" w:ascii="Arial" w:hAnsi="Arial"/>
                <w:b/>
                <w:sz w:val="22"/>
                <w:szCs w:val="22"/>
                <w:lang w:val="en-GB"/>
              </w:rPr>
              <w:t>Business Area:</w:t>
            </w:r>
          </w:p>
        </w:tc>
        <w:tc>
          <w:tcPr>
            <w:tcW w:w="2899" w:type="dxa"/>
            <w:tcBorders>
              <w:top w:val="single" w:sz="4" w:space="0" w:color="000000"/>
              <w:left w:val="single" w:sz="4" w:space="0" w:color="000000"/>
              <w:bottom w:val="single" w:sz="6" w:space="0" w:color="000000"/>
              <w:right w:val="single" w:sz="6" w:space="0" w:color="000000"/>
            </w:tcBorders>
            <w:shd w:fill="auto" w:val="clear"/>
            <w:vAlign w:val="center"/>
          </w:tcPr>
          <w:p>
            <w:pPr>
              <w:pStyle w:val="Normal"/>
              <w:pBdr/>
              <w:tabs>
                <w:tab w:val="clear" w:pos="720"/>
                <w:tab w:val="left" w:pos="2047" w:leader="none"/>
                <w:tab w:val="left" w:pos="5589" w:leader="none"/>
                <w:tab w:val="left" w:pos="6300" w:leader="none"/>
                <w:tab w:val="left" w:pos="6583" w:leader="none"/>
              </w:tabs>
              <w:rPr>
                <w:rFonts w:ascii="Arial" w:hAnsi="Arial" w:cs="Arial"/>
                <w:sz w:val="22"/>
                <w:szCs w:val="22"/>
                <w:lang w:val="en-GB"/>
              </w:rPr>
            </w:pPr>
            <w:r>
              <w:rPr>
                <w:rFonts w:cs="Arial" w:ascii="Arial" w:hAnsi="Arial"/>
                <w:sz w:val="22"/>
                <w:szCs w:val="22"/>
                <w:lang w:val="en-GB"/>
              </w:rPr>
              <w:t xml:space="preserve">Employee Relations </w:t>
            </w:r>
          </w:p>
        </w:tc>
      </w:tr>
    </w:tbl>
    <w:p>
      <w:pPr>
        <w:pStyle w:val="Body"/>
        <w:pBdr/>
        <w:ind w:left="142" w:right="261" w:hanging="108"/>
        <w:jc w:val="both"/>
        <w:rPr>
          <w:b/>
          <w:b/>
          <w:bCs/>
          <w:iCs/>
          <w:sz w:val="24"/>
          <w:szCs w:val="24"/>
        </w:rPr>
      </w:pPr>
      <w:r>
        <w:rPr>
          <w:b/>
          <w:bCs/>
          <w:iCs/>
          <w:sz w:val="24"/>
          <w:szCs w:val="24"/>
        </w:rPr>
      </w:r>
    </w:p>
    <w:p>
      <w:pPr>
        <w:pStyle w:val="Body"/>
        <w:pBdr/>
        <w:ind w:left="142" w:right="261" w:hanging="108"/>
        <w:jc w:val="both"/>
        <w:rPr>
          <w:b/>
          <w:b/>
          <w:bCs/>
          <w:iCs/>
          <w:sz w:val="24"/>
          <w:szCs w:val="24"/>
        </w:rPr>
      </w:pPr>
      <w:r>
        <w:rPr>
          <w:b/>
          <w:bCs/>
          <w:iCs/>
          <w:sz w:val="24"/>
          <w:szCs w:val="24"/>
        </w:rPr>
      </w:r>
    </w:p>
    <w:tbl>
      <w:tblPr>
        <w:tblW w:w="10382" w:type="dxa"/>
        <w:jc w:val="center"/>
        <w:tblInd w:w="0" w:type="dxa"/>
        <w:tblCellMar>
          <w:top w:w="80" w:type="dxa"/>
          <w:left w:w="80" w:type="dxa"/>
          <w:bottom w:w="80" w:type="dxa"/>
          <w:right w:w="80" w:type="dxa"/>
        </w:tblCellMar>
      </w:tblPr>
      <w:tblGrid>
        <w:gridCol w:w="10382"/>
      </w:tblGrid>
      <w:tr>
        <w:trPr>
          <w:trHeight w:val="180" w:hRule="atLeast"/>
        </w:trPr>
        <w:tc>
          <w:tcPr>
            <w:tcW w:w="10382" w:type="dxa"/>
            <w:tcBorders>
              <w:top w:val="single" w:sz="6" w:space="0" w:color="000000"/>
              <w:left w:val="single" w:sz="6" w:space="0" w:color="0000FF"/>
              <w:bottom w:val="single" w:sz="6" w:space="0" w:color="000000"/>
              <w:right w:val="single" w:sz="6" w:space="0" w:color="0000FF"/>
            </w:tcBorders>
            <w:shd w:fill="000000" w:val="clear"/>
          </w:tcPr>
          <w:p>
            <w:pPr>
              <w:pStyle w:val="Heading3"/>
              <w:pBdr/>
              <w:ind w:left="21" w:right="261" w:hanging="0"/>
              <w:rPr>
                <w:lang w:val="en-GB"/>
              </w:rPr>
            </w:pPr>
            <w:r>
              <w:rPr>
                <w:lang w:val="en-GB"/>
              </w:rPr>
              <w:t>JOB PURPOSE</w:t>
            </w:r>
          </w:p>
        </w:tc>
      </w:tr>
      <w:tr>
        <w:trPr>
          <w:trHeight w:val="180" w:hRule="atLeast"/>
        </w:trPr>
        <w:tc>
          <w:tcPr>
            <w:tcW w:w="10382" w:type="dxa"/>
            <w:tcBorders>
              <w:top w:val="single" w:sz="6" w:space="0" w:color="000000"/>
              <w:left w:val="single" w:sz="6" w:space="0" w:color="0000FF"/>
              <w:bottom w:val="single" w:sz="4" w:space="0" w:color="000000"/>
              <w:right w:val="single" w:sz="6" w:space="0" w:color="0000FF"/>
            </w:tcBorders>
            <w:shd w:fill="auto" w:val="clear"/>
          </w:tcPr>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t xml:space="preserve">To provide a dedicated point of contact for Employee Relations advice and support to middle managers across the GMCA, supporting business managers to develop and deliver their services in line with business needs, legislation, and best practice. </w:t>
            </w:r>
          </w:p>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t xml:space="preserve">To lead on the design, development, implementation and evaluation of an organisational approach to Employee Relations, inclusive of ensuring a specialist advice service is delivered to the organisation. </w:t>
            </w:r>
          </w:p>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t xml:space="preserve">To provide specialist advice and expertise to the organisation to design and implement employee relations solutions, specific to areas of work. To support, oversee and take responsibility for HR, employee relations and policy development to the Greater Manchester Combined Authority, in line with legislative and best practice guidelines. </w:t>
            </w:r>
          </w:p>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t>Design, formulate and guide implementation of the organisations suite of workforce policies and procedures that fit within the overall frameworks and will enable the organisation to be effective.</w:t>
            </w:r>
          </w:p>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t xml:space="preserve">Directly enable and coach managers to appropriately manage and support their teams and foster positive working relationships within the organisation. </w:t>
            </w:r>
          </w:p>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t xml:space="preserve">These activities will support the attraction, selection and retention of the best talent in order to deliver and to ensure that the organisation better serves the communities of Greater Manchester. </w:t>
            </w:r>
          </w:p>
          <w:p>
            <w:pPr>
              <w:pStyle w:val="Normal"/>
              <w:pBdr/>
              <w:spacing w:before="120" w:after="120"/>
              <w:jc w:val="both"/>
              <w:rPr>
                <w:rFonts w:ascii="Arial" w:hAnsi="Arial" w:eastAsia="Calibri" w:cs="Arial"/>
                <w:sz w:val="20"/>
                <w:szCs w:val="20"/>
                <w:lang w:val="en-GB" w:eastAsia="en-GB"/>
              </w:rPr>
            </w:pPr>
            <w:r>
              <w:rPr>
                <w:rFonts w:eastAsia="Calibri" w:cs="Arial" w:ascii="Arial" w:hAnsi="Arial"/>
                <w:sz w:val="20"/>
                <w:szCs w:val="20"/>
                <w:lang w:val="en-GB" w:eastAsia="en-GB"/>
              </w:rPr>
              <w:t>Work flexibly across specialist areas, acting as a specialist in the respective field based on organisational need.</w:t>
            </w:r>
          </w:p>
          <w:p>
            <w:pPr>
              <w:pStyle w:val="Normal"/>
              <w:pBdr/>
              <w:spacing w:before="120" w:after="120"/>
              <w:rPr>
                <w:rFonts w:ascii="Arial" w:hAnsi="Arial" w:eastAsia="Calibri" w:cs="Arial"/>
                <w:sz w:val="20"/>
                <w:szCs w:val="20"/>
                <w:lang w:val="en-GB" w:eastAsia="en-GB"/>
              </w:rPr>
            </w:pPr>
            <w:r>
              <w:rPr>
                <w:rFonts w:eastAsia="Calibri" w:cs="Arial" w:ascii="Arial" w:hAnsi="Arial"/>
                <w:sz w:val="20"/>
                <w:szCs w:val="20"/>
                <w:lang w:val="en-GB" w:eastAsia="en-GB"/>
              </w:rPr>
            </w:r>
          </w:p>
        </w:tc>
      </w:tr>
    </w:tbl>
    <w:p>
      <w:pPr>
        <w:pStyle w:val="Normal"/>
        <w:pBdr/>
        <w:rPr>
          <w:rFonts w:ascii="Arial" w:hAnsi="Arial" w:cs="Arial"/>
          <w:lang w:val="en-GB"/>
        </w:rPr>
      </w:pPr>
      <w:r>
        <w:rPr>
          <w:rFonts w:cs="Arial" w:ascii="Arial" w:hAnsi="Arial"/>
          <w:lang w:val="en-GB"/>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0" w:right="261" w:hanging="0"/>
              <w:rPr>
                <w:b/>
                <w:b/>
                <w:bCs/>
                <w:color w:val="FFFFFF"/>
                <w:sz w:val="24"/>
                <w:szCs w:val="24"/>
                <w:u w:val="none" w:color="FFFFFF"/>
              </w:rPr>
            </w:pPr>
            <w:r>
              <w:rPr>
                <w:b/>
                <w:bCs/>
                <w:color w:val="FFFFFF"/>
                <w:sz w:val="24"/>
                <w:szCs w:val="24"/>
                <w:u w:val="none" w:color="FFFFFF"/>
              </w:rPr>
              <w:t>KEY WORKING RELATIONSHIPS</w:t>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ListParagraph"/>
              <w:numPr>
                <w:ilvl w:val="0"/>
                <w:numId w:val="2"/>
              </w:numPr>
              <w:pBdr/>
              <w:ind w:left="199" w:right="261" w:hanging="283"/>
              <w:jc w:val="both"/>
              <w:rPr>
                <w:sz w:val="20"/>
                <w:szCs w:val="20"/>
                <w:lang w:val="en-GB"/>
              </w:rPr>
            </w:pPr>
            <w:r>
              <w:rPr>
                <w:sz w:val="20"/>
                <w:szCs w:val="20"/>
                <w:lang w:val="en-GB"/>
              </w:rPr>
              <w:t>Team members and managers across People Services</w:t>
            </w:r>
          </w:p>
          <w:p>
            <w:pPr>
              <w:pStyle w:val="ListParagraph"/>
              <w:numPr>
                <w:ilvl w:val="0"/>
                <w:numId w:val="2"/>
              </w:numPr>
              <w:pBdr/>
              <w:ind w:left="199" w:right="261" w:hanging="283"/>
              <w:jc w:val="both"/>
              <w:rPr>
                <w:sz w:val="20"/>
                <w:szCs w:val="20"/>
                <w:lang w:val="en-GB"/>
              </w:rPr>
            </w:pPr>
            <w:r>
              <w:rPr>
                <w:sz w:val="20"/>
                <w:szCs w:val="20"/>
                <w:lang w:val="en-GB"/>
              </w:rPr>
              <w:t xml:space="preserve">Senior Leadership Teams  </w:t>
            </w:r>
          </w:p>
          <w:p>
            <w:pPr>
              <w:pStyle w:val="ListParagraph"/>
              <w:numPr>
                <w:ilvl w:val="0"/>
                <w:numId w:val="2"/>
              </w:numPr>
              <w:pBdr/>
              <w:ind w:left="199" w:right="261" w:hanging="283"/>
              <w:jc w:val="both"/>
              <w:rPr>
                <w:sz w:val="20"/>
                <w:szCs w:val="20"/>
                <w:lang w:val="en-GB"/>
              </w:rPr>
            </w:pPr>
            <w:r>
              <w:rPr>
                <w:sz w:val="20"/>
                <w:szCs w:val="20"/>
                <w:lang w:val="en-GB"/>
              </w:rPr>
              <w:t>Senior Managers and staff within GMCA</w:t>
            </w:r>
          </w:p>
          <w:p>
            <w:pPr>
              <w:pStyle w:val="ListParagraph"/>
              <w:numPr>
                <w:ilvl w:val="0"/>
                <w:numId w:val="2"/>
              </w:numPr>
              <w:pBdr/>
              <w:ind w:left="199" w:right="261" w:hanging="283"/>
              <w:jc w:val="both"/>
              <w:rPr>
                <w:sz w:val="20"/>
                <w:szCs w:val="20"/>
                <w:lang w:val="en-GB"/>
              </w:rPr>
            </w:pPr>
            <w:r>
              <w:rPr>
                <w:sz w:val="20"/>
                <w:szCs w:val="20"/>
                <w:lang w:val="en-GB"/>
              </w:rPr>
              <w:t xml:space="preserve">Representative Bodies </w:t>
            </w:r>
          </w:p>
          <w:p>
            <w:pPr>
              <w:pStyle w:val="ListParagraph"/>
              <w:numPr>
                <w:ilvl w:val="0"/>
                <w:numId w:val="2"/>
              </w:numPr>
              <w:pBdr/>
              <w:ind w:left="199" w:right="261" w:hanging="283"/>
              <w:jc w:val="both"/>
              <w:rPr>
                <w:sz w:val="20"/>
                <w:szCs w:val="20"/>
                <w:lang w:val="en-GB"/>
              </w:rPr>
            </w:pPr>
            <w:r>
              <w:rPr>
                <w:sz w:val="20"/>
                <w:szCs w:val="20"/>
                <w:lang w:val="en-GB"/>
              </w:rPr>
              <w:t>Internal and external customer groups and strategic partners</w:t>
            </w:r>
          </w:p>
          <w:p>
            <w:pPr>
              <w:pStyle w:val="Normal"/>
              <w:pBdr/>
              <w:ind w:left="0" w:right="261" w:hanging="0"/>
              <w:jc w:val="both"/>
              <w:rPr>
                <w:sz w:val="20"/>
                <w:szCs w:val="20"/>
                <w:lang w:val="en-GB"/>
              </w:rPr>
            </w:pPr>
            <w:r>
              <w:rPr>
                <w:sz w:val="20"/>
                <w:szCs w:val="20"/>
                <w:lang w:val="en-GB"/>
              </w:rPr>
            </w:r>
          </w:p>
          <w:p>
            <w:pPr>
              <w:pStyle w:val="Normal"/>
              <w:pBdr/>
              <w:ind w:left="0" w:right="261" w:hanging="0"/>
              <w:jc w:val="both"/>
              <w:rPr>
                <w:sz w:val="20"/>
                <w:szCs w:val="20"/>
                <w:lang w:val="en-GB"/>
              </w:rPr>
            </w:pPr>
            <w:r>
              <w:rPr>
                <w:sz w:val="20"/>
                <w:szCs w:val="20"/>
                <w:lang w:val="en-GB"/>
              </w:rPr>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tcMar>
              <w:left w:w="363" w:type="dxa"/>
            </w:tcMar>
          </w:tcPr>
          <w:p>
            <w:pPr>
              <w:pStyle w:val="Normal"/>
              <w:pBdr/>
              <w:ind w:left="0" w:right="261" w:hanging="0"/>
              <w:jc w:val="both"/>
              <w:rPr>
                <w:rFonts w:ascii="Arial" w:hAnsi="Arial" w:cs="Arial"/>
                <w:b/>
                <w:b/>
                <w:color w:val="FFFFFF"/>
                <w:lang w:val="en-GB"/>
              </w:rPr>
            </w:pPr>
            <w:r>
              <w:rPr>
                <w:rFonts w:cs="Arial" w:ascii="Arial" w:hAnsi="Arial"/>
                <w:b/>
                <w:color w:val="FFFFFF"/>
                <w:lang w:val="en-GB"/>
              </w:rPr>
              <w:t>KEY DELIVERABLES</w:t>
            </w:r>
          </w:p>
        </w:tc>
      </w:tr>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ListParagraph"/>
              <w:numPr>
                <w:ilvl w:val="0"/>
                <w:numId w:val="4"/>
              </w:numPr>
              <w:ind w:left="458" w:right="261" w:hanging="360"/>
              <w:jc w:val="both"/>
              <w:rPr/>
            </w:pPr>
            <w:r>
              <w:rPr>
                <w:sz w:val="20"/>
                <w:szCs w:val="20"/>
                <w:lang w:val="en-GB"/>
              </w:rPr>
              <w:t xml:space="preserve">Provide </w:t>
            </w:r>
            <w:r>
              <w:rPr>
                <w:sz w:val="20"/>
                <w:szCs w:val="20"/>
                <w:lang w:val="en-GB" w:eastAsia="en-GB"/>
              </w:rPr>
              <w:t xml:space="preserve">Employee </w:t>
            </w:r>
            <w:r>
              <w:rPr>
                <w:sz w:val="20"/>
                <w:szCs w:val="20"/>
                <w:lang w:val="en-GB"/>
              </w:rPr>
              <w:t xml:space="preserve">Relations support and advice to managers across the organisation, enabling managers to deliver in their roles confidently and competently. </w:t>
            </w:r>
          </w:p>
          <w:p>
            <w:pPr>
              <w:pStyle w:val="ListParagraph"/>
              <w:numPr>
                <w:ilvl w:val="0"/>
                <w:numId w:val="4"/>
              </w:numPr>
              <w:ind w:left="458" w:right="261" w:hanging="360"/>
              <w:jc w:val="both"/>
              <w:rPr>
                <w:sz w:val="20"/>
                <w:szCs w:val="20"/>
                <w:lang w:val="en-GB"/>
              </w:rPr>
            </w:pPr>
            <w:r>
              <w:rPr>
                <w:sz w:val="20"/>
                <w:szCs w:val="20"/>
                <w:lang w:val="en-GB"/>
              </w:rPr>
              <w:t>Support the effective delivery of transformation projects in line with the organisations change programmes and TUPE regulations</w:t>
            </w:r>
          </w:p>
          <w:p>
            <w:pPr>
              <w:pStyle w:val="ListParagraph"/>
              <w:numPr>
                <w:ilvl w:val="0"/>
                <w:numId w:val="4"/>
              </w:numPr>
              <w:ind w:left="458" w:right="261" w:hanging="360"/>
              <w:jc w:val="both"/>
              <w:rPr>
                <w:sz w:val="20"/>
                <w:szCs w:val="20"/>
                <w:lang w:val="en-GB"/>
              </w:rPr>
            </w:pPr>
            <w:r>
              <w:rPr>
                <w:sz w:val="20"/>
                <w:szCs w:val="20"/>
                <w:lang w:val="en-GB"/>
              </w:rPr>
              <w:t xml:space="preserve">Ensure the clear and transparent availability of policies and procedures, which are fit for purpose, that underpin the culture change approach across the organisation and are supported by a team of specialists. </w:t>
            </w:r>
          </w:p>
          <w:p>
            <w:pPr>
              <w:pStyle w:val="ListParagraph"/>
              <w:numPr>
                <w:ilvl w:val="0"/>
                <w:numId w:val="4"/>
              </w:numPr>
              <w:ind w:left="458" w:right="261" w:hanging="360"/>
              <w:jc w:val="both"/>
              <w:rPr>
                <w:sz w:val="20"/>
                <w:szCs w:val="20"/>
                <w:lang w:val="en-GB"/>
              </w:rPr>
            </w:pPr>
            <w:r>
              <w:rPr>
                <w:sz w:val="20"/>
                <w:szCs w:val="20"/>
                <w:lang w:val="en-GB"/>
              </w:rPr>
              <w:t>Ensure the design, formulation and implementation of training to ensure that managers are empowered to manage their teams effectively.</w:t>
            </w:r>
          </w:p>
        </w:tc>
      </w:tr>
    </w:tbl>
    <w:p>
      <w:pPr>
        <w:pStyle w:val="Body"/>
        <w:pBdr/>
        <w:ind w:left="-567" w:right="261" w:hanging="0"/>
        <w:jc w:val="both"/>
        <w:rPr>
          <w:b/>
          <w:b/>
          <w:sz w:val="20"/>
        </w:rPr>
      </w:pPr>
      <w:r>
        <w:rPr>
          <w:b/>
          <w:sz w:val="20"/>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00"/>
              <w:right w:val="single" w:sz="6" w:space="0" w:color="000000"/>
            </w:tcBorders>
            <w:shd w:fill="000000" w:val="clear"/>
          </w:tcPr>
          <w:p>
            <w:pPr>
              <w:pStyle w:val="Body"/>
              <w:pBdr/>
              <w:ind w:left="0" w:right="261" w:hanging="0"/>
              <w:jc w:val="both"/>
              <w:rPr>
                <w:b/>
                <w:b/>
                <w:color w:val="FFFFFF"/>
                <w:sz w:val="20"/>
                <w:u w:val="none" w:color="FFFFFF"/>
              </w:rPr>
            </w:pPr>
            <w:r>
              <w:rPr>
                <w:b/>
                <w:color w:val="FFFFFF"/>
                <w:sz w:val="20"/>
                <w:u w:val="none" w:color="FFFFFF"/>
              </w:rPr>
              <w:t xml:space="preserve">KEY RESPONSIBILITIES </w:t>
            </w:r>
          </w:p>
        </w:tc>
      </w:tr>
      <w:tr>
        <w:trPr>
          <w:trHeight w:val="622" w:hRule="atLeast"/>
        </w:trPr>
        <w:tc>
          <w:tcPr>
            <w:tcW w:w="10371" w:type="dxa"/>
            <w:tcBorders>
              <w:left w:val="single" w:sz="4" w:space="0" w:color="000000"/>
              <w:right w:val="single" w:sz="6" w:space="0" w:color="000000"/>
            </w:tcBorders>
            <w:shd w:fill="auto" w:val="clear"/>
          </w:tcPr>
          <w:p>
            <w:pPr>
              <w:pStyle w:val="Normal"/>
              <w:pBdr/>
              <w:spacing w:before="0" w:after="280"/>
              <w:jc w:val="both"/>
              <w:rPr>
                <w:rFonts w:ascii="Arial" w:hAnsi="Arial" w:eastAsia="Times New Roman" w:cs="Arial"/>
                <w:b/>
                <w:b/>
                <w:color w:val="373A3C"/>
                <w:sz w:val="20"/>
                <w:szCs w:val="20"/>
                <w:lang w:val="en-GB" w:eastAsia="en-GB"/>
              </w:rPr>
            </w:pPr>
            <w:r>
              <w:rPr>
                <w:rFonts w:eastAsia="Times New Roman" w:cs="Arial" w:ascii="Arial" w:hAnsi="Arial"/>
                <w:b/>
                <w:color w:val="373A3C"/>
                <w:sz w:val="20"/>
                <w:szCs w:val="20"/>
                <w:lang w:val="en-GB" w:eastAsia="en-GB"/>
              </w:rPr>
              <w:t>Role Specific Responsibilities</w:t>
            </w:r>
          </w:p>
          <w:p>
            <w:pPr>
              <w:pStyle w:val="ListParagraph"/>
              <w:numPr>
                <w:ilvl w:val="0"/>
                <w:numId w:val="7"/>
              </w:numPr>
              <w:pBdr/>
              <w:spacing w:before="280" w:after="0"/>
              <w:jc w:val="both"/>
              <w:rPr/>
            </w:pPr>
            <w:r>
              <w:rPr>
                <w:sz w:val="20"/>
                <w:szCs w:val="20"/>
                <w:shd w:fill="FFFFFF" w:val="clear"/>
                <w:lang w:val="en-GB"/>
              </w:rPr>
              <w:t>Provide a credible</w:t>
            </w:r>
            <w:r>
              <w:rPr>
                <w:sz w:val="20"/>
                <w:shd w:fill="FFFFFF" w:val="clear"/>
                <w:lang w:val="en-GB"/>
              </w:rPr>
              <w:t xml:space="preserve"> expert </w:t>
            </w:r>
            <w:r>
              <w:rPr>
                <w:sz w:val="20"/>
                <w:szCs w:val="20"/>
                <w:shd w:fill="FFFFFF" w:val="clear"/>
                <w:lang w:val="en-GB"/>
              </w:rPr>
              <w:t>view on the management of</w:t>
            </w:r>
            <w:r>
              <w:rPr>
                <w:sz w:val="20"/>
                <w:shd w:fill="FFFFFF" w:val="clear"/>
                <w:lang w:val="en-GB"/>
              </w:rPr>
              <w:t xml:space="preserve"> ER </w:t>
            </w:r>
            <w:r>
              <w:rPr>
                <w:sz w:val="20"/>
                <w:szCs w:val="20"/>
                <w:shd w:fill="FFFFFF" w:val="clear"/>
                <w:lang w:val="en-GB"/>
              </w:rPr>
              <w:t>casework and be able to brief middle managers and stakeholders on employment law risks and bespoke solutions to complex people management issues.</w:t>
            </w:r>
          </w:p>
          <w:p>
            <w:pPr>
              <w:pStyle w:val="ListParagraph"/>
              <w:numPr>
                <w:ilvl w:val="0"/>
                <w:numId w:val="7"/>
              </w:numPr>
              <w:pBdr/>
              <w:jc w:val="both"/>
              <w:rPr>
                <w:sz w:val="20"/>
                <w:szCs w:val="20"/>
                <w:lang w:val="en-GB" w:eastAsia="en-GB"/>
              </w:rPr>
            </w:pPr>
            <w:r>
              <w:rPr>
                <w:sz w:val="20"/>
                <w:szCs w:val="20"/>
                <w:lang w:val="en-GB" w:eastAsia="en-GB"/>
              </w:rPr>
              <w:t xml:space="preserve">To take a partner approach in providing Employee Relations advice and support, to enable the delivery of managers team objectives </w:t>
            </w:r>
          </w:p>
          <w:p>
            <w:pPr>
              <w:pStyle w:val="ListParagraph"/>
              <w:numPr>
                <w:ilvl w:val="0"/>
                <w:numId w:val="7"/>
              </w:numPr>
              <w:pBdr/>
              <w:spacing w:before="0" w:after="0"/>
              <w:jc w:val="both"/>
              <w:rPr>
                <w:sz w:val="20"/>
                <w:szCs w:val="20"/>
                <w:highlight w:val="white"/>
                <w:lang w:val="en-GB"/>
              </w:rPr>
            </w:pPr>
            <w:r>
              <w:rPr>
                <w:sz w:val="20"/>
                <w:szCs w:val="20"/>
                <w:shd w:fill="FFFFFF" w:val="clear"/>
                <w:lang w:val="en-GB"/>
              </w:rPr>
              <w:t xml:space="preserve">To be well networked across the Human Resources profession, keeping up-to-date with ER trends and thinking and employment law. </w:t>
            </w:r>
          </w:p>
          <w:p>
            <w:pPr>
              <w:pStyle w:val="Default"/>
              <w:numPr>
                <w:ilvl w:val="0"/>
                <w:numId w:val="7"/>
              </w:numPr>
              <w:jc w:val="both"/>
              <w:rPr/>
            </w:pPr>
            <w:r>
              <w:rPr>
                <w:color w:val="auto"/>
                <w:sz w:val="20"/>
                <w:szCs w:val="20"/>
              </w:rPr>
              <w:t>To take an active role in the</w:t>
            </w:r>
            <w:r>
              <w:rPr>
                <w:color w:val="auto"/>
                <w:sz w:val="20"/>
              </w:rPr>
              <w:t xml:space="preserve"> coaching and </w:t>
            </w:r>
            <w:r>
              <w:rPr>
                <w:color w:val="auto"/>
                <w:sz w:val="20"/>
                <w:szCs w:val="20"/>
              </w:rPr>
              <w:t xml:space="preserve">development of line managers across the organisation, to develop confidence and capability in resolving people management issues. Including developing an approach to robust performance management and the implementation of initiatives to support the organisations policies and procedures </w:t>
            </w:r>
          </w:p>
          <w:p>
            <w:pPr>
              <w:pStyle w:val="ListParagraph"/>
              <w:numPr>
                <w:ilvl w:val="0"/>
                <w:numId w:val="7"/>
              </w:numPr>
              <w:pBdr/>
              <w:jc w:val="both"/>
              <w:rPr>
                <w:color w:val="auto"/>
                <w:sz w:val="20"/>
                <w:szCs w:val="20"/>
                <w:lang w:val="en-GB" w:eastAsia="en-GB"/>
              </w:rPr>
            </w:pPr>
            <w:r>
              <w:rPr>
                <w:color w:val="auto"/>
                <w:sz w:val="20"/>
                <w:szCs w:val="20"/>
                <w:lang w:val="en-GB" w:eastAsia="en-GB"/>
              </w:rPr>
              <w:t xml:space="preserve">To support Employee Relations Management in identifying short- and medium-term focus areas for ER development. Identifying practices that will improve service delivery, organisational efficiency and employee experience, e.g., training needs </w:t>
            </w:r>
          </w:p>
          <w:p>
            <w:pPr>
              <w:pStyle w:val="ListParagraph"/>
              <w:numPr>
                <w:ilvl w:val="0"/>
                <w:numId w:val="7"/>
              </w:numPr>
              <w:pBdr/>
              <w:jc w:val="both"/>
              <w:rPr>
                <w:color w:val="auto"/>
                <w:sz w:val="20"/>
                <w:szCs w:val="20"/>
                <w:lang w:val="en-GB" w:eastAsia="en-GB"/>
              </w:rPr>
            </w:pPr>
            <w:r>
              <w:rPr>
                <w:color w:val="auto"/>
                <w:sz w:val="20"/>
                <w:szCs w:val="20"/>
                <w:lang w:val="en-GB" w:eastAsia="en-GB"/>
              </w:rPr>
              <w:t xml:space="preserve">To contribute to the development of Employee Relations strategies, plans and policies. Delivering against agreed time-frames, budgets and reporting against agreed performance measures. </w:t>
            </w:r>
          </w:p>
          <w:p>
            <w:pPr>
              <w:pStyle w:val="Default"/>
              <w:numPr>
                <w:ilvl w:val="0"/>
                <w:numId w:val="7"/>
              </w:numPr>
              <w:jc w:val="both"/>
              <w:rPr>
                <w:color w:val="auto"/>
                <w:sz w:val="20"/>
                <w:szCs w:val="20"/>
              </w:rPr>
            </w:pPr>
            <w:r>
              <w:rPr>
                <w:color w:val="auto"/>
                <w:sz w:val="20"/>
                <w:szCs w:val="20"/>
              </w:rPr>
              <w:t xml:space="preserve">To support and training of managers so that they can: better identify and implement support for performance management cases; independently interpret Occupational Health advice effectively; implement the necessary support mechanisms; successfully monitor and manage attendance in a timely and consistent way; and facilitate an effective return to work. </w:t>
            </w:r>
          </w:p>
          <w:p>
            <w:pPr>
              <w:pStyle w:val="Default"/>
              <w:numPr>
                <w:ilvl w:val="0"/>
                <w:numId w:val="7"/>
              </w:numPr>
              <w:jc w:val="both"/>
              <w:rPr>
                <w:color w:val="auto"/>
                <w:sz w:val="20"/>
                <w:szCs w:val="20"/>
              </w:rPr>
            </w:pPr>
            <w:r>
              <w:rPr>
                <w:color w:val="auto"/>
                <w:sz w:val="20"/>
                <w:szCs w:val="20"/>
              </w:rPr>
              <w:t xml:space="preserve">To support the delivery of transformation initiatives e.g. TUPE transfers and change programmes, partnering with relevant colleagues to ensure an all-round People Services provision, identifying efficiencies and the drivers for change, in order to ensure optimal organisational design. </w:t>
            </w:r>
          </w:p>
          <w:p>
            <w:pPr>
              <w:pStyle w:val="ListParagraph"/>
              <w:numPr>
                <w:ilvl w:val="0"/>
                <w:numId w:val="7"/>
              </w:numPr>
              <w:pBdr/>
              <w:tabs>
                <w:tab w:val="clear" w:pos="720"/>
                <w:tab w:val="left" w:pos="619" w:leader="none"/>
              </w:tabs>
              <w:jc w:val="both"/>
              <w:rPr/>
            </w:pPr>
            <w:r>
              <w:rPr>
                <w:color w:val="auto"/>
                <w:sz w:val="20"/>
                <w:szCs w:val="20"/>
                <w:lang w:val="en-GB" w:eastAsia="en-GB"/>
              </w:rPr>
              <w:t xml:space="preserve">To support the </w:t>
            </w:r>
            <w:r>
              <w:rPr>
                <w:color w:val="auto"/>
                <w:sz w:val="20"/>
                <w:szCs w:val="20"/>
                <w:lang w:val="en-GB"/>
              </w:rPr>
              <w:t xml:space="preserve">design and delivery of a comprehensive policy review and development program including measurement mechanisms. </w:t>
            </w:r>
            <w:r>
              <w:rPr>
                <w:color w:val="auto"/>
                <w:sz w:val="20"/>
                <w:szCs w:val="20"/>
                <w:lang w:val="en-GB" w:eastAsia="en-GB"/>
              </w:rPr>
              <w:t>Ensuring that</w:t>
            </w:r>
            <w:r>
              <w:rPr>
                <w:color w:val="auto"/>
                <w:sz w:val="20"/>
                <w:szCs w:val="20"/>
                <w:lang w:val="en-GB"/>
              </w:rPr>
              <w:t xml:space="preserve"> policies and procedures meet the needs of the organisation and effectively reflect GMCA’s values, principles and aspirations.</w:t>
            </w:r>
          </w:p>
          <w:p>
            <w:pPr>
              <w:pStyle w:val="ListParagraph"/>
              <w:numPr>
                <w:ilvl w:val="0"/>
                <w:numId w:val="7"/>
              </w:numPr>
              <w:pBdr/>
              <w:tabs>
                <w:tab w:val="clear" w:pos="720"/>
                <w:tab w:val="left" w:pos="619" w:leader="none"/>
              </w:tabs>
              <w:jc w:val="both"/>
              <w:rPr/>
            </w:pPr>
            <w:r>
              <w:rPr>
                <w:sz w:val="20"/>
                <w:szCs w:val="20"/>
                <w:lang w:val="en-GB" w:eastAsia="en-GB"/>
              </w:rPr>
              <w:t>To provide specialist advice, support and recommendations to service managers regarding the complexities of successfully navigating consultation processes for policy development, organisational restructures and organisational change processes as appropriate</w:t>
            </w:r>
            <w:r>
              <w:rPr>
                <w:sz w:val="20"/>
                <w:szCs w:val="20"/>
                <w:lang w:val="en-GB"/>
              </w:rPr>
              <w:t>.</w:t>
            </w:r>
          </w:p>
          <w:p>
            <w:pPr>
              <w:pStyle w:val="ListParagraph"/>
              <w:numPr>
                <w:ilvl w:val="0"/>
                <w:numId w:val="7"/>
              </w:numPr>
              <w:pBdr/>
              <w:tabs>
                <w:tab w:val="clear" w:pos="720"/>
                <w:tab w:val="left" w:pos="619" w:leader="none"/>
              </w:tabs>
              <w:jc w:val="both"/>
              <w:rPr/>
            </w:pPr>
            <w:r>
              <w:rPr>
                <w:sz w:val="20"/>
                <w:lang w:val="en-GB"/>
              </w:rPr>
              <w:t>To build and maintain constructive working relationships with representative bodies, ensuring all formal and informal processes appropriately contribute to a supportive climate for development, improvement and engagement throughout the organization</w:t>
            </w:r>
            <w:r>
              <w:rPr>
                <w:sz w:val="20"/>
                <w:szCs w:val="20"/>
                <w:lang w:val="en-GB"/>
              </w:rPr>
              <w:t xml:space="preserve">. </w:t>
            </w:r>
          </w:p>
          <w:p>
            <w:pPr>
              <w:pStyle w:val="ListParagraph"/>
              <w:numPr>
                <w:ilvl w:val="0"/>
                <w:numId w:val="7"/>
              </w:numPr>
              <w:pBdr/>
              <w:tabs>
                <w:tab w:val="clear" w:pos="720"/>
                <w:tab w:val="left" w:pos="619" w:leader="none"/>
              </w:tabs>
              <w:jc w:val="both"/>
              <w:rPr/>
            </w:pPr>
            <w:r>
              <w:rPr>
                <w:rFonts w:eastAsia="Times New Roman"/>
                <w:color w:val="242424"/>
                <w:sz w:val="20"/>
                <w:szCs w:val="20"/>
                <w:lang w:val="en-GB" w:eastAsia="en-GB"/>
              </w:rPr>
              <w:t>Use analytics</w:t>
            </w:r>
            <w:r>
              <w:rPr>
                <w:color w:val="242424"/>
                <w:sz w:val="20"/>
                <w:lang w:val="en-GB"/>
              </w:rPr>
              <w:t xml:space="preserve"> data to </w:t>
            </w:r>
            <w:r>
              <w:rPr>
                <w:rFonts w:eastAsia="Times New Roman"/>
                <w:color w:val="242424"/>
                <w:sz w:val="20"/>
                <w:szCs w:val="20"/>
                <w:lang w:val="en-GB" w:eastAsia="en-GB"/>
              </w:rPr>
              <w:t>monitor, track</w:t>
            </w:r>
            <w:r>
              <w:rPr>
                <w:color w:val="242424"/>
                <w:sz w:val="20"/>
                <w:lang w:val="en-GB"/>
              </w:rPr>
              <w:t xml:space="preserve"> and </w:t>
            </w:r>
            <w:r>
              <w:rPr>
                <w:rFonts w:eastAsia="Times New Roman"/>
                <w:color w:val="242424"/>
                <w:sz w:val="20"/>
                <w:szCs w:val="20"/>
                <w:lang w:val="en-GB" w:eastAsia="en-GB"/>
              </w:rPr>
              <w:t>highlight trends to advise the business on recommended actions</w:t>
            </w:r>
            <w:r>
              <w:rPr>
                <w:color w:val="242424"/>
                <w:sz w:val="20"/>
                <w:lang w:val="en-GB"/>
              </w:rPr>
              <w:t xml:space="preserve"> and </w:t>
            </w:r>
            <w:r>
              <w:rPr>
                <w:rFonts w:eastAsia="Times New Roman"/>
                <w:color w:val="242424"/>
                <w:sz w:val="20"/>
                <w:szCs w:val="20"/>
                <w:lang w:val="en-GB" w:eastAsia="en-GB"/>
              </w:rPr>
              <w:t>appropriate resolutions. Attend</w:t>
            </w:r>
            <w:r>
              <w:rPr>
                <w:color w:val="242424"/>
                <w:sz w:val="20"/>
                <w:lang w:val="en-GB"/>
              </w:rPr>
              <w:t xml:space="preserve"> relevant forums to present </w:t>
            </w:r>
            <w:r>
              <w:rPr>
                <w:color w:val="auto"/>
                <w:sz w:val="20"/>
                <w:szCs w:val="20"/>
                <w:lang w:val="en-GB" w:eastAsia="en-GB"/>
              </w:rPr>
              <w:t xml:space="preserve">Employee </w:t>
            </w:r>
            <w:r>
              <w:rPr>
                <w:color w:val="242424"/>
                <w:sz w:val="20"/>
                <w:lang w:val="en-GB"/>
              </w:rPr>
              <w:t xml:space="preserve">Relations data as appropriate. </w:t>
            </w:r>
          </w:p>
          <w:p>
            <w:pPr>
              <w:pStyle w:val="ListParagraph"/>
              <w:numPr>
                <w:ilvl w:val="0"/>
                <w:numId w:val="7"/>
              </w:numPr>
              <w:pBdr/>
              <w:tabs>
                <w:tab w:val="clear" w:pos="720"/>
                <w:tab w:val="left" w:pos="619" w:leader="none"/>
              </w:tabs>
              <w:jc w:val="both"/>
              <w:rPr/>
            </w:pPr>
            <w:r>
              <w:rPr>
                <w:sz w:val="20"/>
                <w:lang w:val="en-GB"/>
              </w:rPr>
              <w:t xml:space="preserve">To work with managers and other </w:t>
            </w:r>
            <w:r>
              <w:rPr>
                <w:sz w:val="20"/>
                <w:szCs w:val="20"/>
                <w:lang w:val="en-GB"/>
              </w:rPr>
              <w:t>stakeholders</w:t>
            </w:r>
            <w:r>
              <w:rPr>
                <w:sz w:val="20"/>
                <w:lang w:val="en-GB"/>
              </w:rPr>
              <w:t xml:space="preserve">, advising on employment legislation, execution of restructure plans and provide change management consultancy, assessing the analysis of a range of complex situations, advising on courses of action and risk management. </w:t>
            </w:r>
          </w:p>
          <w:p>
            <w:pPr>
              <w:pStyle w:val="ListParagraph"/>
              <w:numPr>
                <w:ilvl w:val="0"/>
                <w:numId w:val="7"/>
              </w:numPr>
              <w:tabs>
                <w:tab w:val="clear" w:pos="720"/>
                <w:tab w:val="left" w:pos="619" w:leader="none"/>
              </w:tabs>
              <w:jc w:val="both"/>
              <w:rPr>
                <w:sz w:val="20"/>
                <w:lang w:val="en-GB"/>
              </w:rPr>
            </w:pPr>
            <w:r>
              <w:rPr>
                <w:sz w:val="20"/>
                <w:lang w:val="en-GB"/>
              </w:rPr>
              <w:t>To support the roll out a programme of employee/manager self-service at all levels of the organisation through increased development of People systems, use of on-line training, manager communications and other initiatives</w:t>
            </w:r>
          </w:p>
          <w:p>
            <w:pPr>
              <w:pStyle w:val="ListParagraph"/>
              <w:numPr>
                <w:ilvl w:val="0"/>
                <w:numId w:val="7"/>
              </w:numPr>
              <w:tabs>
                <w:tab w:val="clear" w:pos="720"/>
                <w:tab w:val="left" w:pos="619" w:leader="none"/>
              </w:tabs>
              <w:jc w:val="both"/>
              <w:rPr>
                <w:rFonts w:eastAsia="Times New Roman"/>
                <w:color w:val="242424"/>
                <w:sz w:val="20"/>
                <w:szCs w:val="20"/>
                <w:lang w:val="en-GB" w:eastAsia="en-GB"/>
              </w:rPr>
            </w:pPr>
            <w:r>
              <w:rPr>
                <w:rFonts w:eastAsia="Times New Roman"/>
                <w:color w:val="242424"/>
                <w:sz w:val="20"/>
                <w:szCs w:val="20"/>
                <w:lang w:val="en-GB" w:eastAsia="en-GB"/>
              </w:rPr>
              <w:t xml:space="preserve">Act as a point of ER support to employees at all levels, including dealing with complex mental health concerns, including at moments of crisis taking appropriate action and giving relevant guidance as necessary. </w:t>
            </w:r>
          </w:p>
          <w:p>
            <w:pPr>
              <w:pStyle w:val="ListParagraph"/>
              <w:numPr>
                <w:ilvl w:val="0"/>
                <w:numId w:val="7"/>
              </w:numPr>
              <w:tabs>
                <w:tab w:val="clear" w:pos="720"/>
                <w:tab w:val="left" w:pos="619" w:leader="none"/>
              </w:tabs>
              <w:jc w:val="both"/>
              <w:rPr>
                <w:sz w:val="20"/>
                <w:szCs w:val="20"/>
                <w:lang w:val="en-GB" w:eastAsia="en-GB"/>
              </w:rPr>
            </w:pPr>
            <w:r>
              <w:rPr>
                <w:sz w:val="20"/>
                <w:szCs w:val="20"/>
                <w:lang w:val="en-GB" w:eastAsia="en-GB"/>
              </w:rPr>
              <w:t xml:space="preserve">Deputise for the Employee Relations Manager to provide specialist and complex ER advice to senior stakeholders.  </w:t>
            </w:r>
          </w:p>
          <w:p>
            <w:pPr>
              <w:pStyle w:val="ListParagraph"/>
              <w:numPr>
                <w:ilvl w:val="0"/>
                <w:numId w:val="7"/>
              </w:numPr>
              <w:tabs>
                <w:tab w:val="clear" w:pos="720"/>
                <w:tab w:val="left" w:pos="619" w:leader="none"/>
              </w:tabs>
              <w:jc w:val="both"/>
              <w:rPr>
                <w:rFonts w:eastAsia="Times New Roman"/>
                <w:color w:val="000000"/>
                <w:sz w:val="20"/>
                <w:szCs w:val="20"/>
                <w:lang w:val="en-GB" w:eastAsia="en-GB"/>
              </w:rPr>
            </w:pPr>
            <w:r>
              <w:rPr>
                <w:rFonts w:eastAsia="Times New Roman"/>
                <w:color w:val="000000"/>
                <w:sz w:val="20"/>
                <w:szCs w:val="20"/>
                <w:lang w:val="en-GB" w:eastAsia="en-GB"/>
              </w:rPr>
              <w:t>To develop trusted partnerships within the organisation, practicing internal client management; establish and develop external networks throughout GM.</w:t>
            </w:r>
          </w:p>
          <w:p>
            <w:pPr>
              <w:pStyle w:val="ListParagraph"/>
              <w:numPr>
                <w:ilvl w:val="0"/>
                <w:numId w:val="7"/>
              </w:numPr>
              <w:tabs>
                <w:tab w:val="clear" w:pos="720"/>
                <w:tab w:val="left" w:pos="619" w:leader="none"/>
              </w:tabs>
              <w:jc w:val="both"/>
              <w:rPr>
                <w:rFonts w:eastAsia="Times New Roman"/>
                <w:color w:val="000000"/>
                <w:sz w:val="20"/>
                <w:szCs w:val="20"/>
                <w:lang w:val="en-GB" w:eastAsia="en-GB"/>
              </w:rPr>
            </w:pPr>
            <w:r>
              <w:rPr>
                <w:rFonts w:eastAsia="Times New Roman"/>
                <w:color w:val="000000"/>
                <w:sz w:val="20"/>
                <w:szCs w:val="20"/>
                <w:lang w:val="en-GB" w:eastAsia="en-GB"/>
              </w:rPr>
              <w:t xml:space="preserve">To line manage and support, providing clear direction and guidance and to aid professional development, where required. </w:t>
            </w:r>
          </w:p>
          <w:p>
            <w:pPr>
              <w:pStyle w:val="ListParagraph"/>
              <w:numPr>
                <w:ilvl w:val="0"/>
                <w:numId w:val="7"/>
              </w:numPr>
              <w:tabs>
                <w:tab w:val="clear" w:pos="720"/>
                <w:tab w:val="left" w:pos="619" w:leader="none"/>
              </w:tabs>
              <w:jc w:val="both"/>
              <w:rPr>
                <w:sz w:val="20"/>
                <w:lang w:val="en-GB"/>
              </w:rPr>
            </w:pPr>
            <w:r>
              <w:rPr>
                <w:sz w:val="20"/>
                <w:lang w:val="en-GB"/>
              </w:rPr>
              <w:t>Act autonomously, taking a high level of initiative to find innovative solutions to problems, based on specialist knowledge and experience.</w:t>
            </w:r>
          </w:p>
          <w:p>
            <w:pPr>
              <w:pStyle w:val="ListParagraph"/>
              <w:numPr>
                <w:ilvl w:val="0"/>
                <w:numId w:val="7"/>
              </w:numPr>
              <w:tabs>
                <w:tab w:val="clear" w:pos="720"/>
                <w:tab w:val="left" w:pos="619" w:leader="none"/>
              </w:tabs>
              <w:jc w:val="both"/>
              <w:rPr/>
            </w:pPr>
            <w:r>
              <w:rPr>
                <w:rFonts w:eastAsia="Times New Roman"/>
                <w:color w:val="000000"/>
                <w:sz w:val="20"/>
                <w:szCs w:val="20"/>
                <w:lang w:val="en-GB" w:eastAsia="en-GB"/>
              </w:rPr>
              <w:t>To ensure that ER practices are inclusive, identifying and removing barriers, and making improvements to processes to enable equity.</w:t>
            </w:r>
            <w:r>
              <w:rPr>
                <w:sz w:val="20"/>
                <w:lang w:val="en-GB"/>
              </w:rPr>
              <w:t xml:space="preserve"> Including completing Equality Impact Assessments, contributing to the EDI Strategy. </w:t>
            </w:r>
          </w:p>
          <w:p>
            <w:pPr>
              <w:pStyle w:val="ListParagraph"/>
              <w:numPr>
                <w:ilvl w:val="0"/>
                <w:numId w:val="7"/>
              </w:numPr>
              <w:tabs>
                <w:tab w:val="clear" w:pos="720"/>
                <w:tab w:val="left" w:pos="619" w:leader="none"/>
              </w:tabs>
              <w:jc w:val="both"/>
              <w:rPr>
                <w:rFonts w:eastAsia="Times New Roman"/>
                <w:color w:val="000000"/>
                <w:sz w:val="20"/>
                <w:szCs w:val="20"/>
                <w:lang w:val="en-GB" w:eastAsia="en-GB"/>
              </w:rPr>
            </w:pPr>
            <w:r>
              <w:rPr>
                <w:rFonts w:eastAsia="Times New Roman"/>
                <w:color w:val="000000"/>
                <w:sz w:val="20"/>
                <w:szCs w:val="20"/>
                <w:lang w:val="en-GB" w:eastAsia="en-GB"/>
              </w:rPr>
              <w:t xml:space="preserve">To ensure ER practices are environmentally friendly, supporting the organisations sustainability goals. </w:t>
            </w:r>
          </w:p>
        </w:tc>
      </w:tr>
      <w:tr>
        <w:trPr>
          <w:trHeight w:val="622" w:hRule="atLeast"/>
        </w:trPr>
        <w:tc>
          <w:tcPr>
            <w:tcW w:w="10371" w:type="dxa"/>
            <w:tcBorders>
              <w:left w:val="single" w:sz="4" w:space="0" w:color="000000"/>
              <w:bottom w:val="single" w:sz="4" w:space="0" w:color="000000"/>
              <w:right w:val="single" w:sz="6" w:space="0" w:color="000000"/>
            </w:tcBorders>
            <w:shd w:fill="auto" w:val="clear"/>
          </w:tcPr>
          <w:p>
            <w:pPr>
              <w:pStyle w:val="Normal"/>
              <w:pBdr/>
              <w:rPr>
                <w:rFonts w:ascii="Arial" w:hAnsi="Arial" w:cs="Arial"/>
                <w:b/>
                <w:b/>
                <w:color w:val="000000"/>
                <w:sz w:val="20"/>
                <w:szCs w:val="20"/>
                <w:lang w:val="en-GB" w:eastAsia="en-GB"/>
              </w:rPr>
            </w:pPr>
            <w:r>
              <w:rPr>
                <w:rFonts w:cs="Arial" w:ascii="Arial" w:hAnsi="Arial"/>
                <w:b/>
                <w:color w:val="000000"/>
                <w:sz w:val="20"/>
                <w:szCs w:val="20"/>
                <w:lang w:val="en-GB" w:eastAsia="en-GB"/>
              </w:rPr>
              <w:t>General</w:t>
            </w:r>
          </w:p>
          <w:p>
            <w:pPr>
              <w:pStyle w:val="ListParagraph"/>
              <w:numPr>
                <w:ilvl w:val="0"/>
                <w:numId w:val="3"/>
              </w:numPr>
              <w:rPr>
                <w:sz w:val="20"/>
                <w:szCs w:val="20"/>
                <w:lang w:val="en-GB" w:eastAsia="en-GB"/>
              </w:rPr>
            </w:pPr>
            <w:r>
              <w:rPr>
                <w:sz w:val="20"/>
                <w:szCs w:val="20"/>
                <w:lang w:val="en-GB" w:eastAsia="en-GB"/>
              </w:rPr>
              <w:t>Contribute to the design and delivery of key People Services projects and interventions aligned to performance improvement</w:t>
            </w:r>
          </w:p>
          <w:p>
            <w:pPr>
              <w:pStyle w:val="ListParagraph"/>
              <w:numPr>
                <w:ilvl w:val="0"/>
                <w:numId w:val="3"/>
              </w:numPr>
              <w:spacing w:before="0" w:after="120"/>
              <w:rPr>
                <w:sz w:val="20"/>
                <w:szCs w:val="20"/>
                <w:lang w:val="en-GB" w:eastAsia="en-GB"/>
              </w:rPr>
            </w:pPr>
            <w:r>
              <w:rPr>
                <w:sz w:val="20"/>
                <w:szCs w:val="20"/>
                <w:lang w:val="en-GB" w:eastAsia="en-GB"/>
              </w:rPr>
              <w:t xml:space="preserve">Have a flexible approach to supporting all People Services areas with business need requirements.   </w:t>
            </w:r>
          </w:p>
          <w:p>
            <w:pPr>
              <w:pStyle w:val="ListParagraph"/>
              <w:numPr>
                <w:ilvl w:val="0"/>
                <w:numId w:val="3"/>
              </w:numPr>
              <w:spacing w:before="0" w:after="120"/>
              <w:rPr>
                <w:sz w:val="20"/>
                <w:szCs w:val="20"/>
                <w:lang w:val="en-GB" w:eastAsia="en-GB"/>
              </w:rPr>
            </w:pPr>
            <w:r>
              <w:rPr>
                <w:sz w:val="20"/>
                <w:szCs w:val="20"/>
                <w:lang w:val="en-GB" w:eastAsia="en-GB"/>
              </w:rPr>
              <w:t xml:space="preserve">To ensure that your colleagues receive clear direction and that you will seek clarity in order to understand what is expected of you where appropriate. </w:t>
            </w:r>
          </w:p>
          <w:p>
            <w:pPr>
              <w:pStyle w:val="ListParagraph"/>
              <w:numPr>
                <w:ilvl w:val="0"/>
                <w:numId w:val="3"/>
              </w:numPr>
              <w:spacing w:before="0" w:after="120"/>
              <w:rPr>
                <w:sz w:val="20"/>
                <w:szCs w:val="20"/>
                <w:lang w:val="en-GB" w:eastAsia="en-GB"/>
              </w:rPr>
            </w:pPr>
            <w:r>
              <w:rPr>
                <w:sz w:val="20"/>
                <w:szCs w:val="20"/>
                <w:lang w:val="en-GB" w:eastAsia="en-GB"/>
              </w:rPr>
              <w:t>To help research and draft reports and presentations within your area for circulation throughout the organisation</w:t>
            </w:r>
          </w:p>
          <w:p>
            <w:pPr>
              <w:pStyle w:val="ListParagraph"/>
              <w:numPr>
                <w:ilvl w:val="0"/>
                <w:numId w:val="3"/>
              </w:numPr>
              <w:spacing w:before="0" w:after="120"/>
              <w:rPr>
                <w:sz w:val="20"/>
                <w:szCs w:val="20"/>
                <w:lang w:val="en-GB" w:eastAsia="en-GB"/>
              </w:rPr>
            </w:pPr>
            <w:r>
              <w:rPr>
                <w:sz w:val="20"/>
                <w:szCs w:val="20"/>
                <w:lang w:val="en-GB" w:eastAsia="en-GB"/>
              </w:rPr>
              <w:t xml:space="preserve">To develop trusted partnerships within the organisation, practicing internal client management; establish and develop external networks throughout GM. </w:t>
            </w:r>
          </w:p>
          <w:p>
            <w:pPr>
              <w:pStyle w:val="ListParagraph"/>
              <w:numPr>
                <w:ilvl w:val="0"/>
                <w:numId w:val="3"/>
              </w:numPr>
              <w:spacing w:before="0" w:after="120"/>
              <w:rPr>
                <w:sz w:val="20"/>
                <w:szCs w:val="20"/>
                <w:lang w:val="en-GB" w:eastAsia="en-GB"/>
              </w:rPr>
            </w:pPr>
            <w:r>
              <w:rPr>
                <w:sz w:val="20"/>
                <w:szCs w:val="20"/>
                <w:lang w:val="en-GB" w:eastAsia="en-GB"/>
              </w:rPr>
              <w:t xml:space="preserve">To monitor the non-pay budgets across your area including maintain information relating to contract management where applicable. </w:t>
            </w:r>
          </w:p>
          <w:p>
            <w:pPr>
              <w:pStyle w:val="ListParagraph"/>
              <w:numPr>
                <w:ilvl w:val="0"/>
                <w:numId w:val="3"/>
              </w:numPr>
              <w:spacing w:before="0" w:after="120"/>
              <w:rPr>
                <w:sz w:val="20"/>
                <w:szCs w:val="20"/>
                <w:lang w:val="en-GB" w:eastAsia="en-GB"/>
              </w:rPr>
            </w:pPr>
            <w:r>
              <w:rPr>
                <w:sz w:val="20"/>
                <w:szCs w:val="20"/>
                <w:lang w:val="en-GB" w:eastAsia="en-GB"/>
              </w:rPr>
              <w:t>Actively engage with the wider workforce to seek and listen to the views of staff, GM partners and trade unions to influence and improve workforce practices.</w:t>
            </w:r>
          </w:p>
          <w:p>
            <w:pPr>
              <w:pStyle w:val="ListParagraph"/>
              <w:numPr>
                <w:ilvl w:val="0"/>
                <w:numId w:val="3"/>
              </w:numPr>
              <w:spacing w:before="0" w:after="120"/>
              <w:rPr>
                <w:sz w:val="20"/>
                <w:szCs w:val="20"/>
                <w:lang w:val="en-GB" w:eastAsia="en-GB"/>
              </w:rPr>
            </w:pPr>
            <w:r>
              <w:rPr>
                <w:sz w:val="20"/>
                <w:szCs w:val="20"/>
                <w:lang w:val="en-GB" w:eastAsia="en-GB"/>
              </w:rPr>
              <w:t xml:space="preserve">To be committed to maintain your own skills and expertise. </w:t>
            </w:r>
          </w:p>
          <w:p>
            <w:pPr>
              <w:pStyle w:val="ListParagraph"/>
              <w:numPr>
                <w:ilvl w:val="0"/>
                <w:numId w:val="3"/>
              </w:numPr>
              <w:spacing w:before="0" w:after="120"/>
              <w:rPr>
                <w:sz w:val="20"/>
                <w:szCs w:val="20"/>
                <w:lang w:val="en-GB" w:eastAsia="en-GB"/>
              </w:rPr>
            </w:pPr>
            <w:r>
              <w:rPr>
                <w:sz w:val="20"/>
                <w:szCs w:val="20"/>
                <w:lang w:val="en-GB" w:eastAsia="en-GB"/>
              </w:rPr>
              <w:t>To ensure high standards of accuracy, professionalism and customer care.</w:t>
            </w:r>
          </w:p>
          <w:p>
            <w:pPr>
              <w:pStyle w:val="ListParagraph"/>
              <w:numPr>
                <w:ilvl w:val="0"/>
                <w:numId w:val="3"/>
              </w:numPr>
              <w:spacing w:before="0" w:after="120"/>
              <w:rPr>
                <w:sz w:val="20"/>
                <w:szCs w:val="20"/>
                <w:lang w:val="en-GB" w:eastAsia="en-GB"/>
              </w:rPr>
            </w:pPr>
            <w:r>
              <w:rPr>
                <w:sz w:val="20"/>
                <w:szCs w:val="20"/>
                <w:lang w:val="en-GB" w:eastAsia="en-GB"/>
              </w:rPr>
              <w:t xml:space="preserve">To provide support and guidance with strict adherence to confidentiality of personal information and Data Protection legislation. </w:t>
            </w:r>
          </w:p>
          <w:p>
            <w:pPr>
              <w:pStyle w:val="ListParagraph"/>
              <w:numPr>
                <w:ilvl w:val="0"/>
                <w:numId w:val="3"/>
              </w:numPr>
              <w:spacing w:before="0" w:after="120"/>
              <w:rPr>
                <w:sz w:val="20"/>
                <w:szCs w:val="20"/>
                <w:lang w:val="en-GB" w:eastAsia="en-GB"/>
              </w:rPr>
            </w:pPr>
            <w:r>
              <w:rPr>
                <w:sz w:val="20"/>
                <w:szCs w:val="20"/>
                <w:lang w:val="en-GB" w:eastAsia="en-GB"/>
              </w:rPr>
              <w:t>To always hold yourself and others to a high standard of professionalism, demonstrating your commitment to our values and behaviours as well as ensuring service confidentiality is maintained throughout all we do</w:t>
            </w:r>
          </w:p>
          <w:p>
            <w:pPr>
              <w:pStyle w:val="ListParagraph"/>
              <w:numPr>
                <w:ilvl w:val="0"/>
                <w:numId w:val="3"/>
              </w:numPr>
              <w:spacing w:before="0" w:after="120"/>
              <w:rPr>
                <w:sz w:val="20"/>
                <w:szCs w:val="20"/>
                <w:lang w:val="en-GB" w:eastAsia="en-GB"/>
              </w:rPr>
            </w:pPr>
            <w:r>
              <w:rPr>
                <w:sz w:val="20"/>
                <w:szCs w:val="20"/>
                <w:lang w:val="en-GB" w:eastAsia="en-GB"/>
              </w:rPr>
              <w:t>Working with other teams across the directorate to ensure integration and alignment is maximised and supporting on activity where appropriate.</w:t>
            </w:r>
          </w:p>
          <w:p>
            <w:pPr>
              <w:pStyle w:val="ListParagraph"/>
              <w:numPr>
                <w:ilvl w:val="0"/>
                <w:numId w:val="3"/>
              </w:numPr>
              <w:spacing w:before="0" w:after="120"/>
              <w:rPr>
                <w:sz w:val="20"/>
                <w:szCs w:val="20"/>
                <w:lang w:val="en-GB" w:eastAsia="en-GB"/>
              </w:rPr>
            </w:pPr>
            <w:r>
              <w:rPr>
                <w:sz w:val="20"/>
                <w:szCs w:val="20"/>
                <w:lang w:val="en-GB" w:eastAsia="en-GB"/>
              </w:rPr>
              <w:t xml:space="preserve">To be accountable for ensuring the organisation is compliant with its statutory duties under legislation in the relevant field e.g., Employment Rights Act, Equality Act, General Data Protection Regulations etc </w:t>
            </w:r>
          </w:p>
          <w:p>
            <w:pPr>
              <w:pStyle w:val="ListParagraph"/>
              <w:numPr>
                <w:ilvl w:val="0"/>
                <w:numId w:val="3"/>
              </w:numPr>
              <w:spacing w:before="0" w:after="120"/>
              <w:rPr>
                <w:sz w:val="20"/>
                <w:szCs w:val="20"/>
                <w:lang w:val="en-GB" w:eastAsia="en-GB"/>
              </w:rPr>
            </w:pPr>
            <w:r>
              <w:rPr>
                <w:sz w:val="20"/>
                <w:szCs w:val="20"/>
                <w:lang w:val="en-GB" w:eastAsia="en-GB"/>
              </w:rPr>
              <w:t>Ensure that your approach to your work and your colleagues is inclusive and supportive of a diverse workplace</w:t>
            </w:r>
          </w:p>
          <w:p>
            <w:pPr>
              <w:pStyle w:val="Normal"/>
              <w:spacing w:before="0" w:after="120"/>
              <w:rPr>
                <w:sz w:val="20"/>
                <w:szCs w:val="20"/>
                <w:lang w:val="en-GB" w:eastAsia="en-GB"/>
              </w:rPr>
            </w:pPr>
            <w:r>
              <w:rPr>
                <w:sz w:val="20"/>
                <w:szCs w:val="20"/>
                <w:lang w:val="en-GB" w:eastAsia="en-GB"/>
              </w:rPr>
            </w:r>
          </w:p>
          <w:p>
            <w:pPr>
              <w:pStyle w:val="Normal"/>
              <w:rPr/>
            </w:pPr>
            <w:r>
              <w:rPr>
                <w:rFonts w:cs="Arial" w:ascii="Arial" w:hAnsi="Arial"/>
                <w:b/>
                <w:bCs/>
                <w:sz w:val="20"/>
                <w:szCs w:val="20"/>
                <w:lang w:val="en-GB"/>
              </w:rPr>
              <w:t xml:space="preserve">NB: </w:t>
            </w:r>
            <w:r>
              <w:rPr>
                <w:rFonts w:cs="Arial" w:ascii="Arial" w:hAnsi="Arial"/>
                <w:sz w:val="20"/>
                <w:szCs w:val="20"/>
                <w:lang w:val="en-GB"/>
              </w:rPr>
              <w:t>This list of duties and responsibilities is by no means exhaustive, and the post holder may be required to undertake other relevant and appropriate duties as required.</w:t>
            </w:r>
          </w:p>
        </w:tc>
      </w:tr>
    </w:tbl>
    <w:p>
      <w:pPr>
        <w:pStyle w:val="Body"/>
        <w:pBdr/>
        <w:ind w:left="-567" w:right="261" w:hanging="0"/>
        <w:rPr>
          <w:b/>
          <w:b/>
          <w:bCs/>
          <w:iCs/>
          <w:sz w:val="24"/>
          <w:szCs w:val="24"/>
        </w:rPr>
      </w:pPr>
      <w:r>
        <w:rPr>
          <w:b/>
          <w:bCs/>
          <w:iCs/>
          <w:sz w:val="24"/>
          <w:szCs w:val="24"/>
        </w:rPr>
      </w:r>
    </w:p>
    <w:p>
      <w:pPr>
        <w:pStyle w:val="Body"/>
        <w:pBdr/>
        <w:ind w:left="-567" w:right="261" w:hanging="0"/>
        <w:rPr>
          <w:b/>
          <w:b/>
          <w:bCs/>
          <w:iCs/>
          <w:sz w:val="24"/>
          <w:szCs w:val="24"/>
        </w:rPr>
      </w:pPr>
      <w:r>
        <w:rPr>
          <w:b/>
          <w:bCs/>
          <w:iCs/>
          <w:sz w:val="24"/>
          <w:szCs w:val="24"/>
        </w:rPr>
      </w:r>
    </w:p>
    <w:p>
      <w:pPr>
        <w:pStyle w:val="Body"/>
        <w:pBdr/>
        <w:ind w:left="-567" w:right="261" w:hanging="0"/>
        <w:rPr>
          <w:b/>
          <w:b/>
          <w:bCs/>
          <w:iCs/>
          <w:sz w:val="24"/>
          <w:szCs w:val="24"/>
        </w:rPr>
      </w:pPr>
      <w:r>
        <w:rPr>
          <w:b/>
          <w:bCs/>
          <w:iCs/>
          <w:sz w:val="24"/>
          <w:szCs w:val="24"/>
        </w:rPr>
      </w:r>
    </w:p>
    <w:p>
      <w:pPr>
        <w:pStyle w:val="Body"/>
        <w:pBdr/>
        <w:ind w:left="-567" w:right="261" w:hanging="0"/>
        <w:rPr>
          <w:b/>
          <w:b/>
          <w:bCs/>
          <w:iCs/>
          <w:sz w:val="24"/>
          <w:szCs w:val="24"/>
        </w:rPr>
      </w:pPr>
      <w:r>
        <w:rPr>
          <w:b/>
          <w:bCs/>
          <w:iCs/>
          <w:sz w:val="24"/>
          <w:szCs w:val="24"/>
        </w:rPr>
      </w:r>
    </w:p>
    <w:tbl>
      <w:tblPr>
        <w:tblW w:w="10364" w:type="dxa"/>
        <w:jc w:val="center"/>
        <w:tblInd w:w="0" w:type="dxa"/>
        <w:tblCellMar>
          <w:top w:w="80" w:type="dxa"/>
          <w:left w:w="80" w:type="dxa"/>
          <w:bottom w:w="80" w:type="dxa"/>
          <w:right w:w="80" w:type="dxa"/>
        </w:tblCellMar>
      </w:tblPr>
      <w:tblGrid>
        <w:gridCol w:w="10364"/>
      </w:tblGrid>
      <w:tr>
        <w:trPr>
          <w:trHeight w:val="180" w:hRule="atLeast"/>
        </w:trPr>
        <w:tc>
          <w:tcPr>
            <w:tcW w:w="10364" w:type="dxa"/>
            <w:tcBorders>
              <w:top w:val="single" w:sz="4" w:space="0" w:color="000000"/>
              <w:left w:val="single" w:sz="4" w:space="0" w:color="000000"/>
              <w:bottom w:val="single" w:sz="4" w:space="0" w:color="000000"/>
              <w:right w:val="single" w:sz="4" w:space="0" w:color="000000"/>
            </w:tcBorders>
            <w:shd w:fill="000000" w:val="clear"/>
          </w:tcPr>
          <w:p>
            <w:pPr>
              <w:pStyle w:val="Body"/>
              <w:pBdr/>
              <w:ind w:left="18" w:right="261" w:hanging="0"/>
              <w:rPr>
                <w:b/>
                <w:b/>
                <w:bCs/>
                <w:color w:val="FFFFFF"/>
                <w:sz w:val="24"/>
                <w:szCs w:val="24"/>
                <w:u w:val="none" w:color="FFFFFF"/>
              </w:rPr>
            </w:pPr>
            <w:r>
              <w:rPr>
                <w:b/>
                <w:bCs/>
                <w:color w:val="FFFFFF"/>
                <w:sz w:val="24"/>
                <w:szCs w:val="24"/>
                <w:u w:val="none" w:color="FFFFFF"/>
              </w:rPr>
              <w:t>KNOWLEDGE AND EXPERIENCE</w:t>
            </w:r>
          </w:p>
        </w:tc>
      </w:tr>
      <w:tr>
        <w:trPr>
          <w:trHeight w:val="1020" w:hRule="atLeast"/>
        </w:trPr>
        <w:tc>
          <w:tcPr>
            <w:tcW w:w="10364" w:type="dxa"/>
            <w:tcBorders>
              <w:top w:val="single" w:sz="4" w:space="0" w:color="000000"/>
              <w:left w:val="single" w:sz="4" w:space="0" w:color="000000"/>
              <w:bottom w:val="single" w:sz="4" w:space="0" w:color="000000"/>
              <w:right w:val="single" w:sz="4" w:space="0" w:color="000000"/>
            </w:tcBorders>
            <w:shd w:fill="auto" w:val="clear"/>
            <w:tcMar>
              <w:left w:w="363" w:type="dxa"/>
            </w:tcMar>
          </w:tcPr>
          <w:p>
            <w:pPr>
              <w:pStyle w:val="Normal"/>
              <w:pBdr/>
              <w:snapToGrid w:val="false"/>
              <w:ind w:left="360" w:right="0" w:hanging="0"/>
              <w:rPr>
                <w:rFonts w:ascii="Arial" w:hAnsi="Arial" w:cs="Arial"/>
                <w:b/>
                <w:b/>
                <w:sz w:val="20"/>
                <w:szCs w:val="20"/>
                <w:highlight w:val="yellow"/>
                <w:lang w:val="en-GB" w:eastAsia="en-GB"/>
              </w:rPr>
            </w:pPr>
            <w:r>
              <w:rPr>
                <w:rFonts w:cs="Arial" w:ascii="Arial" w:hAnsi="Arial"/>
                <w:b/>
                <w:sz w:val="20"/>
                <w:szCs w:val="20"/>
                <w:highlight w:val="yellow"/>
                <w:lang w:val="en-GB" w:eastAsia="en-GB"/>
              </w:rPr>
            </w:r>
          </w:p>
          <w:p>
            <w:pPr>
              <w:pStyle w:val="Normal"/>
              <w:pBdr/>
              <w:rPr>
                <w:rFonts w:ascii="Arial" w:hAnsi="Arial" w:cs="Arial"/>
                <w:b/>
                <w:b/>
                <w:sz w:val="20"/>
                <w:szCs w:val="20"/>
                <w:lang w:val="en-GB" w:eastAsia="en-GB"/>
              </w:rPr>
            </w:pPr>
            <w:r>
              <w:rPr>
                <w:rFonts w:cs="Arial" w:ascii="Arial" w:hAnsi="Arial"/>
                <w:b/>
                <w:sz w:val="20"/>
                <w:szCs w:val="20"/>
                <w:lang w:val="en-GB" w:eastAsia="en-GB"/>
              </w:rPr>
              <w:t>Qualifications</w:t>
            </w:r>
          </w:p>
          <w:p>
            <w:pPr>
              <w:pStyle w:val="Default"/>
              <w:rPr>
                <w:color w:val="auto"/>
                <w:sz w:val="20"/>
                <w:szCs w:val="20"/>
              </w:rPr>
            </w:pPr>
            <w:r>
              <w:rPr>
                <w:color w:val="auto"/>
                <w:sz w:val="20"/>
                <w:szCs w:val="20"/>
              </w:rPr>
            </w:r>
          </w:p>
          <w:p>
            <w:pPr>
              <w:pStyle w:val="Default"/>
              <w:numPr>
                <w:ilvl w:val="0"/>
                <w:numId w:val="5"/>
              </w:numPr>
              <w:rPr>
                <w:sz w:val="20"/>
                <w:szCs w:val="20"/>
              </w:rPr>
            </w:pPr>
            <w:r>
              <w:rPr>
                <w:sz w:val="20"/>
                <w:szCs w:val="20"/>
              </w:rPr>
              <w:t>Good standard of education up to degree level or equivalent relevant experience</w:t>
            </w:r>
          </w:p>
          <w:p>
            <w:pPr>
              <w:pStyle w:val="Default"/>
              <w:numPr>
                <w:ilvl w:val="0"/>
                <w:numId w:val="5"/>
              </w:numPr>
              <w:rPr>
                <w:color w:val="auto"/>
                <w:sz w:val="20"/>
                <w:szCs w:val="20"/>
              </w:rPr>
            </w:pPr>
            <w:r>
              <w:rPr>
                <w:color w:val="auto"/>
                <w:sz w:val="20"/>
                <w:szCs w:val="20"/>
              </w:rPr>
              <w:t xml:space="preserve">Membership of relevant professional body i.e. CIPD, REC, BIoR (Desirable) </w:t>
            </w:r>
          </w:p>
          <w:p>
            <w:pPr>
              <w:pStyle w:val="Default"/>
              <w:rPr>
                <w:b/>
                <w:b/>
                <w:sz w:val="20"/>
                <w:szCs w:val="20"/>
              </w:rPr>
            </w:pPr>
            <w:r>
              <w:rPr>
                <w:b/>
                <w:sz w:val="20"/>
                <w:szCs w:val="20"/>
              </w:rPr>
            </w:r>
          </w:p>
          <w:p>
            <w:pPr>
              <w:pStyle w:val="Default"/>
              <w:rPr>
                <w:b/>
                <w:b/>
                <w:sz w:val="20"/>
                <w:szCs w:val="20"/>
              </w:rPr>
            </w:pPr>
            <w:r>
              <w:rPr>
                <w:b/>
                <w:sz w:val="20"/>
                <w:szCs w:val="20"/>
              </w:rPr>
            </w:r>
          </w:p>
          <w:p>
            <w:pPr>
              <w:pStyle w:val="Default"/>
              <w:rPr>
                <w:b/>
                <w:b/>
                <w:sz w:val="20"/>
                <w:szCs w:val="20"/>
              </w:rPr>
            </w:pPr>
            <w:r>
              <w:rPr>
                <w:b/>
                <w:sz w:val="20"/>
                <w:szCs w:val="20"/>
              </w:rPr>
              <w:t>Experience</w:t>
            </w:r>
          </w:p>
          <w:p>
            <w:pPr>
              <w:pStyle w:val="Default"/>
              <w:rPr>
                <w:color w:val="auto"/>
                <w:sz w:val="20"/>
                <w:szCs w:val="20"/>
              </w:rPr>
            </w:pPr>
            <w:r>
              <w:rPr>
                <w:color w:val="auto"/>
                <w:sz w:val="20"/>
                <w:szCs w:val="20"/>
              </w:rPr>
            </w:r>
          </w:p>
          <w:p>
            <w:pPr>
              <w:pStyle w:val="Default"/>
              <w:numPr>
                <w:ilvl w:val="0"/>
                <w:numId w:val="5"/>
              </w:numPr>
              <w:rPr>
                <w:sz w:val="20"/>
                <w:szCs w:val="20"/>
              </w:rPr>
            </w:pPr>
            <w:r>
              <w:rPr>
                <w:sz w:val="20"/>
                <w:szCs w:val="20"/>
              </w:rPr>
              <w:t>Demonstrable experience and proven track record in a similar role i.e. employee relations or HR.</w:t>
            </w:r>
          </w:p>
          <w:p>
            <w:pPr>
              <w:pStyle w:val="Default"/>
              <w:numPr>
                <w:ilvl w:val="0"/>
                <w:numId w:val="5"/>
              </w:numPr>
              <w:rPr>
                <w:sz w:val="20"/>
                <w:szCs w:val="20"/>
              </w:rPr>
            </w:pPr>
            <w:r>
              <w:rPr>
                <w:sz w:val="20"/>
                <w:szCs w:val="20"/>
              </w:rPr>
              <w:t>Experience delivering excellent client services and continuous improvement.</w:t>
            </w:r>
          </w:p>
          <w:p>
            <w:pPr>
              <w:pStyle w:val="Default"/>
              <w:numPr>
                <w:ilvl w:val="0"/>
                <w:numId w:val="5"/>
              </w:numPr>
              <w:rPr>
                <w:sz w:val="20"/>
                <w:szCs w:val="20"/>
              </w:rPr>
            </w:pPr>
            <w:r>
              <w:rPr>
                <w:sz w:val="20"/>
                <w:szCs w:val="20"/>
              </w:rPr>
              <w:t xml:space="preserve">Experienced in relationship building and client account management </w:t>
            </w:r>
          </w:p>
          <w:p>
            <w:pPr>
              <w:pStyle w:val="Default"/>
              <w:numPr>
                <w:ilvl w:val="0"/>
                <w:numId w:val="5"/>
              </w:numPr>
              <w:rPr>
                <w:sz w:val="20"/>
                <w:szCs w:val="20"/>
              </w:rPr>
            </w:pPr>
            <w:r>
              <w:rPr>
                <w:sz w:val="20"/>
                <w:szCs w:val="20"/>
              </w:rPr>
              <w:t>Experience of working to tight deadlines</w:t>
            </w:r>
          </w:p>
          <w:p>
            <w:pPr>
              <w:pStyle w:val="Default"/>
              <w:numPr>
                <w:ilvl w:val="0"/>
                <w:numId w:val="5"/>
              </w:numPr>
              <w:rPr>
                <w:sz w:val="20"/>
                <w:szCs w:val="20"/>
              </w:rPr>
            </w:pPr>
            <w:r>
              <w:rPr>
                <w:sz w:val="20"/>
                <w:szCs w:val="20"/>
              </w:rPr>
              <w:t xml:space="preserve">Demonstrable understanding of industry standards and best practice, with evidence of applying this to achieve continuous improvements </w:t>
            </w:r>
          </w:p>
          <w:p>
            <w:pPr>
              <w:pStyle w:val="Default"/>
              <w:numPr>
                <w:ilvl w:val="0"/>
                <w:numId w:val="5"/>
              </w:numPr>
              <w:rPr>
                <w:sz w:val="20"/>
                <w:szCs w:val="20"/>
              </w:rPr>
            </w:pPr>
            <w:r>
              <w:rPr>
                <w:sz w:val="20"/>
                <w:szCs w:val="20"/>
              </w:rPr>
              <w:t>Experience with HR digital platforms – example: Applicant Tracking System, HR systems, Customer Relationship Management Systems</w:t>
            </w:r>
          </w:p>
          <w:p>
            <w:pPr>
              <w:pStyle w:val="Default"/>
              <w:numPr>
                <w:ilvl w:val="0"/>
                <w:numId w:val="5"/>
              </w:numPr>
              <w:rPr>
                <w:sz w:val="20"/>
                <w:szCs w:val="20"/>
              </w:rPr>
            </w:pPr>
            <w:r>
              <w:rPr>
                <w:sz w:val="20"/>
                <w:szCs w:val="20"/>
              </w:rPr>
              <w:t>Supervisory leadership and management experience</w:t>
            </w:r>
          </w:p>
          <w:p>
            <w:pPr>
              <w:pStyle w:val="Default"/>
              <w:numPr>
                <w:ilvl w:val="0"/>
                <w:numId w:val="5"/>
              </w:numPr>
              <w:rPr>
                <w:sz w:val="20"/>
                <w:szCs w:val="20"/>
              </w:rPr>
            </w:pPr>
            <w:r>
              <w:rPr>
                <w:sz w:val="20"/>
                <w:szCs w:val="20"/>
              </w:rPr>
              <w:t xml:space="preserve">Project management experience </w:t>
            </w:r>
          </w:p>
          <w:p>
            <w:pPr>
              <w:pStyle w:val="Default"/>
              <w:numPr>
                <w:ilvl w:val="0"/>
                <w:numId w:val="5"/>
              </w:numPr>
              <w:rPr>
                <w:sz w:val="20"/>
                <w:szCs w:val="20"/>
              </w:rPr>
            </w:pPr>
            <w:r>
              <w:rPr>
                <w:sz w:val="20"/>
                <w:szCs w:val="20"/>
              </w:rPr>
              <w:t xml:space="preserve">Experience in training and coaching colleagues </w:t>
            </w:r>
          </w:p>
          <w:p>
            <w:pPr>
              <w:pStyle w:val="Default"/>
              <w:rPr>
                <w:b/>
                <w:b/>
                <w:sz w:val="20"/>
                <w:szCs w:val="20"/>
                <w:highlight w:val="yellow"/>
              </w:rPr>
            </w:pPr>
            <w:r>
              <w:rPr>
                <w:b/>
                <w:sz w:val="20"/>
                <w:szCs w:val="20"/>
                <w:highlight w:val="yellow"/>
              </w:rPr>
            </w:r>
          </w:p>
          <w:p>
            <w:pPr>
              <w:pStyle w:val="Default"/>
              <w:rPr>
                <w:b/>
                <w:b/>
                <w:sz w:val="20"/>
                <w:szCs w:val="20"/>
                <w:highlight w:val="yellow"/>
              </w:rPr>
            </w:pPr>
            <w:r>
              <w:rPr>
                <w:b/>
                <w:sz w:val="20"/>
                <w:szCs w:val="20"/>
                <w:highlight w:val="yellow"/>
              </w:rPr>
            </w:r>
          </w:p>
          <w:p>
            <w:pPr>
              <w:pStyle w:val="Default"/>
              <w:rPr>
                <w:b/>
                <w:b/>
                <w:sz w:val="20"/>
                <w:szCs w:val="20"/>
              </w:rPr>
            </w:pPr>
            <w:r>
              <w:rPr>
                <w:b/>
                <w:sz w:val="20"/>
                <w:szCs w:val="20"/>
              </w:rPr>
              <w:t>Knowledge and Skills</w:t>
            </w:r>
          </w:p>
          <w:p>
            <w:pPr>
              <w:pStyle w:val="Default"/>
              <w:rPr>
                <w:b/>
                <w:b/>
                <w:sz w:val="20"/>
                <w:szCs w:val="20"/>
              </w:rPr>
            </w:pPr>
            <w:r>
              <w:rPr>
                <w:b/>
                <w:sz w:val="20"/>
                <w:szCs w:val="20"/>
              </w:rPr>
            </w:r>
          </w:p>
          <w:p>
            <w:pPr>
              <w:pStyle w:val="ListParagraph"/>
              <w:numPr>
                <w:ilvl w:val="0"/>
                <w:numId w:val="6"/>
              </w:numPr>
              <w:pBdr/>
              <w:ind w:left="357" w:right="0" w:hanging="357"/>
              <w:rPr/>
            </w:pPr>
            <w:r>
              <w:rPr>
                <w:rFonts w:cs="Times New Roman"/>
                <w:sz w:val="20"/>
                <w:szCs w:val="20"/>
                <w:lang w:val="en-GB"/>
              </w:rPr>
              <w:t>Ex</w:t>
            </w:r>
            <w:r>
              <w:rPr>
                <w:sz w:val="20"/>
                <w:szCs w:val="20"/>
                <w:lang w:val="en-GB"/>
              </w:rPr>
              <w:t>cellent customer service, communication and interpersonal skills, both written and verbally</w:t>
            </w:r>
          </w:p>
          <w:p>
            <w:pPr>
              <w:pStyle w:val="ListParagraph"/>
              <w:numPr>
                <w:ilvl w:val="0"/>
                <w:numId w:val="6"/>
              </w:numPr>
              <w:pBdr/>
              <w:ind w:left="357" w:right="0" w:hanging="357"/>
              <w:rPr>
                <w:sz w:val="20"/>
                <w:szCs w:val="20"/>
                <w:lang w:val="en-GB" w:eastAsia="en-GB"/>
              </w:rPr>
            </w:pPr>
            <w:r>
              <w:rPr>
                <w:sz w:val="20"/>
                <w:szCs w:val="20"/>
                <w:lang w:val="en-GB" w:eastAsia="en-GB"/>
              </w:rPr>
              <w:t xml:space="preserve">Excellent engagement and influencing skills, with the ability to convince others to adopt alternative courses of action or ways of thinking when required. </w:t>
            </w:r>
          </w:p>
          <w:p>
            <w:pPr>
              <w:pStyle w:val="ListParagraph"/>
              <w:numPr>
                <w:ilvl w:val="0"/>
                <w:numId w:val="6"/>
              </w:numPr>
              <w:pBdr/>
              <w:ind w:left="357" w:right="0" w:hanging="357"/>
              <w:rPr>
                <w:sz w:val="20"/>
                <w:szCs w:val="20"/>
                <w:lang w:val="en-GB"/>
              </w:rPr>
            </w:pPr>
            <w:r>
              <w:rPr>
                <w:sz w:val="20"/>
                <w:szCs w:val="20"/>
                <w:lang w:val="en-GB"/>
              </w:rPr>
              <w:t>Ability to interpret complex information and formulate responses</w:t>
            </w:r>
          </w:p>
          <w:p>
            <w:pPr>
              <w:pStyle w:val="ListParagraph"/>
              <w:numPr>
                <w:ilvl w:val="0"/>
                <w:numId w:val="6"/>
              </w:numPr>
              <w:pBdr/>
              <w:ind w:left="357" w:right="0" w:hanging="357"/>
              <w:rPr>
                <w:sz w:val="20"/>
                <w:szCs w:val="20"/>
                <w:lang w:val="en-GB" w:eastAsia="en-GB"/>
              </w:rPr>
            </w:pPr>
            <w:r>
              <w:rPr>
                <w:sz w:val="20"/>
                <w:szCs w:val="20"/>
                <w:lang w:val="en-GB" w:eastAsia="en-GB"/>
              </w:rPr>
              <w:t>Ability to prioritise tasks and manage conflicting demands</w:t>
            </w:r>
          </w:p>
          <w:p>
            <w:pPr>
              <w:pStyle w:val="ListParagraph"/>
              <w:numPr>
                <w:ilvl w:val="0"/>
                <w:numId w:val="6"/>
              </w:numPr>
              <w:pBdr/>
              <w:ind w:left="357" w:right="0" w:hanging="357"/>
              <w:rPr>
                <w:sz w:val="20"/>
                <w:szCs w:val="20"/>
                <w:lang w:val="en-GB"/>
              </w:rPr>
            </w:pPr>
            <w:r>
              <w:rPr>
                <w:sz w:val="20"/>
                <w:szCs w:val="20"/>
                <w:lang w:val="en-GB"/>
              </w:rPr>
              <w:t xml:space="preserve">Excellent level of working knowledge of employment law, regulations and legislation </w:t>
            </w:r>
          </w:p>
          <w:p>
            <w:pPr>
              <w:pStyle w:val="ListParagraph"/>
              <w:numPr>
                <w:ilvl w:val="0"/>
                <w:numId w:val="6"/>
              </w:numPr>
              <w:pBdr/>
              <w:ind w:left="357" w:right="0" w:hanging="357"/>
              <w:rPr>
                <w:sz w:val="20"/>
                <w:szCs w:val="20"/>
                <w:lang w:val="en-GB"/>
              </w:rPr>
            </w:pPr>
            <w:r>
              <w:rPr>
                <w:sz w:val="20"/>
                <w:szCs w:val="20"/>
                <w:lang w:val="en-GB"/>
              </w:rPr>
              <w:t xml:space="preserve">Strong digital skills and proficiency in Microsoft packages i.e. Word, Excel and Powerpoint </w:t>
            </w:r>
          </w:p>
          <w:p>
            <w:pPr>
              <w:pStyle w:val="ListParagraph"/>
              <w:numPr>
                <w:ilvl w:val="0"/>
                <w:numId w:val="6"/>
              </w:numPr>
              <w:pBdr/>
              <w:ind w:left="357" w:right="0" w:hanging="357"/>
              <w:rPr>
                <w:sz w:val="20"/>
                <w:szCs w:val="20"/>
                <w:lang w:val="en-GB"/>
              </w:rPr>
            </w:pPr>
            <w:r>
              <w:rPr>
                <w:sz w:val="20"/>
                <w:szCs w:val="20"/>
                <w:lang w:val="en-GB"/>
              </w:rPr>
              <w:t xml:space="preserve">Excellent organisational and planning skills </w:t>
            </w:r>
          </w:p>
          <w:p>
            <w:pPr>
              <w:pStyle w:val="ListParagraph"/>
              <w:numPr>
                <w:ilvl w:val="0"/>
                <w:numId w:val="6"/>
              </w:numPr>
              <w:pBdr/>
              <w:ind w:left="357" w:right="0" w:hanging="357"/>
              <w:rPr>
                <w:sz w:val="20"/>
                <w:szCs w:val="20"/>
                <w:lang w:val="en-GB"/>
              </w:rPr>
            </w:pPr>
            <w:r>
              <w:rPr>
                <w:sz w:val="20"/>
                <w:szCs w:val="20"/>
                <w:lang w:val="en-GB"/>
              </w:rPr>
              <w:t>Report writing and presentation skills, ability to present formal information to a range of stakeholders</w:t>
            </w:r>
          </w:p>
          <w:p>
            <w:pPr>
              <w:pStyle w:val="ListParagraph"/>
              <w:numPr>
                <w:ilvl w:val="0"/>
                <w:numId w:val="6"/>
              </w:numPr>
              <w:pBdr/>
              <w:ind w:left="357" w:right="0" w:hanging="357"/>
              <w:rPr>
                <w:sz w:val="20"/>
                <w:szCs w:val="20"/>
                <w:lang w:val="en-GB"/>
              </w:rPr>
            </w:pPr>
            <w:r>
              <w:rPr>
                <w:sz w:val="20"/>
                <w:szCs w:val="20"/>
                <w:lang w:val="en-GB"/>
              </w:rPr>
              <w:t xml:space="preserve">Data analytics, evaluation and presentation. </w:t>
            </w:r>
          </w:p>
          <w:p>
            <w:pPr>
              <w:pStyle w:val="ListParagraph"/>
              <w:numPr>
                <w:ilvl w:val="0"/>
                <w:numId w:val="6"/>
              </w:numPr>
              <w:pBdr/>
              <w:ind w:left="357" w:right="0" w:hanging="357"/>
              <w:rPr>
                <w:sz w:val="20"/>
                <w:szCs w:val="20"/>
                <w:lang w:val="en-GB"/>
              </w:rPr>
            </w:pPr>
            <w:r>
              <w:rPr>
                <w:sz w:val="20"/>
                <w:szCs w:val="20"/>
                <w:lang w:val="en-GB"/>
              </w:rPr>
              <w:t>A sound knowledge of change management practices, including the psychology of change and the impact on people</w:t>
            </w:r>
          </w:p>
          <w:p>
            <w:pPr>
              <w:pStyle w:val="ListParagraph"/>
              <w:numPr>
                <w:ilvl w:val="0"/>
                <w:numId w:val="6"/>
              </w:numPr>
              <w:pBdr/>
              <w:ind w:left="357" w:right="0" w:hanging="357"/>
              <w:rPr>
                <w:sz w:val="20"/>
                <w:szCs w:val="20"/>
                <w:lang w:val="en-GB"/>
              </w:rPr>
            </w:pPr>
            <w:r>
              <w:rPr>
                <w:sz w:val="20"/>
                <w:szCs w:val="20"/>
                <w:lang w:val="en-GB"/>
              </w:rPr>
              <w:t xml:space="preserve">Ability to build credibility and establish positive relationships at all levels </w:t>
            </w:r>
          </w:p>
          <w:p>
            <w:pPr>
              <w:pStyle w:val="ListParagraph"/>
              <w:numPr>
                <w:ilvl w:val="0"/>
                <w:numId w:val="6"/>
              </w:numPr>
              <w:pBdr/>
              <w:ind w:left="357" w:right="0" w:hanging="357"/>
              <w:rPr>
                <w:sz w:val="20"/>
                <w:szCs w:val="20"/>
                <w:lang w:val="en-GB"/>
              </w:rPr>
            </w:pPr>
            <w:r>
              <w:rPr>
                <w:sz w:val="20"/>
                <w:szCs w:val="20"/>
                <w:lang w:val="en-GB"/>
              </w:rPr>
              <w:t xml:space="preserve">Ability to manage conflicting priorities with a varied and unpredictable workload </w:t>
            </w:r>
          </w:p>
          <w:p>
            <w:pPr>
              <w:pStyle w:val="ListParagraph"/>
              <w:numPr>
                <w:ilvl w:val="0"/>
                <w:numId w:val="6"/>
              </w:numPr>
              <w:pBdr/>
              <w:ind w:left="357" w:right="0" w:hanging="357"/>
              <w:rPr>
                <w:sz w:val="20"/>
                <w:szCs w:val="20"/>
                <w:lang w:val="en-GB"/>
              </w:rPr>
            </w:pPr>
            <w:r>
              <w:rPr>
                <w:sz w:val="20"/>
                <w:szCs w:val="20"/>
                <w:lang w:val="en-GB"/>
              </w:rPr>
              <w:t>An understanding of Local Government pay and grading systems and job evaluation techniques</w:t>
            </w:r>
          </w:p>
          <w:p>
            <w:pPr>
              <w:pStyle w:val="ListParagraph"/>
              <w:numPr>
                <w:ilvl w:val="0"/>
                <w:numId w:val="6"/>
              </w:numPr>
              <w:pBdr/>
              <w:ind w:left="357" w:right="0" w:hanging="357"/>
              <w:rPr>
                <w:sz w:val="20"/>
                <w:szCs w:val="20"/>
                <w:lang w:val="en-GB"/>
              </w:rPr>
            </w:pPr>
            <w:r>
              <w:rPr>
                <w:sz w:val="20"/>
                <w:szCs w:val="20"/>
                <w:lang w:val="en-GB"/>
              </w:rPr>
              <w:t xml:space="preserve">Knowledge of project management methodology and techniques. </w:t>
            </w:r>
          </w:p>
          <w:p>
            <w:pPr>
              <w:pStyle w:val="ListParagraph"/>
              <w:numPr>
                <w:ilvl w:val="0"/>
                <w:numId w:val="6"/>
              </w:numPr>
              <w:pBdr/>
              <w:ind w:left="357" w:right="0" w:hanging="357"/>
              <w:rPr>
                <w:sz w:val="20"/>
                <w:szCs w:val="20"/>
                <w:lang w:val="en-GB"/>
              </w:rPr>
            </w:pPr>
            <w:r>
              <w:rPr>
                <w:sz w:val="20"/>
                <w:szCs w:val="20"/>
                <w:lang w:val="en-GB"/>
              </w:rPr>
              <w:t xml:space="preserve">Personal resilience, ability to deal with multiple tasks as well as complex / highly sensitive issues. </w:t>
            </w:r>
          </w:p>
          <w:p>
            <w:pPr>
              <w:pStyle w:val="ListParagraph"/>
              <w:pBdr/>
              <w:ind w:left="357" w:right="0" w:hanging="0"/>
              <w:rPr>
                <w:b/>
                <w:b/>
                <w:sz w:val="20"/>
                <w:szCs w:val="20"/>
                <w:lang w:val="en-GB"/>
              </w:rPr>
            </w:pPr>
            <w:r>
              <w:rPr>
                <w:b/>
                <w:sz w:val="20"/>
                <w:szCs w:val="20"/>
                <w:lang w:val="en-GB"/>
              </w:rPr>
            </w:r>
          </w:p>
          <w:p>
            <w:pPr>
              <w:pStyle w:val="Default"/>
              <w:rPr>
                <w:b/>
                <w:b/>
                <w:sz w:val="20"/>
                <w:szCs w:val="20"/>
              </w:rPr>
            </w:pPr>
            <w:r>
              <w:rPr>
                <w:b/>
                <w:sz w:val="20"/>
                <w:szCs w:val="20"/>
              </w:rPr>
              <w:t>Behaviours</w:t>
            </w:r>
          </w:p>
          <w:p>
            <w:pPr>
              <w:pStyle w:val="Default"/>
              <w:rPr>
                <w:b/>
                <w:b/>
                <w:sz w:val="20"/>
                <w:szCs w:val="20"/>
              </w:rPr>
            </w:pPr>
            <w:r>
              <w:rPr>
                <w:b/>
                <w:sz w:val="20"/>
                <w:szCs w:val="20"/>
              </w:rPr>
            </w:r>
          </w:p>
          <w:p>
            <w:pPr>
              <w:pStyle w:val="Default"/>
              <w:numPr>
                <w:ilvl w:val="0"/>
                <w:numId w:val="5"/>
              </w:numPr>
              <w:rPr>
                <w:sz w:val="20"/>
                <w:szCs w:val="20"/>
              </w:rPr>
            </w:pPr>
            <w:r>
              <w:rPr>
                <w:sz w:val="20"/>
                <w:szCs w:val="20"/>
              </w:rPr>
              <w:t xml:space="preserve">Inclusive in approach, thinks about the impact of actions on others and actively seeks removes barriers for people to be their best. </w:t>
            </w:r>
          </w:p>
          <w:p>
            <w:pPr>
              <w:pStyle w:val="Default"/>
              <w:numPr>
                <w:ilvl w:val="0"/>
                <w:numId w:val="5"/>
              </w:numPr>
              <w:rPr>
                <w:sz w:val="20"/>
                <w:szCs w:val="20"/>
              </w:rPr>
            </w:pPr>
            <w:r>
              <w:rPr>
                <w:sz w:val="20"/>
                <w:szCs w:val="20"/>
              </w:rPr>
              <w:t xml:space="preserve">Deep belief in the value of the People Services function, and their own ability to make a valuable difference to the organisation </w:t>
            </w:r>
          </w:p>
          <w:p>
            <w:pPr>
              <w:pStyle w:val="Default"/>
              <w:numPr>
                <w:ilvl w:val="0"/>
                <w:numId w:val="5"/>
              </w:numPr>
              <w:rPr>
                <w:sz w:val="20"/>
                <w:szCs w:val="20"/>
              </w:rPr>
            </w:pPr>
            <w:r>
              <w:rPr>
                <w:sz w:val="20"/>
                <w:szCs w:val="20"/>
              </w:rPr>
              <w:t xml:space="preserve">Clear focus on delivering positive outcomes through connecting the activity all of the People Directorate’s portfolio areas </w:t>
            </w:r>
          </w:p>
          <w:p>
            <w:pPr>
              <w:pStyle w:val="Default"/>
              <w:numPr>
                <w:ilvl w:val="0"/>
                <w:numId w:val="5"/>
              </w:numPr>
              <w:rPr>
                <w:rFonts w:eastAsia="Calibri"/>
                <w:sz w:val="20"/>
                <w:szCs w:val="20"/>
              </w:rPr>
            </w:pPr>
            <w:r>
              <w:rPr>
                <w:rFonts w:eastAsia="Calibri"/>
                <w:sz w:val="20"/>
                <w:szCs w:val="20"/>
              </w:rPr>
              <w:t xml:space="preserve">Excellent relationship management skills including the ability to develop effective relationships with key stakeholders and colleagues including the ability to influence, negotiate and coach at senior levels </w:t>
            </w:r>
          </w:p>
          <w:p>
            <w:pPr>
              <w:pStyle w:val="ListParagraph"/>
              <w:numPr>
                <w:ilvl w:val="0"/>
                <w:numId w:val="5"/>
              </w:numPr>
              <w:pBdr/>
              <w:rPr>
                <w:sz w:val="20"/>
                <w:szCs w:val="20"/>
                <w:lang w:val="en-GB" w:eastAsia="en-GB"/>
              </w:rPr>
            </w:pPr>
            <w:r>
              <w:rPr>
                <w:sz w:val="20"/>
                <w:szCs w:val="20"/>
                <w:lang w:val="en-GB" w:eastAsia="en-GB"/>
              </w:rPr>
              <w:t>Flexible and adaptable approach</w:t>
            </w:r>
          </w:p>
          <w:p>
            <w:pPr>
              <w:pStyle w:val="ListParagraph"/>
              <w:numPr>
                <w:ilvl w:val="0"/>
                <w:numId w:val="5"/>
              </w:numPr>
              <w:pBdr/>
              <w:rPr>
                <w:sz w:val="20"/>
                <w:szCs w:val="20"/>
                <w:lang w:val="en-GB" w:eastAsia="en-GB"/>
              </w:rPr>
            </w:pPr>
            <w:r>
              <w:rPr>
                <w:sz w:val="20"/>
                <w:szCs w:val="20"/>
                <w:lang w:val="en-GB" w:eastAsia="en-GB"/>
              </w:rPr>
              <w:t>Ability to work with complex confidential information, and maintain confidentiality of the service at all times</w:t>
            </w:r>
          </w:p>
          <w:p>
            <w:pPr>
              <w:pStyle w:val="ListParagraph"/>
              <w:numPr>
                <w:ilvl w:val="0"/>
                <w:numId w:val="5"/>
              </w:numPr>
              <w:pBdr/>
              <w:rPr>
                <w:sz w:val="20"/>
                <w:szCs w:val="20"/>
                <w:lang w:val="en-GB" w:eastAsia="en-GB"/>
              </w:rPr>
            </w:pPr>
            <w:r>
              <w:rPr>
                <w:sz w:val="20"/>
                <w:szCs w:val="20"/>
                <w:lang w:val="en-GB" w:eastAsia="en-GB"/>
              </w:rPr>
              <w:t>Resilience and the ability to navigate through difficult situations</w:t>
            </w:r>
          </w:p>
          <w:p>
            <w:pPr>
              <w:pStyle w:val="ListParagraph"/>
              <w:numPr>
                <w:ilvl w:val="0"/>
                <w:numId w:val="5"/>
              </w:numPr>
              <w:pBdr/>
              <w:rPr/>
            </w:pPr>
            <w:r>
              <w:rPr>
                <w:sz w:val="20"/>
                <w:szCs w:val="20"/>
                <w:lang w:val="en-GB"/>
              </w:rPr>
              <w:t xml:space="preserve">Acting as a role model for their portfolio and the directorate </w:t>
            </w:r>
            <w:r>
              <w:rPr>
                <w:sz w:val="20"/>
                <w:szCs w:val="20"/>
                <w:lang w:val="en-GB" w:eastAsia="en-GB"/>
              </w:rPr>
              <w:t xml:space="preserve"> </w:t>
            </w:r>
          </w:p>
          <w:p>
            <w:pPr>
              <w:pStyle w:val="ListParagraph"/>
              <w:numPr>
                <w:ilvl w:val="0"/>
                <w:numId w:val="5"/>
              </w:numPr>
              <w:pBdr/>
              <w:rPr>
                <w:sz w:val="20"/>
                <w:szCs w:val="20"/>
                <w:lang w:val="en-GB" w:eastAsia="en-GB"/>
              </w:rPr>
            </w:pPr>
            <w:r>
              <w:rPr>
                <w:sz w:val="20"/>
                <w:szCs w:val="20"/>
                <w:lang w:val="en-GB" w:eastAsia="en-GB"/>
              </w:rPr>
              <w:t>Ability to build deep, strong and trusting relationships with clients, customers and colleagues</w:t>
            </w:r>
          </w:p>
          <w:p>
            <w:pPr>
              <w:pStyle w:val="Normal"/>
              <w:numPr>
                <w:ilvl w:val="0"/>
                <w:numId w:val="5"/>
              </w:numPr>
              <w:pBdr/>
              <w:shd w:fill="FFFFFF" w:val="clear"/>
              <w:spacing w:before="0" w:after="280"/>
              <w:rPr>
                <w:rFonts w:ascii="Arial" w:hAnsi="Arial" w:eastAsia="Times New Roman" w:cs="Arial"/>
                <w:color w:val="000000"/>
                <w:sz w:val="20"/>
                <w:szCs w:val="20"/>
                <w:lang w:val="en-GB" w:eastAsia="en-GB"/>
              </w:rPr>
            </w:pPr>
            <w:r>
              <w:rPr>
                <w:rFonts w:eastAsia="Times New Roman" w:cs="Arial" w:ascii="Arial" w:hAnsi="Arial"/>
                <w:color w:val="000000"/>
                <w:sz w:val="20"/>
                <w:szCs w:val="20"/>
                <w:lang w:val="en-GB" w:eastAsia="en-GB"/>
              </w:rPr>
              <w:t>Demonstrates a high standard of integrity and ethics in all workplace interactions, has the ability to maintain professional standards and honours personal commitments</w:t>
            </w:r>
          </w:p>
          <w:p>
            <w:pPr>
              <w:pStyle w:val="ListParagraph"/>
              <w:pBdr/>
              <w:ind w:left="360" w:right="0" w:hanging="0"/>
              <w:rPr>
                <w:sz w:val="20"/>
                <w:szCs w:val="20"/>
                <w:lang w:val="en-GB" w:eastAsia="en-GB"/>
              </w:rPr>
            </w:pPr>
            <w:r>
              <w:rPr>
                <w:sz w:val="20"/>
                <w:szCs w:val="20"/>
                <w:lang w:val="en-GB" w:eastAsia="en-GB"/>
              </w:rPr>
            </w:r>
          </w:p>
        </w:tc>
      </w:tr>
    </w:tbl>
    <w:p>
      <w:pPr>
        <w:pStyle w:val="TextBody"/>
        <w:widowControl w:val="false"/>
        <w:tabs>
          <w:tab w:val="clear" w:pos="720"/>
          <w:tab w:val="left" w:pos="-720" w:leader="none"/>
        </w:tabs>
        <w:suppressAutoHyphens w:val="true"/>
        <w:rPr>
          <w:rFonts w:ascii="Arial" w:hAnsi="Arial" w:cs="Arial"/>
          <w:b/>
          <w:b/>
          <w:color w:val="595959"/>
          <w:sz w:val="20"/>
          <w:szCs w:val="20"/>
          <w:lang w:val="en-GB"/>
        </w:rPr>
      </w:pPr>
      <w:r>
        <w:rPr>
          <w:rFonts w:cs="Arial" w:ascii="Arial" w:hAnsi="Arial"/>
          <w:b/>
          <w:color w:val="595959"/>
          <w:sz w:val="20"/>
          <w:szCs w:val="20"/>
          <w:lang w:val="en-GB"/>
        </w:rPr>
      </w:r>
    </w:p>
    <w:p>
      <w:pPr>
        <w:pStyle w:val="Normal"/>
        <w:pBdr/>
        <w:shd w:fill="FFFFFF" w:val="clear"/>
        <w:jc w:val="both"/>
        <w:rPr>
          <w:rFonts w:ascii="Arial" w:hAnsi="Arial" w:cs="Arial"/>
          <w:b/>
          <w:b/>
          <w:color w:val="595959"/>
          <w:sz w:val="22"/>
          <w:szCs w:val="22"/>
          <w:lang w:val="en-GB"/>
        </w:rPr>
      </w:pPr>
      <w:r>
        <w:rPr>
          <w:rFonts w:cs="Arial" w:ascii="Arial" w:hAnsi="Arial"/>
          <w:b/>
          <w:color w:val="595959"/>
          <w:sz w:val="22"/>
          <w:szCs w:val="22"/>
          <w:lang w:val="en-GB"/>
        </w:rPr>
        <w:t>Corporate Duties</w:t>
      </w:r>
    </w:p>
    <w:p>
      <w:pPr>
        <w:pStyle w:val="Normal"/>
        <w:widowControl w:val="false"/>
        <w:pBdr/>
        <w:tabs>
          <w:tab w:val="clear" w:pos="720"/>
          <w:tab w:val="left" w:pos="-720" w:leader="none"/>
        </w:tabs>
        <w:suppressAutoHyphens w:val="true"/>
        <w:snapToGrid w:val="false"/>
        <w:rPr>
          <w:rFonts w:ascii="Arial" w:hAnsi="Arial" w:eastAsia="Times New Roman" w:cs="Arial"/>
          <w:color w:val="595959"/>
          <w:sz w:val="22"/>
          <w:szCs w:val="22"/>
          <w:lang w:val="en-GB"/>
        </w:rPr>
      </w:pPr>
      <w:r>
        <w:rPr>
          <w:rFonts w:eastAsia="Times New Roman" w:cs="Arial" w:ascii="Arial" w:hAnsi="Arial"/>
          <w:color w:val="595959"/>
          <w:sz w:val="22"/>
          <w:szCs w:val="22"/>
          <w:lang w:val="en-GB"/>
        </w:rPr>
      </w:r>
    </w:p>
    <w:p>
      <w:pPr>
        <w:pStyle w:val="Normal"/>
        <w:widowControl w:val="false"/>
        <w:pBdr/>
        <w:tabs>
          <w:tab w:val="clear" w:pos="720"/>
          <w:tab w:val="left" w:pos="-720" w:leader="none"/>
        </w:tabs>
        <w:suppressAutoHyphens w:val="true"/>
        <w:snapToGrid w:val="false"/>
        <w:rPr>
          <w:rFonts w:ascii="Arial" w:hAnsi="Arial" w:eastAsia="Times New Roman" w:cs="Arial"/>
          <w:color w:val="595959"/>
          <w:sz w:val="22"/>
          <w:szCs w:val="22"/>
          <w:lang w:val="en-GB"/>
        </w:rPr>
      </w:pPr>
      <w:r>
        <w:rPr>
          <w:rFonts w:eastAsia="Times New Roman" w:cs="Arial" w:ascii="Arial" w:hAnsi="Arial"/>
          <w:color w:val="595959"/>
          <w:sz w:val="22"/>
          <w:szCs w:val="22"/>
          <w:lang w:val="en-GB"/>
        </w:rPr>
        <w:t>Avoid any behaviour which discriminates against your fellow employees, or potential employees on the grounds of their sex, sexual orientation, marital status, race, religion, creed, colour, nationality, ethnic origin or disability.</w:t>
      </w:r>
    </w:p>
    <w:p>
      <w:pPr>
        <w:pStyle w:val="Normal"/>
        <w:widowControl w:val="false"/>
        <w:pBdr/>
        <w:tabs>
          <w:tab w:val="clear" w:pos="720"/>
          <w:tab w:val="left" w:pos="-720" w:leader="none"/>
        </w:tabs>
        <w:suppressAutoHyphens w:val="true"/>
        <w:snapToGrid w:val="false"/>
        <w:rPr>
          <w:rFonts w:ascii="Arial" w:hAnsi="Arial" w:eastAsia="Times New Roman" w:cs="Arial"/>
          <w:color w:val="595959"/>
          <w:sz w:val="22"/>
          <w:szCs w:val="22"/>
          <w:lang w:val="en-GB"/>
        </w:rPr>
      </w:pPr>
      <w:r>
        <w:rPr>
          <w:rFonts w:eastAsia="Times New Roman" w:cs="Arial" w:ascii="Arial" w:hAnsi="Arial"/>
          <w:color w:val="595959"/>
          <w:sz w:val="22"/>
          <w:szCs w:val="22"/>
          <w:lang w:val="en-GB"/>
        </w:rPr>
      </w:r>
    </w:p>
    <w:p>
      <w:pPr>
        <w:pStyle w:val="Normal"/>
        <w:widowControl w:val="false"/>
        <w:pBdr/>
        <w:tabs>
          <w:tab w:val="clear" w:pos="720"/>
          <w:tab w:val="left" w:pos="-720" w:leader="none"/>
        </w:tabs>
        <w:suppressAutoHyphens w:val="true"/>
        <w:jc w:val="both"/>
        <w:rPr>
          <w:rFonts w:ascii="Arial" w:hAnsi="Arial" w:cs="Arial"/>
          <w:color w:val="595959"/>
          <w:sz w:val="22"/>
          <w:szCs w:val="22"/>
          <w:lang w:val="en-GB"/>
        </w:rPr>
      </w:pPr>
      <w:r>
        <w:rPr>
          <w:rFonts w:cs="Arial" w:ascii="Arial" w:hAnsi="Arial"/>
          <w:color w:val="595959"/>
          <w:sz w:val="22"/>
          <w:szCs w:val="22"/>
          <w:lang w:val="en-GB"/>
        </w:rPr>
        <w:t>Safeguard at all times confidentiality of information relating to staff and pensioners.</w:t>
      </w:r>
    </w:p>
    <w:p>
      <w:pPr>
        <w:pStyle w:val="Normal"/>
        <w:widowControl w:val="false"/>
        <w:pBdr/>
        <w:tabs>
          <w:tab w:val="clear" w:pos="720"/>
          <w:tab w:val="left" w:pos="-720" w:leader="none"/>
        </w:tabs>
        <w:suppressAutoHyphens w:val="true"/>
        <w:jc w:val="both"/>
        <w:rPr>
          <w:rFonts w:ascii="Arial" w:hAnsi="Arial" w:cs="Arial"/>
          <w:color w:val="595959"/>
          <w:sz w:val="22"/>
          <w:szCs w:val="22"/>
          <w:lang w:val="en-GB"/>
        </w:rPr>
      </w:pPr>
      <w:r>
        <w:rPr>
          <w:rFonts w:cs="Arial" w:ascii="Arial" w:hAnsi="Arial"/>
          <w:color w:val="595959"/>
          <w:sz w:val="22"/>
          <w:szCs w:val="22"/>
          <w:lang w:val="en-GB"/>
        </w:rPr>
        <w:t>Refrain from smoking in any areas of Service premises.</w:t>
      </w:r>
    </w:p>
    <w:p>
      <w:pPr>
        <w:pStyle w:val="Normal"/>
        <w:widowControl w:val="false"/>
        <w:pBdr/>
        <w:tabs>
          <w:tab w:val="clear" w:pos="720"/>
          <w:tab w:val="left" w:pos="-720" w:leader="none"/>
        </w:tabs>
        <w:suppressAutoHyphens w:val="true"/>
        <w:jc w:val="both"/>
        <w:rPr>
          <w:rFonts w:ascii="Arial" w:hAnsi="Arial" w:cs="Arial"/>
          <w:color w:val="595959"/>
          <w:sz w:val="22"/>
          <w:szCs w:val="22"/>
          <w:lang w:val="en-GB"/>
        </w:rPr>
      </w:pPr>
      <w:r>
        <w:rPr>
          <w:rFonts w:cs="Arial" w:ascii="Arial" w:hAnsi="Arial"/>
          <w:color w:val="595959"/>
          <w:sz w:val="22"/>
          <w:szCs w:val="22"/>
          <w:lang w:val="en-GB"/>
        </w:rPr>
        <w:t>Behave in a manner that ensures the security of property and resources.</w:t>
      </w:r>
    </w:p>
    <w:p>
      <w:pPr>
        <w:pStyle w:val="Normal"/>
        <w:widowControl w:val="false"/>
        <w:pBdr/>
        <w:tabs>
          <w:tab w:val="clear" w:pos="720"/>
          <w:tab w:val="left" w:pos="-720" w:leader="none"/>
        </w:tabs>
        <w:suppressAutoHyphens w:val="true"/>
        <w:jc w:val="both"/>
        <w:rPr>
          <w:rFonts w:ascii="Arial" w:hAnsi="Arial" w:cs="Arial"/>
          <w:color w:val="595959"/>
          <w:sz w:val="22"/>
          <w:szCs w:val="22"/>
          <w:lang w:val="en-GB"/>
        </w:rPr>
      </w:pPr>
      <w:r>
        <w:rPr>
          <w:rFonts w:cs="Arial" w:ascii="Arial" w:hAnsi="Arial"/>
          <w:color w:val="595959"/>
          <w:sz w:val="22"/>
          <w:szCs w:val="22"/>
          <w:lang w:val="en-GB"/>
        </w:rPr>
        <w:t>Abide by all relevant Service Policies and Procedures.</w:t>
      </w:r>
    </w:p>
    <w:p>
      <w:pPr>
        <w:pStyle w:val="Normal"/>
        <w:pBdr/>
        <w:jc w:val="both"/>
        <w:rPr>
          <w:rFonts w:ascii="Arial" w:hAnsi="Arial" w:eastAsia="Arial" w:cs="Arial"/>
          <w:color w:val="595959"/>
          <w:sz w:val="22"/>
          <w:szCs w:val="22"/>
          <w:u w:val="none" w:color="000000"/>
          <w:lang w:val="en-GB"/>
        </w:rPr>
      </w:pPr>
      <w:r>
        <w:rPr>
          <w:rFonts w:eastAsia="Arial" w:cs="Arial" w:ascii="Arial" w:hAnsi="Arial"/>
          <w:color w:val="595959"/>
          <w:sz w:val="22"/>
          <w:szCs w:val="22"/>
          <w:u w:val="none" w:color="000000"/>
          <w:lang w:val="en-GB"/>
        </w:rPr>
      </w:r>
    </w:p>
    <w:p>
      <w:pPr>
        <w:pStyle w:val="Normal"/>
        <w:pBdr/>
        <w:tabs>
          <w:tab w:val="clear" w:pos="720"/>
          <w:tab w:val="left" w:pos="1134" w:leader="none"/>
        </w:tabs>
        <w:spacing w:before="0" w:after="0"/>
        <w:contextualSpacing/>
        <w:jc w:val="both"/>
        <w:rPr/>
      </w:pPr>
      <w:r>
        <w:rPr>
          <w:rFonts w:cs="Arial" w:ascii="Arial" w:hAnsi="Arial"/>
          <w:b/>
          <w:color w:val="595959"/>
          <w:sz w:val="22"/>
          <w:szCs w:val="22"/>
          <w:lang w:val="en-GB"/>
        </w:rPr>
        <w:t xml:space="preserve">Records Management/ Data Protection - </w:t>
      </w:r>
      <w:r>
        <w:rPr>
          <w:rFonts w:cs="Arial" w:ascii="Arial" w:hAnsi="Arial"/>
          <w:color w:val="595959"/>
          <w:sz w:val="22"/>
          <w:szCs w:val="22"/>
          <w:lang w:val="en-GB"/>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Normal"/>
        <w:pBdr/>
        <w:tabs>
          <w:tab w:val="clear" w:pos="720"/>
          <w:tab w:val="left" w:pos="1134" w:leader="none"/>
        </w:tabs>
        <w:spacing w:before="0" w:after="0"/>
        <w:contextualSpacing/>
        <w:jc w:val="both"/>
        <w:rPr>
          <w:rFonts w:ascii="Arial" w:hAnsi="Arial" w:cs="Arial"/>
          <w:color w:val="595959"/>
          <w:sz w:val="22"/>
          <w:szCs w:val="22"/>
          <w:lang w:val="en-GB"/>
        </w:rPr>
      </w:pPr>
      <w:r>
        <w:rPr>
          <w:rFonts w:cs="Arial" w:ascii="Arial" w:hAnsi="Arial"/>
          <w:color w:val="595959"/>
          <w:sz w:val="22"/>
          <w:szCs w:val="22"/>
          <w:lang w:val="en-GB"/>
        </w:rPr>
      </w:r>
    </w:p>
    <w:p>
      <w:pPr>
        <w:pStyle w:val="Normal"/>
        <w:pBdr/>
        <w:tabs>
          <w:tab w:val="clear" w:pos="720"/>
          <w:tab w:val="left" w:pos="1134" w:leader="none"/>
        </w:tabs>
        <w:spacing w:before="0" w:after="0"/>
        <w:contextualSpacing/>
        <w:jc w:val="both"/>
        <w:rPr/>
      </w:pPr>
      <w:r>
        <w:rPr>
          <w:rFonts w:cs="Arial" w:ascii="Arial" w:hAnsi="Arial"/>
          <w:b/>
          <w:color w:val="595959"/>
          <w:sz w:val="22"/>
          <w:szCs w:val="22"/>
          <w:lang w:val="en-GB"/>
        </w:rPr>
        <w:t xml:space="preserve">Confidentiality and Information Security - </w:t>
      </w:r>
      <w:r>
        <w:rPr>
          <w:rFonts w:cs="Arial" w:ascii="Arial" w:hAnsi="Arial"/>
          <w:color w:val="595959"/>
          <w:sz w:val="22"/>
          <w:szCs w:val="22"/>
          <w:lang w:val="en-GB"/>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pBdr/>
        <w:spacing w:before="0" w:after="0"/>
        <w:contextualSpacing/>
        <w:jc w:val="both"/>
        <w:rPr>
          <w:rFonts w:ascii="Arial" w:hAnsi="Arial" w:eastAsia="Arial" w:cs="Arial"/>
          <w:color w:val="595959"/>
          <w:sz w:val="22"/>
          <w:szCs w:val="22"/>
          <w:lang w:val="en-GB"/>
        </w:rPr>
      </w:pPr>
      <w:r>
        <w:rPr>
          <w:rFonts w:eastAsia="Arial" w:cs="Arial" w:ascii="Arial" w:hAnsi="Arial"/>
          <w:color w:val="595959"/>
          <w:sz w:val="22"/>
          <w:szCs w:val="22"/>
          <w:lang w:val="en-GB"/>
        </w:rPr>
        <w:t xml:space="preserve"> </w:t>
      </w:r>
    </w:p>
    <w:p>
      <w:pPr>
        <w:pStyle w:val="Normal"/>
        <w:pBdr/>
        <w:spacing w:before="0" w:after="0"/>
        <w:contextualSpacing/>
        <w:jc w:val="both"/>
        <w:rPr/>
      </w:pPr>
      <w:r>
        <w:rPr>
          <w:rFonts w:cs="Arial" w:ascii="Arial" w:hAnsi="Arial"/>
          <w:b/>
          <w:color w:val="595959"/>
          <w:sz w:val="22"/>
          <w:szCs w:val="22"/>
          <w:lang w:val="en-GB"/>
        </w:rPr>
        <w:t xml:space="preserve">Data Quality - </w:t>
      </w:r>
      <w:r>
        <w:rPr>
          <w:rFonts w:cs="Arial" w:ascii="Arial" w:hAnsi="Arial"/>
          <w:color w:val="595959"/>
          <w:sz w:val="22"/>
          <w:szCs w:val="22"/>
          <w:lang w:val="en-GB"/>
        </w:rPr>
        <w:t>All staff are personally responsible</w:t>
      </w:r>
      <w:r>
        <w:rPr>
          <w:rFonts w:cs="Arial" w:ascii="Arial" w:hAnsi="Arial"/>
          <w:b/>
          <w:bCs/>
          <w:color w:val="595959"/>
          <w:sz w:val="22"/>
          <w:szCs w:val="22"/>
          <w:lang w:val="en-GB"/>
        </w:rPr>
        <w:t xml:space="preserve"> </w:t>
      </w:r>
      <w:r>
        <w:rPr>
          <w:rFonts w:cs="Arial" w:ascii="Arial" w:hAnsi="Arial"/>
          <w:color w:val="595959"/>
          <w:sz w:val="22"/>
          <w:szCs w:val="22"/>
          <w:lang w:val="en-GB"/>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pBdr/>
        <w:jc w:val="both"/>
        <w:rPr>
          <w:rFonts w:ascii="Arial" w:hAnsi="Arial" w:cs="Arial"/>
          <w:color w:val="595959"/>
          <w:sz w:val="22"/>
          <w:szCs w:val="22"/>
          <w:lang w:val="en-GB"/>
        </w:rPr>
      </w:pPr>
      <w:r>
        <w:rPr>
          <w:rFonts w:cs="Arial" w:ascii="Arial" w:hAnsi="Arial"/>
          <w:color w:val="595959"/>
          <w:sz w:val="22"/>
          <w:szCs w:val="22"/>
          <w:lang w:val="en-GB"/>
        </w:rPr>
        <w:t>  </w:t>
      </w:r>
    </w:p>
    <w:p>
      <w:pPr>
        <w:pStyle w:val="Normal"/>
        <w:pBdr/>
        <w:jc w:val="both"/>
        <w:rPr>
          <w:rFonts w:ascii="Arial" w:hAnsi="Arial" w:cs="Arial"/>
          <w:color w:val="595959"/>
          <w:sz w:val="22"/>
          <w:szCs w:val="22"/>
          <w:lang w:val="en-GB"/>
        </w:rPr>
      </w:pPr>
      <w:r>
        <w:rPr>
          <w:rFonts w:cs="Arial" w:ascii="Arial" w:hAnsi="Arial"/>
          <w:color w:val="595959"/>
          <w:sz w:val="22"/>
          <w:szCs w:val="22"/>
          <w:lang w:val="en-GB"/>
        </w:rPr>
        <w:t xml:space="preserve">To ensure data is handled in a secure manner protecting the confidentiality of any personal data held in meeting the requirements of the Data Protection Act. </w:t>
      </w:r>
    </w:p>
    <w:p>
      <w:pPr>
        <w:pStyle w:val="Normal"/>
        <w:pBdr/>
        <w:tabs>
          <w:tab w:val="clear" w:pos="720"/>
          <w:tab w:val="left" w:pos="1134" w:leader="none"/>
        </w:tabs>
        <w:spacing w:before="0" w:after="0"/>
        <w:contextualSpacing/>
        <w:jc w:val="both"/>
        <w:rPr>
          <w:rFonts w:ascii="Arial" w:hAnsi="Arial" w:cs="Arial"/>
          <w:color w:val="595959"/>
          <w:sz w:val="22"/>
          <w:szCs w:val="22"/>
          <w:lang w:val="en-GB"/>
        </w:rPr>
      </w:pPr>
      <w:r>
        <w:rPr>
          <w:rFonts w:cs="Arial" w:ascii="Arial" w:hAnsi="Arial"/>
          <w:color w:val="595959"/>
          <w:sz w:val="22"/>
          <w:szCs w:val="22"/>
          <w:lang w:val="en-GB"/>
        </w:rPr>
      </w:r>
    </w:p>
    <w:p>
      <w:pPr>
        <w:pStyle w:val="Normal"/>
        <w:pBdr/>
        <w:tabs>
          <w:tab w:val="clear" w:pos="720"/>
          <w:tab w:val="left" w:pos="1134" w:leader="none"/>
        </w:tabs>
        <w:spacing w:before="0" w:after="0"/>
        <w:contextualSpacing/>
        <w:jc w:val="both"/>
        <w:rPr/>
      </w:pPr>
      <w:r>
        <w:rPr>
          <w:rFonts w:cs="Arial" w:ascii="Arial" w:hAnsi="Arial"/>
          <w:b/>
          <w:color w:val="595959"/>
          <w:sz w:val="22"/>
          <w:szCs w:val="22"/>
          <w:lang w:val="en-GB"/>
        </w:rPr>
        <w:t xml:space="preserve">Health and Safety - </w:t>
      </w:r>
      <w:r>
        <w:rPr>
          <w:rFonts w:cs="Arial" w:ascii="Arial" w:hAnsi="Arial"/>
          <w:color w:val="595959"/>
          <w:sz w:val="22"/>
          <w:szCs w:val="22"/>
          <w:lang w:val="en-GB"/>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pBdr/>
        <w:tabs>
          <w:tab w:val="clear" w:pos="720"/>
          <w:tab w:val="left" w:pos="1134" w:leader="none"/>
        </w:tabs>
        <w:spacing w:before="0" w:after="0"/>
        <w:contextualSpacing/>
        <w:jc w:val="both"/>
        <w:rPr>
          <w:rFonts w:ascii="Arial" w:hAnsi="Arial" w:cs="Arial"/>
          <w:color w:val="595959"/>
          <w:sz w:val="22"/>
          <w:szCs w:val="22"/>
          <w:lang w:val="en-GB"/>
        </w:rPr>
      </w:pPr>
      <w:r>
        <w:rPr>
          <w:rFonts w:cs="Arial" w:ascii="Arial" w:hAnsi="Arial"/>
          <w:color w:val="595959"/>
          <w:sz w:val="22"/>
          <w:szCs w:val="22"/>
          <w:lang w:val="en-GB"/>
        </w:rPr>
      </w:r>
    </w:p>
    <w:p>
      <w:pPr>
        <w:pStyle w:val="Normal"/>
        <w:pBdr/>
        <w:tabs>
          <w:tab w:val="clear" w:pos="720"/>
          <w:tab w:val="left" w:pos="1134" w:leader="none"/>
        </w:tabs>
        <w:spacing w:before="0" w:after="0"/>
        <w:contextualSpacing/>
        <w:jc w:val="both"/>
        <w:rPr/>
      </w:pPr>
      <w:r>
        <w:rPr>
          <w:rFonts w:cs="Arial" w:ascii="Arial" w:hAnsi="Arial"/>
          <w:b/>
          <w:color w:val="595959"/>
          <w:sz w:val="22"/>
          <w:szCs w:val="22"/>
          <w:lang w:val="en-GB"/>
        </w:rPr>
        <w:t xml:space="preserve">Service Policies - </w:t>
      </w:r>
      <w:r>
        <w:rPr>
          <w:rFonts w:cs="Arial" w:ascii="Arial" w:hAnsi="Arial"/>
          <w:color w:val="595959"/>
          <w:sz w:val="22"/>
          <w:szCs w:val="22"/>
          <w:lang w:val="en-GB"/>
        </w:rPr>
        <w:t>All GMCA employees must observe and adhere to the provisions outlined in these policies.</w:t>
      </w:r>
    </w:p>
    <w:p>
      <w:pPr>
        <w:pStyle w:val="Normal"/>
        <w:pBdr/>
        <w:spacing w:before="0" w:after="0"/>
        <w:contextualSpacing/>
        <w:jc w:val="both"/>
        <w:rPr>
          <w:rFonts w:ascii="Arial" w:hAnsi="Arial" w:cs="Arial"/>
          <w:color w:val="595959"/>
          <w:sz w:val="22"/>
          <w:szCs w:val="22"/>
          <w:lang w:val="en-GB"/>
        </w:rPr>
      </w:pPr>
      <w:r>
        <w:rPr>
          <w:rFonts w:cs="Arial" w:ascii="Arial" w:hAnsi="Arial"/>
          <w:color w:val="595959"/>
          <w:sz w:val="22"/>
          <w:szCs w:val="22"/>
          <w:lang w:val="en-GB"/>
        </w:rPr>
      </w:r>
    </w:p>
    <w:p>
      <w:pPr>
        <w:pStyle w:val="Normal"/>
        <w:pBdr/>
        <w:ind w:left="0" w:right="261" w:hanging="0"/>
        <w:rPr/>
      </w:pPr>
      <w:r>
        <w:rPr>
          <w:rFonts w:eastAsia="Arial" w:cs="Arial" w:ascii="Arial" w:hAnsi="Arial"/>
          <w:b/>
          <w:color w:val="595959"/>
          <w:sz w:val="22"/>
          <w:szCs w:val="22"/>
          <w:u w:val="none" w:color="000000"/>
          <w:lang w:val="en-GB"/>
        </w:rPr>
        <w:t xml:space="preserve">Equal Opportunities - </w:t>
      </w:r>
      <w:r>
        <w:rPr>
          <w:rFonts w:eastAsia="Arial" w:cs="Arial" w:ascii="Arial" w:hAnsi="Arial"/>
          <w:color w:val="595959"/>
          <w:sz w:val="22"/>
          <w:szCs w:val="22"/>
          <w:u w:val="none" w:color="000000"/>
          <w:lang w:val="en-GB"/>
        </w:rPr>
        <w:t>GMCA provides a range of services and employment opportunities for a diverse population. As a GMCA employee you are expected to treat all employees / partners / members of the public and work colleagues with dignity and respect irrespective of their background</w:t>
      </w:r>
    </w:p>
    <w:p>
      <w:pPr>
        <w:pStyle w:val="TextBody"/>
        <w:widowControl w:val="false"/>
        <w:tabs>
          <w:tab w:val="clear" w:pos="720"/>
          <w:tab w:val="left" w:pos="-720" w:leader="none"/>
        </w:tabs>
        <w:suppressAutoHyphens w:val="true"/>
        <w:rPr>
          <w:rFonts w:ascii="Arial" w:hAnsi="Arial" w:cs="Arial"/>
          <w:b/>
          <w:b/>
          <w:color w:val="595959"/>
          <w:sz w:val="20"/>
          <w:szCs w:val="20"/>
          <w:lang w:val="en-GB"/>
        </w:rPr>
      </w:pPr>
      <w:r>
        <w:rPr>
          <w:rFonts w:cs="Arial" w:ascii="Arial" w:hAnsi="Arial"/>
          <w:b/>
          <w:color w:val="595959"/>
          <w:sz w:val="20"/>
          <w:szCs w:val="20"/>
          <w:lang w:val="en-GB"/>
        </w:rPr>
      </w:r>
    </w:p>
    <w:p>
      <w:pPr>
        <w:pStyle w:val="TextBody"/>
        <w:widowControl w:val="false"/>
        <w:tabs>
          <w:tab w:val="clear" w:pos="720"/>
          <w:tab w:val="left" w:pos="-720" w:leader="none"/>
        </w:tabs>
        <w:suppressAutoHyphens w:val="true"/>
        <w:rPr>
          <w:rFonts w:ascii="Arial" w:hAnsi="Arial" w:cs="Arial"/>
          <w:b/>
          <w:b/>
          <w:color w:val="595959"/>
          <w:sz w:val="20"/>
          <w:szCs w:val="20"/>
          <w:lang w:val="en-GB"/>
        </w:rPr>
      </w:pPr>
      <w:r>
        <w:rPr>
          <w:rFonts w:cs="Arial" w:ascii="Arial" w:hAnsi="Arial"/>
          <w:b/>
          <w:color w:val="595959"/>
          <w:sz w:val="20"/>
          <w:szCs w:val="20"/>
          <w:lang w:val="en-GB"/>
        </w:rPr>
      </w:r>
    </w:p>
    <w:p>
      <w:pPr>
        <w:pStyle w:val="TextBody"/>
        <w:widowControl w:val="false"/>
        <w:tabs>
          <w:tab w:val="clear" w:pos="720"/>
          <w:tab w:val="left" w:pos="-720" w:leader="none"/>
        </w:tabs>
        <w:suppressAutoHyphens w:val="true"/>
        <w:rPr>
          <w:rFonts w:ascii="Arial" w:hAnsi="Arial" w:cs="Arial"/>
          <w:b/>
          <w:b/>
          <w:color w:val="595959"/>
          <w:sz w:val="20"/>
          <w:szCs w:val="20"/>
          <w:lang w:val="en-GB"/>
        </w:rPr>
      </w:pPr>
      <w:r>
        <w:rPr>
          <w:rFonts w:cs="Arial" w:ascii="Arial" w:hAnsi="Arial"/>
          <w:b/>
          <w:color w:val="595959"/>
          <w:sz w:val="20"/>
          <w:szCs w:val="20"/>
          <w:lang w:val="en-GB"/>
        </w:rPr>
      </w:r>
    </w:p>
    <w:p>
      <w:pPr>
        <w:pStyle w:val="Body"/>
        <w:pBdr/>
        <w:ind w:left="-567" w:right="261" w:hanging="0"/>
        <w:rPr>
          <w:rFonts w:ascii="Arial" w:hAnsi="Arial" w:cs="Arial"/>
          <w:b/>
          <w:b/>
          <w:color w:val="595959"/>
          <w:sz w:val="20"/>
          <w:szCs w:val="20"/>
          <w:lang w:val="en-GB"/>
        </w:rPr>
      </w:pPr>
      <w:r>
        <w:rPr>
          <w:rFonts w:cs="Arial"/>
          <w:b/>
          <w:color w:val="595959"/>
          <w:sz w:val="20"/>
          <w:szCs w:val="20"/>
          <w:lang w:val="en-GB"/>
        </w:rPr>
      </w:r>
    </w:p>
    <w:sectPr>
      <w:headerReference w:type="default" r:id="rId2"/>
      <w:headerReference w:type="first" r:id="rId3"/>
      <w:footerReference w:type="default" r:id="rId4"/>
      <w:footerReference w:type="first" r:id="rId5"/>
      <w:type w:val="nextPage"/>
      <w:pgSz w:w="11906" w:h="16838"/>
      <w:pgMar w:left="1440" w:right="1440" w:header="227" w:top="567"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5</w:t>
    </w:r>
    <w:r>
      <w:rPr/>
      <w:fldChar w:fldCharType="end"/>
    </w:r>
  </w:p>
  <w:p>
    <w:pPr>
      <w:pStyle w:val="Footer"/>
      <w:pBd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727700" cy="49276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54" r="-5" b="-54"/>
                  <a:stretch>
                    <a:fillRect/>
                  </a:stretch>
                </pic:blipFill>
                <pic:spPr bwMode="auto">
                  <a:xfrm>
                    <a:off x="0" y="0"/>
                    <a:ext cx="5727700" cy="4927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458" w:hanging="360"/>
      </w:pPr>
      <w:rPr>
        <w:sz w:val="20"/>
        <w:b w:val="false"/>
        <w:bCs w:val="false"/>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458" w:hanging="360"/>
      </w:pPr>
      <w:rPr>
        <w:sz w:val="20"/>
        <w:szCs w:val="20"/>
        <w:lang w:val="en-GB"/>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sz w:val="20"/>
        <w:szCs w:val="20"/>
        <w:rFonts w:cs="Symbol"/>
        <w:lang w:val="en-GB" w:eastAsia="en-GB"/>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z w:val="20"/>
        <w:szCs w:val="20"/>
        <w:rFonts w:cs="Symbol"/>
        <w:lang w:val="en-GB" w:eastAsia="en-GB"/>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z w:val="20"/>
        <w:szCs w:val="20"/>
        <w:rFonts w:cs="Symbol"/>
        <w:lang w:val="en-GB" w:eastAsia="en-GB"/>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sz w:val="20"/>
        <w:szCs w:val="20"/>
        <w:rFonts w:cs="Symbol"/>
        <w:lang w:val="en-GB"/>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z w:val="20"/>
        <w:szCs w:val="20"/>
        <w:rFonts w:cs="Symbol"/>
        <w:lang w:val="en-GB"/>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z w:val="20"/>
        <w:szCs w:val="20"/>
        <w:rFonts w:cs="Symbol"/>
        <w:lang w:val="en-GB"/>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decimal"/>
      <w:lvlText w:val="%1."/>
      <w:lvlJc w:val="left"/>
      <w:pPr>
        <w:ind w:left="720" w:hanging="360"/>
      </w:pPr>
      <w:rPr>
        <w:sz w:val="20"/>
        <w:szCs w:val="20"/>
        <w:color w:val="auto"/>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5"/>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Times New Roman" w:cs="Cambria"/>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Times New Roman" w:cs="Cambria"/>
      <w:b/>
      <w:bCs/>
      <w:color w:val="4F81BD"/>
      <w:sz w:val="26"/>
      <w:szCs w:val="26"/>
    </w:rPr>
  </w:style>
  <w:style w:type="paragraph" w:styleId="Heading3">
    <w:name w:val="Heading 3"/>
    <w:basedOn w:val="Normal"/>
    <w:next w:val="Body"/>
    <w:qFormat/>
    <w:pPr>
      <w:keepNext w:val="true"/>
      <w:numPr>
        <w:ilvl w:val="2"/>
        <w:numId w:val="1"/>
      </w:numPr>
      <w:outlineLvl w:val="2"/>
    </w:pPr>
    <w:rPr>
      <w:rFonts w:ascii="Arial" w:hAnsi="Arial" w:eastAsia="Calibri" w:cs="Arial"/>
      <w:b/>
      <w:bCs/>
      <w:color w:val="FFFFFF"/>
      <w:u w:val="none" w:color="FFFFFF"/>
    </w:rPr>
  </w:style>
  <w:style w:type="character" w:styleId="WW8Num1z0">
    <w:name w:val="WW8Num1z0"/>
    <w:qFormat/>
    <w:rPr>
      <w:b w:val="false"/>
      <w:bCs w:val="false"/>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z w:val="20"/>
      <w:szCs w:val="20"/>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szCs w:val="20"/>
      <w:lang w:val="en-GB" w:eastAsia="en-GB"/>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szCs w:val="20"/>
      <w:lang w:val="en-G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color w:val="auto"/>
      <w:sz w:val="20"/>
      <w:szCs w:val="20"/>
      <w:lang w:val="en-GB"/>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basedOn w:val="DefaultParagraphFont"/>
    <w:qFormat/>
    <w:rPr>
      <w:rFonts w:ascii="Cambria" w:hAnsi="Cambria" w:cs="Times New Roman"/>
      <w:b/>
      <w:bCs/>
      <w:color w:val="365F91"/>
      <w:sz w:val="28"/>
      <w:szCs w:val="28"/>
      <w:lang w:val="en-US"/>
    </w:rPr>
  </w:style>
  <w:style w:type="character" w:styleId="Heading2Char">
    <w:name w:val="Heading 2 Char"/>
    <w:basedOn w:val="DefaultParagraphFont"/>
    <w:qFormat/>
    <w:rPr>
      <w:rFonts w:ascii="Cambria" w:hAnsi="Cambria" w:cs="Times New Roman"/>
      <w:b/>
      <w:bCs/>
      <w:color w:val="4F81BD"/>
      <w:sz w:val="26"/>
      <w:szCs w:val="26"/>
      <w:lang w:val="en-US"/>
    </w:rPr>
  </w:style>
  <w:style w:type="character" w:styleId="Heading3Char">
    <w:name w:val="Heading 3 Char"/>
    <w:basedOn w:val="DefaultParagraphFont"/>
    <w:qFormat/>
    <w:rPr>
      <w:rFonts w:ascii="Arial" w:hAnsi="Arial" w:eastAsia="Times New Roman" w:cs="Arial"/>
      <w:b/>
      <w:bCs/>
      <w:color w:val="FFFFFF"/>
      <w:sz w:val="24"/>
      <w:szCs w:val="24"/>
      <w:u w:val="none" w:color="FFFFFF"/>
      <w:lang w:val="en-US" w:eastAsia="en-US" w:bidi="ar-SA"/>
    </w:rPr>
  </w:style>
  <w:style w:type="character" w:styleId="HeaderChar">
    <w:name w:val="Header Char"/>
    <w:basedOn w:val="DefaultParagraphFont"/>
    <w:qFormat/>
    <w:rPr>
      <w:rFonts w:ascii="Arial" w:hAnsi="Arial" w:eastAsia="Times New Roman" w:cs="Arial"/>
      <w:color w:val="000000"/>
      <w:sz w:val="22"/>
      <w:szCs w:val="22"/>
      <w:u w:val="none" w:color="000000"/>
      <w:lang w:val="en-US" w:eastAsia="en-US" w:bidi="ar-SA"/>
    </w:rPr>
  </w:style>
  <w:style w:type="character" w:styleId="FooterChar">
    <w:name w:val="Footer Char"/>
    <w:basedOn w:val="DefaultParagraphFont"/>
    <w:qFormat/>
    <w:rPr>
      <w:rFonts w:ascii="Arial" w:hAnsi="Arial" w:eastAsia="Times New Roman" w:cs="Arial"/>
      <w:color w:val="000000"/>
      <w:sz w:val="22"/>
      <w:szCs w:val="22"/>
      <w:u w:val="none" w:color="000000"/>
      <w:lang w:val="en-US" w:eastAsia="en-US" w:bidi="ar-SA"/>
    </w:rPr>
  </w:style>
  <w:style w:type="character" w:styleId="Annotationreference">
    <w:name w:val="annotation reference"/>
    <w:basedOn w:val="DefaultParagraphFont"/>
    <w:qFormat/>
    <w:rPr>
      <w:rFonts w:cs="Times New Roman"/>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eastAsia="en-US"/>
    </w:rPr>
  </w:style>
  <w:style w:type="character" w:styleId="BalloonTextChar">
    <w:name w:val="Balloon Text Char"/>
    <w:basedOn w:val="DefaultParagraphFont"/>
    <w:qFormat/>
    <w:rPr>
      <w:rFonts w:ascii="Times New Roman" w:hAnsi="Times New Roman" w:eastAsia="Arial Unicode MS" w:cs="Times New Roman"/>
      <w:sz w:val="0"/>
      <w:szCs w:val="0"/>
      <w:lang w:val="en-US" w:eastAsia="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eastAsia="en-US"/>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NUMTextChar">
    <w:name w:val="NUM Text Char"/>
    <w:qFormat/>
    <w:rPr>
      <w:rFonts w:ascii="Arial" w:hAnsi="Arial" w:cs="Arial"/>
      <w:color w:val="000000"/>
      <w:lang w:eastAsia="en-US"/>
    </w:rPr>
  </w:style>
  <w:style w:type="character" w:styleId="BodyText3Char">
    <w:name w:val="Body Text 3 Char"/>
    <w:basedOn w:val="DefaultParagraphFont"/>
    <w:qFormat/>
    <w:rPr>
      <w:rFonts w:ascii="Arial" w:hAnsi="Arial" w:eastAsia="Times New Roman" w:cs="Arial"/>
      <w:sz w:val="16"/>
      <w:szCs w:val="16"/>
    </w:rPr>
  </w:style>
  <w:style w:type="character" w:styleId="InternetLink">
    <w:name w:val="Internet Link"/>
    <w:basedOn w:val="DefaultParagraphFont"/>
    <w:rPr>
      <w:color w:val="0000FF"/>
      <w:u w:val="single"/>
    </w:rPr>
  </w:style>
  <w:style w:type="character" w:styleId="Appleconvertedspace">
    <w:name w:val="apple-converted-space"/>
    <w:basedOn w:val="DefaultParagraphFont"/>
    <w:qFormat/>
    <w:rPr/>
  </w:style>
  <w:style w:type="character" w:styleId="BodyTextChar">
    <w:name w:val="Body Text Char"/>
    <w:basedOn w:val="DefaultParagraphFont"/>
    <w:qFormat/>
    <w:rPr>
      <w:rFonts w:ascii="Times New Roman" w:hAnsi="Times New Roman" w:eastAsia="Arial Unicode MS" w:cs="Times New Roman"/>
      <w:sz w:val="24"/>
      <w:szCs w:val="24"/>
      <w:lang w:val="en-US" w:eastAsia="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Footer">
    <w:name w:val="Footer"/>
    <w:basedOn w:val="Normal"/>
    <w:pPr>
      <w:tabs>
        <w:tab w:val="clear" w:pos="720"/>
        <w:tab w:val="center" w:pos="4153" w:leader="none"/>
        <w:tab w:val="right" w:pos="8306" w:leader="none"/>
      </w:tabs>
    </w:pPr>
    <w:rPr>
      <w:rFonts w:ascii="Arial" w:hAnsi="Arial" w:eastAsia="Calibri" w:cs="Arial"/>
      <w:color w:val="000000"/>
      <w:sz w:val="22"/>
      <w:szCs w:val="22"/>
      <w:u w:val="none" w:color="000000"/>
    </w:rPr>
  </w:style>
  <w:style w:type="paragraph" w:styleId="Body">
    <w:name w:val="Body"/>
    <w:qFormat/>
    <w:pPr>
      <w:widowControl/>
      <w:pBdr/>
      <w:suppressAutoHyphens w:val="true"/>
      <w:bidi w:val="0"/>
      <w:spacing w:before="0" w:after="0"/>
      <w:jc w:val="left"/>
    </w:pPr>
    <w:rPr>
      <w:rFonts w:ascii="Arial" w:hAnsi="Arial" w:eastAsia="Calibri" w:cs="Arial"/>
      <w:color w:val="000000"/>
      <w:kern w:val="0"/>
      <w:sz w:val="24"/>
      <w:szCs w:val="22"/>
      <w:u w:val="none" w:color="000000"/>
      <w:lang w:val="en-GB" w:eastAsia="en-US" w:bidi="ar-SA"/>
    </w:rPr>
  </w:style>
  <w:style w:type="paragraph" w:styleId="ListParagraph">
    <w:name w:val="List Paragraph"/>
    <w:basedOn w:val="Normal"/>
    <w:qFormat/>
    <w:pPr>
      <w:ind w:left="720" w:right="0" w:hanging="0"/>
    </w:pPr>
    <w:rPr>
      <w:rFonts w:ascii="Arial" w:hAnsi="Arial" w:eastAsia="Calibri" w:cs="Arial"/>
      <w:color w:val="000000"/>
      <w:sz w:val="22"/>
      <w:szCs w:val="22"/>
      <w:u w:val="none" w:color="000000"/>
    </w:rPr>
  </w:style>
  <w:style w:type="paragraph" w:styleId="Annotationtext">
    <w:name w:val="annotation text"/>
    <w:basedOn w:val="Normal"/>
    <w:qFormat/>
    <w:pPr>
      <w:pBdr/>
    </w:pPr>
    <w:rPr>
      <w:rFonts w:eastAsia="Calibri"/>
      <w:sz w:val="20"/>
      <w:szCs w:val="20"/>
      <w:lang w:val="en-GB" w:eastAsia="en-GB"/>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Annotationtext"/>
    <w:next w:val="Annotationtext"/>
    <w:qFormat/>
    <w:pPr>
      <w:pBdr/>
    </w:pPr>
    <w:rPr>
      <w:rFonts w:eastAsia="Arial Unicode MS"/>
      <w:b/>
      <w:bCs/>
      <w:lang w:val="en-US" w:eastAsia="en-US"/>
    </w:rPr>
  </w:style>
  <w:style w:type="paragraph" w:styleId="NormalWeb">
    <w:name w:val="Normal (Web)"/>
    <w:basedOn w:val="Normal"/>
    <w:qFormat/>
    <w:pPr>
      <w:pBdr/>
      <w:spacing w:before="0" w:after="192"/>
    </w:pPr>
    <w:rPr>
      <w:rFonts w:eastAsia="Times New Roman"/>
      <w:lang w:val="en-GB" w:eastAsia="en-GB"/>
    </w:rPr>
  </w:style>
  <w:style w:type="paragraph" w:styleId="DefaultText1">
    <w:name w:val="Default Text:1"/>
    <w:basedOn w:val="Normal"/>
    <w:qFormat/>
    <w:pPr>
      <w:pBdr/>
      <w:overflowPunct w:val="true"/>
    </w:pPr>
    <w:rPr>
      <w:rFonts w:eastAsia="Times New Roman"/>
      <w:color w:val="000000"/>
      <w:szCs w:val="20"/>
    </w:rPr>
  </w:style>
  <w:style w:type="paragraph" w:styleId="NUMHeading">
    <w:name w:val="NUM Heading"/>
    <w:basedOn w:val="Normal"/>
    <w:qFormat/>
    <w:pPr>
      <w:keepNext w:val="true"/>
      <w:pBdr/>
      <w:spacing w:lineRule="auto" w:line="276" w:before="480" w:after="240"/>
      <w:jc w:val="both"/>
    </w:pPr>
    <w:rPr>
      <w:rFonts w:ascii="Arial" w:hAnsi="Arial" w:eastAsia="Calibri" w:cs="Arial"/>
      <w:b/>
      <w:caps/>
      <w:color w:val="000000"/>
      <w:sz w:val="22"/>
      <w:szCs w:val="22"/>
      <w:lang w:val="en-GB"/>
    </w:rPr>
  </w:style>
  <w:style w:type="paragraph" w:styleId="NUMText">
    <w:name w:val="NUM Text"/>
    <w:basedOn w:val="Normal"/>
    <w:qFormat/>
    <w:pPr>
      <w:pBdr/>
      <w:spacing w:lineRule="auto" w:line="276" w:before="240" w:after="240"/>
      <w:jc w:val="both"/>
    </w:pPr>
    <w:rPr>
      <w:rFonts w:ascii="Arial" w:hAnsi="Arial" w:eastAsia="Calibri" w:cs="Arial"/>
      <w:color w:val="000000"/>
      <w:sz w:val="22"/>
      <w:szCs w:val="22"/>
      <w:lang w:val="en-GB"/>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BodyText3">
    <w:name w:val="Body Text 3"/>
    <w:basedOn w:val="Normal"/>
    <w:qFormat/>
    <w:pPr>
      <w:widowControl w:val="false"/>
      <w:pBdr/>
      <w:spacing w:before="0" w:after="120"/>
    </w:pPr>
    <w:rPr>
      <w:rFonts w:ascii="Arial" w:hAnsi="Arial" w:eastAsia="Times New Roman" w:cs="Arial"/>
      <w:sz w:val="16"/>
      <w:szCs w:val="16"/>
      <w:lang w:val="en-GB" w:eastAsia="en-GB"/>
    </w:rPr>
  </w:style>
  <w:style w:type="paragraph" w:styleId="BodyTextIndent3">
    <w:name w:val="Body Text Indent 3"/>
    <w:basedOn w:val="Normal"/>
    <w:qFormat/>
    <w:pPr>
      <w:pBdr/>
      <w:spacing w:before="0" w:after="120"/>
      <w:ind w:left="283" w:right="0" w:hanging="0"/>
    </w:pPr>
    <w:rPr>
      <w:sz w:val="16"/>
      <w:szCs w:val="16"/>
    </w:rPr>
  </w:style>
  <w:style w:type="paragraph" w:styleId="Revision">
    <w:name w:val="Revision"/>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2024-05-13T09:53:00Z</dcterms:created>
  <dc:creator>Casey, Natalie (Manchester Solutions)</dc:creator>
  <dc:description/>
  <dc:language>en-US</dc:language>
  <cp:lastModifiedBy>Phan, Melissa</cp:lastModifiedBy>
  <cp:lastPrinted>1995-11-21T17:41:00Z</cp:lastPrinted>
  <dcterms:modified xsi:type="dcterms:W3CDTF">2026-05-22T15:19:46Z</dcterms:modified>
  <cp:revision>4</cp:revision>
  <dc:subject/>
  <dc:title>Manchester Growth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0x010100AECB510DA1C4164082E064EE5F3B09B200FD53E09C85E0844FB1B21FE478C15D68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wner">
    <vt:lpwstr>812;#HR Advice</vt:lpwstr>
  </property>
  <property fmtid="{D5CDD505-2E9C-101B-9397-08002B2CF9AE}" pid="9" name="Review Date">
    <vt:lpwstr>2016-09-16T23:00:00Z</vt:lpwstr>
  </property>
  <property fmtid="{D5CDD505-2E9C-101B-9397-08002B2CF9AE}" pid="10" name="ScaleCrop">
    <vt:bool>0</vt:bool>
  </property>
  <property fmtid="{D5CDD505-2E9C-101B-9397-08002B2CF9AE}" pid="11" name="ShareDoc">
    <vt:bool>0</vt:bool>
  </property>
</Properties>
</file>