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 xml:space="preserve">Strategic Policy Lead (Place and Infrastructure Resilience)  </w:t>
      </w:r>
    </w:p>
    <w:p>
      <w:pPr>
        <w:pStyle w:val="ListParagraph"/>
        <w:numPr>
          <w:ilvl w:val="0"/>
          <w:numId w:val="2"/>
        </w:numPr>
        <w:rPr/>
      </w:pPr>
      <w:r>
        <w:rPr>
          <w:rFonts w:cs="Arial"/>
          <w:b/>
          <w:bCs/>
          <w:szCs w:val="24"/>
        </w:rPr>
        <w:t>Grade:</w:t>
      </w:r>
      <w:r>
        <w:rPr>
          <w:rFonts w:cs="Arial"/>
          <w:szCs w:val="24"/>
        </w:rPr>
        <w:t xml:space="preserve"> G10 (TBC)</w:t>
      </w:r>
    </w:p>
    <w:p>
      <w:pPr>
        <w:pStyle w:val="ListParagraph"/>
        <w:numPr>
          <w:ilvl w:val="0"/>
          <w:numId w:val="2"/>
        </w:numPr>
        <w:rPr/>
      </w:pPr>
      <w:r>
        <w:rPr>
          <w:rFonts w:cs="Arial"/>
          <w:b/>
          <w:bCs/>
          <w:szCs w:val="24"/>
        </w:rPr>
        <w:t>Business area:</w:t>
      </w:r>
      <w:r>
        <w:rPr>
          <w:rFonts w:cs="Arial"/>
          <w:szCs w:val="24"/>
        </w:rPr>
        <w:t xml:space="preserve"> Resilience</w:t>
      </w:r>
    </w:p>
    <w:p>
      <w:pPr>
        <w:pStyle w:val="ListParagraph"/>
        <w:numPr>
          <w:ilvl w:val="0"/>
          <w:numId w:val="2"/>
        </w:numPr>
        <w:rPr/>
      </w:pPr>
      <w:r>
        <w:rPr>
          <w:rFonts w:cs="Arial"/>
          <w:b/>
          <w:bCs/>
          <w:szCs w:val="24"/>
        </w:rPr>
        <w:t>Job title</w:t>
      </w:r>
      <w:r>
        <w:rPr>
          <w:rFonts w:cs="Arial"/>
          <w:szCs w:val="24"/>
        </w:rPr>
        <w:t>: Strategic Policy Lead (Place and Infrastructure Resilience)</w:t>
      </w:r>
    </w:p>
    <w:p>
      <w:pPr>
        <w:pStyle w:val="ListParagraph"/>
        <w:numPr>
          <w:ilvl w:val="0"/>
          <w:numId w:val="2"/>
        </w:numPr>
        <w:rPr/>
      </w:pPr>
      <w:r>
        <w:rPr>
          <w:rFonts w:cs="Arial"/>
          <w:b/>
          <w:bCs/>
          <w:szCs w:val="24"/>
        </w:rPr>
        <w:t>Reporting line:</w:t>
      </w:r>
      <w:r>
        <w:rPr>
          <w:rFonts w:cs="Arial"/>
          <w:szCs w:val="24"/>
        </w:rPr>
        <w:t xml:space="preserve"> Assistant Director (Preparedness, Prevention &amp; Partnerships)</w:t>
      </w:r>
    </w:p>
    <w:p>
      <w:pPr>
        <w:pStyle w:val="ListParagraph"/>
        <w:numPr>
          <w:ilvl w:val="0"/>
          <w:numId w:val="2"/>
        </w:numPr>
        <w:rPr/>
      </w:pPr>
      <w:r>
        <w:rPr>
          <w:rFonts w:cs="Arial"/>
          <w:b/>
          <w:bCs/>
          <w:szCs w:val="24"/>
        </w:rPr>
        <w:t>Team:</w:t>
      </w:r>
      <w:r>
        <w:rPr>
          <w:rFonts w:cs="Arial"/>
          <w:szCs w:val="24"/>
        </w:rPr>
        <w:t xml:space="preserve"> GM Resilience Unit (GMCA Resilience Directorate) </w:t>
      </w:r>
    </w:p>
    <w:p>
      <w:pPr>
        <w:pStyle w:val="Heading2"/>
        <w:shd w:fill="004F6E" w:val="clear"/>
        <w:rPr>
          <w:rFonts w:cs="Arial"/>
          <w:sz w:val="24"/>
          <w:szCs w:val="24"/>
        </w:rPr>
      </w:pPr>
      <w:r>
        <w:rPr>
          <w:rFonts w:cs="Arial"/>
          <w:sz w:val="24"/>
          <w:szCs w:val="24"/>
        </w:rPr>
        <w:t>Job Purpose</w:t>
      </w:r>
    </w:p>
    <w:p>
      <w:pPr>
        <w:pStyle w:val="Normal"/>
        <w:spacing w:lineRule="auto" w:line="240"/>
        <w:rPr>
          <w:rFonts w:cs="Arial"/>
        </w:rPr>
      </w:pPr>
      <w:r>
        <w:rPr>
          <w:rFonts w:cs="Arial"/>
        </w:rPr>
        <w:t>Working collaboratively with partners from the GM Resilience Forum, GMCA directorates and wider partners, the postholder will help develop a shared understanding of current and future resilience challenges and coordinate long-term strategies and programmes that improve Greater Manchester's ability to anticipate, adapt to and recover from disruption.</w:t>
      </w:r>
    </w:p>
    <w:p>
      <w:pPr>
        <w:pStyle w:val="Normal"/>
        <w:spacing w:lineRule="auto" w:line="240"/>
        <w:rPr/>
      </w:pPr>
      <w:r>
        <w:rPr/>
        <w:t>Whilst focusing on place and infrastructure resilience, the postholder will work closely with the Strategic Policy Lead (Community Resilience) to ensure a whole of society resilience approach.</w:t>
      </w:r>
      <w:r>
        <w:rPr>
          <w:rFonts w:cs="Arial"/>
        </w:rPr>
        <w:t xml:space="preserve"> Both posts will lead on our directorate’s preventative approach and contribute to the development and delivery of the Greater Manchester Resilience Strategy; contributing directly to the ambitions of the Greater Manchester Strategy.  </w:t>
      </w:r>
    </w:p>
    <w:p>
      <w:pPr>
        <w:pStyle w:val="Normal"/>
        <w:spacing w:lineRule="auto" w:line="240"/>
        <w:rPr/>
      </w:pPr>
      <w:r>
        <w:rPr/>
        <w:t>The post will also support the delivery of local authority emergency preparedness and response services for Greater Manchester’s ten Councils as part of the Resilience Directorate’s on-call rota.</w:t>
      </w:r>
    </w:p>
    <w:p>
      <w:pPr>
        <w:pStyle w:val="Heading2"/>
        <w:shd w:fill="004F6E" w:val="clear"/>
        <w:rPr>
          <w:rFonts w:cs="Arial"/>
          <w:sz w:val="24"/>
          <w:szCs w:val="24"/>
        </w:rPr>
      </w:pPr>
      <w:r>
        <w:rPr>
          <w:rFonts w:cs="Arial"/>
          <w:sz w:val="24"/>
          <w:szCs w:val="24"/>
        </w:rPr>
        <w:t>Key working relationships</w:t>
      </w:r>
    </w:p>
    <w:p>
      <w:pPr>
        <w:pStyle w:val="ListParagraph"/>
        <w:numPr>
          <w:ilvl w:val="0"/>
          <w:numId w:val="7"/>
        </w:numPr>
        <w:spacing w:lineRule="auto" w:line="240" w:before="60" w:after="0"/>
        <w:rPr/>
      </w:pPr>
      <w:r>
        <w:rPr/>
        <w:t>Chief Resilience Officer (Director of Resilience)</w:t>
      </w:r>
    </w:p>
    <w:p>
      <w:pPr>
        <w:pStyle w:val="ListParagraph"/>
        <w:numPr>
          <w:ilvl w:val="0"/>
          <w:numId w:val="7"/>
        </w:numPr>
        <w:spacing w:lineRule="auto" w:line="240" w:before="60" w:after="0"/>
        <w:rPr/>
      </w:pPr>
      <w:r>
        <w:rPr/>
        <w:t xml:space="preserve">Resilience Directorate Management Team </w:t>
      </w:r>
    </w:p>
    <w:p>
      <w:pPr>
        <w:pStyle w:val="ListParagraph"/>
        <w:numPr>
          <w:ilvl w:val="0"/>
          <w:numId w:val="7"/>
        </w:numPr>
        <w:spacing w:lineRule="auto" w:line="240" w:before="60" w:after="0"/>
        <w:rPr/>
      </w:pPr>
      <w:r>
        <w:rPr/>
        <w:t>GMCA senior managers and staff</w:t>
      </w:r>
    </w:p>
    <w:p>
      <w:pPr>
        <w:pStyle w:val="ListParagraph"/>
        <w:numPr>
          <w:ilvl w:val="0"/>
          <w:numId w:val="7"/>
        </w:numPr>
        <w:spacing w:lineRule="auto" w:line="240" w:before="60" w:after="0"/>
        <w:rPr/>
      </w:pPr>
      <w:r>
        <w:rPr/>
        <w:t xml:space="preserve">GM Advisory Groups </w:t>
      </w:r>
    </w:p>
    <w:p>
      <w:pPr>
        <w:pStyle w:val="ListParagraph"/>
        <w:numPr>
          <w:ilvl w:val="0"/>
          <w:numId w:val="7"/>
        </w:numPr>
        <w:spacing w:lineRule="auto" w:line="240" w:before="60" w:after="0"/>
        <w:rPr/>
      </w:pPr>
      <w:r>
        <w:rPr/>
        <w:t>GM Local Authorities</w:t>
      </w:r>
    </w:p>
    <w:p>
      <w:pPr>
        <w:pStyle w:val="ListParagraph"/>
        <w:numPr>
          <w:ilvl w:val="0"/>
          <w:numId w:val="7"/>
        </w:numPr>
        <w:spacing w:lineRule="auto" w:line="240" w:before="60" w:after="0"/>
        <w:rPr/>
      </w:pPr>
      <w:r>
        <w:rPr/>
        <w:t xml:space="preserve">GM Resilience Forums </w:t>
      </w:r>
    </w:p>
    <w:p>
      <w:pPr>
        <w:pStyle w:val="ListParagraph"/>
        <w:numPr>
          <w:ilvl w:val="0"/>
          <w:numId w:val="7"/>
        </w:numPr>
        <w:spacing w:lineRule="auto" w:line="240" w:before="60" w:after="0"/>
        <w:rPr/>
      </w:pPr>
      <w:r>
        <w:rPr/>
        <w:t>Local and National Resilience Forums</w:t>
      </w:r>
    </w:p>
    <w:p>
      <w:pPr>
        <w:pStyle w:val="ListParagraph"/>
        <w:numPr>
          <w:ilvl w:val="0"/>
          <w:numId w:val="7"/>
        </w:numPr>
        <w:spacing w:lineRule="auto" w:line="240" w:before="60" w:after="0"/>
        <w:rPr>
          <w:color w:val="000000"/>
        </w:rPr>
      </w:pPr>
      <w:r>
        <w:rPr>
          <w:color w:val="000000"/>
        </w:rPr>
        <w:t xml:space="preserve">Lead Government Departments </w:t>
      </w:r>
    </w:p>
    <w:p>
      <w:pPr>
        <w:pStyle w:val="ListParagraph"/>
        <w:numPr>
          <w:ilvl w:val="0"/>
          <w:numId w:val="7"/>
        </w:numPr>
        <w:spacing w:lineRule="auto" w:line="240" w:before="60" w:after="0"/>
        <w:rPr/>
      </w:pPr>
      <w:r>
        <w:rPr/>
        <w:t>Relevant external bodies and agencies</w:t>
      </w:r>
    </w:p>
    <w:p>
      <w:pPr>
        <w:pStyle w:val="ListParagraph"/>
        <w:numPr>
          <w:ilvl w:val="0"/>
          <w:numId w:val="7"/>
        </w:numPr>
        <w:spacing w:lineRule="auto" w:line="240" w:before="60" w:after="0"/>
        <w:rPr/>
      </w:pPr>
      <w:r>
        <w:rPr/>
        <w:t>Private and voluntary sector organisations</w:t>
      </w:r>
    </w:p>
    <w:p>
      <w:pPr>
        <w:pStyle w:val="Heading2"/>
        <w:shd w:fill="004F6E" w:val="clear"/>
        <w:rPr>
          <w:rFonts w:cs="Arial"/>
          <w:sz w:val="24"/>
          <w:szCs w:val="24"/>
        </w:rPr>
      </w:pPr>
      <w:r>
        <w:rPr>
          <w:rFonts w:cs="Arial"/>
          <w:sz w:val="24"/>
          <w:szCs w:val="24"/>
        </w:rPr>
        <w:t>Key Responsibilities</w:t>
      </w:r>
    </w:p>
    <w:p>
      <w:pPr>
        <w:pStyle w:val="ListParagraph"/>
        <w:numPr>
          <w:ilvl w:val="0"/>
          <w:numId w:val="4"/>
        </w:numPr>
        <w:spacing w:lineRule="auto" w:line="240"/>
        <w:rPr>
          <w:color w:val="auto"/>
        </w:rPr>
      </w:pPr>
      <w:r>
        <w:rPr>
          <w:color w:val="auto"/>
        </w:rPr>
        <w:t xml:space="preserve">Examine the concepts of business resilience, infrastructure resilience, supply chain and economic resilience as a means of better understanding how the GM Resilience Forum and GMCA can build resilience and improve our emergency response in Greater Manchester. </w:t>
      </w:r>
    </w:p>
    <w:p>
      <w:pPr>
        <w:pStyle w:val="ListParagraph"/>
        <w:numPr>
          <w:ilvl w:val="0"/>
          <w:numId w:val="4"/>
        </w:numPr>
        <w:spacing w:lineRule="auto" w:line="240"/>
        <w:rPr/>
      </w:pPr>
      <w:r>
        <w:rPr/>
        <w:t xml:space="preserve">Working with wider GMCA directorates, contribute to the development of policy frameworks covering critical infrastructure resilience (energy, transport, digital, water) and build an understanding of interdependencies and cascading failures to help improve resilience and emergency response. </w:t>
      </w:r>
    </w:p>
    <w:p>
      <w:pPr>
        <w:pStyle w:val="ListParagraph"/>
        <w:numPr>
          <w:ilvl w:val="0"/>
          <w:numId w:val="4"/>
        </w:numPr>
        <w:spacing w:lineRule="auto" w:line="240"/>
        <w:rPr/>
      </w:pPr>
      <w:r>
        <w:rPr/>
        <w:t xml:space="preserve">Examine the impact of chronic risks impacting GM and the delivery of key strategies such as the GM Resilience Strategy and the Greater Manchester Strategy. </w:t>
      </w:r>
    </w:p>
    <w:p>
      <w:pPr>
        <w:pStyle w:val="ListParagraph"/>
        <w:numPr>
          <w:ilvl w:val="0"/>
          <w:numId w:val="4"/>
        </w:numPr>
        <w:spacing w:lineRule="auto" w:line="240"/>
        <w:rPr/>
      </w:pPr>
      <w:r>
        <w:rPr/>
        <w:t>Working across the LRF and wider partnerships, bring together intelligence, data, expertise and evidence to develop a shared understanding of current and emerging risks, supporting collective action to strengthen resilience.</w:t>
      </w:r>
    </w:p>
    <w:p>
      <w:pPr>
        <w:pStyle w:val="ListParagraph"/>
        <w:numPr>
          <w:ilvl w:val="0"/>
          <w:numId w:val="4"/>
        </w:numPr>
        <w:spacing w:lineRule="auto" w:line="240"/>
        <w:rPr/>
      </w:pPr>
      <w:r>
        <w:rPr/>
        <w:t>Ensure acute and chronic risks continually informs corporate risks to support GMCA’s governance and advisory groups in developing a common understanding of city-region risks, vulnerabilities, interdependencies and cascading impacts.</w:t>
      </w:r>
    </w:p>
    <w:p>
      <w:pPr>
        <w:pStyle w:val="ListParagraph"/>
        <w:numPr>
          <w:ilvl w:val="0"/>
          <w:numId w:val="4"/>
        </w:numPr>
        <w:spacing w:lineRule="auto" w:line="240"/>
        <w:ind w:left="720" w:right="0" w:hanging="360"/>
        <w:rPr/>
      </w:pPr>
      <w:r>
        <w:rPr/>
        <w:t xml:space="preserve">Support the integration of resilience into GMCA policies, strategies, programmes and decisions; ensuring consideration of chronic stresses, acute shocks, vulnerabilities and interdependencies. </w:t>
      </w:r>
    </w:p>
    <w:p>
      <w:pPr>
        <w:pStyle w:val="ListParagraph"/>
        <w:numPr>
          <w:ilvl w:val="0"/>
          <w:numId w:val="4"/>
        </w:numPr>
        <w:spacing w:lineRule="auto" w:line="240"/>
        <w:ind w:left="720" w:right="0" w:hanging="360"/>
        <w:rPr>
          <w:color w:val="auto"/>
        </w:rPr>
      </w:pPr>
      <w:r>
        <w:rPr>
          <w:color w:val="auto"/>
        </w:rPr>
        <w:t xml:space="preserve">Ensure lessons identified from incidents, exercises and emergencies are translated into long-term resilience improvements for communities, places and infrastructure systems. </w:t>
      </w:r>
    </w:p>
    <w:p>
      <w:pPr>
        <w:pStyle w:val="ListParagraph"/>
        <w:numPr>
          <w:ilvl w:val="0"/>
          <w:numId w:val="4"/>
        </w:numPr>
        <w:spacing w:lineRule="auto" w:line="240"/>
        <w:ind w:left="720" w:right="0" w:hanging="360"/>
        <w:rPr>
          <w:color w:val="auto"/>
        </w:rPr>
      </w:pPr>
      <w:r>
        <w:rPr>
          <w:color w:val="auto"/>
        </w:rPr>
        <w:t xml:space="preserve">Ensure critical infrastructure resilience considerations are embedded within LRF exercising programmes. </w:t>
      </w:r>
    </w:p>
    <w:p>
      <w:pPr>
        <w:pStyle w:val="ListParagraph"/>
        <w:numPr>
          <w:ilvl w:val="0"/>
          <w:numId w:val="4"/>
        </w:numPr>
        <w:spacing w:lineRule="auto" w:line="240"/>
        <w:ind w:left="720" w:right="0" w:hanging="360"/>
        <w:rPr>
          <w:color w:val="auto"/>
        </w:rPr>
      </w:pPr>
      <w:r>
        <w:rPr>
          <w:color w:val="auto"/>
        </w:rPr>
        <w:t xml:space="preserve">Working closely with GMCA directorates and LRF partners, support resilience policy development relating to climate adaptation, extreme weather, flooding, drought, wildfire, heat risk and environmental degradation. </w:t>
      </w:r>
    </w:p>
    <w:p>
      <w:pPr>
        <w:pStyle w:val="ListParagraph"/>
        <w:numPr>
          <w:ilvl w:val="0"/>
          <w:numId w:val="4"/>
        </w:numPr>
        <w:spacing w:lineRule="auto" w:line="240"/>
        <w:ind w:left="720" w:right="0" w:hanging="360"/>
        <w:rPr>
          <w:color w:val="auto"/>
        </w:rPr>
      </w:pPr>
      <w:r>
        <w:rPr>
          <w:color w:val="auto"/>
        </w:rPr>
        <w:t xml:space="preserve">To bid for, lead on the design of and manage whole of society resilience innovation projects, contributing to the delivery of the Greater Manchester Resilience Forum’s work programmes.  This includes managing multi-agency project teams and the delivery of project outcomes within agreed funding timescales. </w:t>
      </w:r>
    </w:p>
    <w:p>
      <w:pPr>
        <w:pStyle w:val="ListParagraph"/>
        <w:numPr>
          <w:ilvl w:val="0"/>
          <w:numId w:val="4"/>
        </w:numPr>
        <w:spacing w:lineRule="auto" w:line="240"/>
        <w:rPr>
          <w:color w:val="auto"/>
        </w:rPr>
      </w:pPr>
      <w:r>
        <w:rPr>
          <w:color w:val="auto"/>
        </w:rPr>
        <w:t xml:space="preserve">To research, analyse and advise on international, national, and local policy changes and their implications for the Greater Manchester Resilience Forum and GMCA. </w:t>
      </w:r>
    </w:p>
    <w:p>
      <w:pPr>
        <w:pStyle w:val="ListParagraph"/>
        <w:numPr>
          <w:ilvl w:val="0"/>
          <w:numId w:val="4"/>
        </w:numPr>
        <w:spacing w:lineRule="auto" w:line="240"/>
        <w:rPr>
          <w:color w:val="auto"/>
        </w:rPr>
      </w:pPr>
      <w:r>
        <w:rPr>
          <w:color w:val="auto"/>
        </w:rPr>
        <w:t xml:space="preserve">Inform and help develop relevant strategies, policies and plans for Greater Manchester, drawing on nationally and internationally recognised resilience best practice. </w:t>
      </w:r>
    </w:p>
    <w:p>
      <w:pPr>
        <w:pStyle w:val="ListParagraph"/>
        <w:numPr>
          <w:ilvl w:val="0"/>
          <w:numId w:val="4"/>
        </w:numPr>
        <w:spacing w:lineRule="auto" w:line="240"/>
        <w:ind w:left="720" w:right="0" w:hanging="360"/>
        <w:rPr/>
      </w:pPr>
      <w:r>
        <w:rPr/>
        <w:t xml:space="preserve">Support the development of the city-region risk assessment, risk insight, and resilience indicators and metrics, contributing to the directorate’s reporting and assurance processes. </w:t>
      </w:r>
    </w:p>
    <w:p>
      <w:pPr>
        <w:pStyle w:val="ListParagraph"/>
        <w:numPr>
          <w:ilvl w:val="0"/>
          <w:numId w:val="4"/>
        </w:numPr>
        <w:spacing w:lineRule="auto" w:line="240"/>
        <w:rPr/>
      </w:pPr>
      <w:r>
        <w:rPr>
          <w:color w:val="auto"/>
        </w:rPr>
        <w:t xml:space="preserve">Provide expert advice on whole of society resilience and influence key policy to strengthen resilience in Greater Manchester; </w:t>
      </w:r>
      <w:r>
        <w:rPr/>
        <w:t>contributing to improved accountability, assurance and oversight frameworks.</w:t>
      </w:r>
    </w:p>
    <w:p>
      <w:pPr>
        <w:pStyle w:val="ListParagraph"/>
        <w:numPr>
          <w:ilvl w:val="0"/>
          <w:numId w:val="4"/>
        </w:numPr>
        <w:spacing w:lineRule="auto" w:line="240"/>
        <w:ind w:left="720" w:right="0" w:hanging="360"/>
        <w:rPr/>
      </w:pPr>
      <w:r>
        <w:rPr/>
        <w:t xml:space="preserve">Support the development and improvement of our emergency response by engaging with infrastructure providers, utilities, transport bodies, local authorities, private sector and regulators to better understand risks, plans and capabilities. </w:t>
      </w:r>
    </w:p>
    <w:p>
      <w:pPr>
        <w:pStyle w:val="ListParagraph"/>
        <w:numPr>
          <w:ilvl w:val="0"/>
          <w:numId w:val="4"/>
        </w:numPr>
        <w:spacing w:lineRule="auto" w:line="240"/>
        <w:rPr>
          <w:color w:val="auto"/>
        </w:rPr>
      </w:pPr>
      <w:r>
        <w:rPr>
          <w:color w:val="auto"/>
        </w:rPr>
        <w:t>Manage project budgets, and report on contracts in line with any requirements set by external funders which may include Government grant funding, research funding or international funding.</w:t>
      </w:r>
    </w:p>
    <w:p>
      <w:pPr>
        <w:pStyle w:val="ListParagraph"/>
        <w:numPr>
          <w:ilvl w:val="0"/>
          <w:numId w:val="4"/>
        </w:numPr>
        <w:spacing w:lineRule="auto" w:line="240"/>
        <w:rPr>
          <w:color w:val="auto"/>
        </w:rPr>
      </w:pPr>
      <w:r>
        <w:rPr>
          <w:color w:val="auto"/>
        </w:rPr>
        <w:t>Promote and strengthen the position of Greater Manchester as a leader in resilience thinking by driving forward Greater Manchester’s role as a Resilience Hub advocating for resilience and supporting other cities on their resilience journey.</w:t>
      </w:r>
    </w:p>
    <w:p>
      <w:pPr>
        <w:pStyle w:val="ListParagraph"/>
        <w:numPr>
          <w:ilvl w:val="0"/>
          <w:numId w:val="4"/>
        </w:numPr>
        <w:spacing w:lineRule="auto" w:line="240"/>
        <w:rPr>
          <w:color w:val="auto"/>
        </w:rPr>
      </w:pPr>
      <w:r>
        <w:rPr>
          <w:color w:val="auto"/>
        </w:rPr>
        <w:t>As part of the GMRU’s management team, provide support to the management, direction setting for the GM Resilience Unit to deliver an effective, integrated and coordinated civil contingencies service, including leading a team to support the 10 Greater Manchester local authorities in responding to fast-paced emergencies as part of a 24/7/365 strategic emergency response service.</w:t>
      </w:r>
    </w:p>
    <w:p>
      <w:pPr>
        <w:pStyle w:val="Normal"/>
        <w:spacing w:lineRule="auto" w:line="240"/>
        <w:rPr>
          <w:color w:val="auto"/>
        </w:rPr>
      </w:pPr>
      <w:r>
        <w:rPr>
          <w:color w:val="auto"/>
        </w:rPr>
      </w:r>
    </w:p>
    <w:p>
      <w:pPr>
        <w:pStyle w:val="Normal"/>
        <w:spacing w:lineRule="auto" w:line="240"/>
        <w:ind w:left="360" w:right="0" w:hanging="0"/>
        <w:rPr>
          <w:rFonts w:cs="Arial"/>
          <w:b/>
          <w:b/>
          <w:color w:val="auto"/>
        </w:rPr>
      </w:pPr>
      <w:r>
        <w:rPr>
          <w:rFonts w:cs="Arial"/>
          <w:b/>
          <w:color w:val="auto"/>
        </w:rPr>
        <w:t>NB: This list of duties and responsibilities is by no means exhaustive, and the post holder may be required to undertake other relevant and appropriate duties as required.</w:t>
      </w:r>
    </w:p>
    <w:p>
      <w:pPr>
        <w:pStyle w:val="Heading2"/>
        <w:shd w:fill="004F6E" w:val="clear"/>
        <w:rPr>
          <w:rFonts w:cs="Arial"/>
          <w:sz w:val="24"/>
          <w:szCs w:val="24"/>
        </w:rPr>
      </w:pPr>
      <w:r>
        <w:rPr>
          <w:rFonts w:cs="Arial"/>
          <w:sz w:val="24"/>
          <w:szCs w:val="24"/>
        </w:rPr>
        <w:t>General</w:t>
      </w:r>
    </w:p>
    <w:p>
      <w:pPr>
        <w:pStyle w:val="ListParagraph"/>
        <w:numPr>
          <w:ilvl w:val="0"/>
          <w:numId w:val="3"/>
        </w:numPr>
        <w:spacing w:lineRule="auto" w:line="240"/>
        <w:ind w:left="993" w:right="0" w:hanging="633"/>
        <w:rPr>
          <w:bCs/>
          <w:color w:val="auto"/>
          <w:szCs w:val="24"/>
        </w:rPr>
      </w:pPr>
      <w:r>
        <w:rPr>
          <w:bCs/>
          <w:color w:val="auto"/>
          <w:szCs w:val="24"/>
        </w:rPr>
        <w:t>Through personal example, open commitment and clear action, ensure diversity is positively valued, resulting in equal access and treatment in employment, service delivery and communications.</w:t>
      </w:r>
    </w:p>
    <w:p>
      <w:pPr>
        <w:pStyle w:val="ListParagraph"/>
        <w:numPr>
          <w:ilvl w:val="0"/>
          <w:numId w:val="3"/>
        </w:numPr>
        <w:spacing w:lineRule="auto" w:line="240"/>
        <w:ind w:left="993" w:right="0" w:hanging="633"/>
        <w:rPr>
          <w:rFonts w:cs="Arial"/>
          <w:color w:val="auto"/>
        </w:rPr>
      </w:pPr>
      <w:r>
        <w:rPr>
          <w:rFonts w:cs="Arial"/>
          <w:color w:val="auto"/>
        </w:rPr>
        <w:t>Always hold themselves and others to a high standard of professionalism, demonstrating commitment to the values and behaviours of GMCA as well as ensuring service confidentiality is maintained throughout all they do.</w:t>
      </w:r>
    </w:p>
    <w:p>
      <w:pPr>
        <w:pStyle w:val="ListParagraph"/>
        <w:numPr>
          <w:ilvl w:val="0"/>
          <w:numId w:val="3"/>
        </w:numPr>
        <w:spacing w:lineRule="auto" w:line="240"/>
        <w:ind w:left="993" w:right="0" w:hanging="633"/>
        <w:rPr>
          <w:rFonts w:eastAsia="Arial" w:cs="Arial"/>
          <w:color w:val="auto"/>
          <w:szCs w:val="24"/>
        </w:rPr>
      </w:pPr>
      <w:r>
        <w:rPr>
          <w:rFonts w:eastAsia="Arial" w:cs="Arial"/>
          <w:color w:val="auto"/>
          <w:szCs w:val="24"/>
        </w:rPr>
        <w:t>Working with other teams internally and externally ensure collaboration is maximised, supporting on activity where appropriate.</w:t>
      </w:r>
    </w:p>
    <w:p>
      <w:pPr>
        <w:pStyle w:val="ListParagraph"/>
        <w:numPr>
          <w:ilvl w:val="0"/>
          <w:numId w:val="3"/>
        </w:numPr>
        <w:spacing w:lineRule="auto" w:line="240"/>
        <w:ind w:left="993" w:right="0" w:hanging="633"/>
        <w:rPr>
          <w:color w:val="auto"/>
        </w:rPr>
      </w:pPr>
      <w:r>
        <w:rPr>
          <w:color w:val="auto"/>
        </w:rPr>
        <w:t xml:space="preserve">Ensure the services delivered internally and externally are inclusive and accessible, integrated with the service. </w:t>
      </w:r>
    </w:p>
    <w:p>
      <w:pPr>
        <w:pStyle w:val="ListParagraph"/>
        <w:numPr>
          <w:ilvl w:val="0"/>
          <w:numId w:val="3"/>
        </w:numPr>
        <w:spacing w:lineRule="auto" w:line="240"/>
        <w:ind w:left="993" w:right="0" w:hanging="633"/>
        <w:rPr>
          <w:rFonts w:cs="Arial"/>
          <w:color w:val="auto"/>
        </w:rPr>
      </w:pPr>
      <w:r>
        <w:rPr>
          <w:rFonts w:cs="Arial"/>
          <w:color w:val="auto"/>
        </w:rPr>
        <w:t xml:space="preserve">To align work area to the Sustainability Strategy and ensure work practices are inclusive of these values and strategic intent. </w:t>
      </w:r>
    </w:p>
    <w:p>
      <w:pPr>
        <w:pStyle w:val="ListParagraph"/>
        <w:numPr>
          <w:ilvl w:val="0"/>
          <w:numId w:val="3"/>
        </w:numPr>
        <w:spacing w:lineRule="auto" w:line="240"/>
        <w:ind w:left="993" w:right="0" w:hanging="633"/>
        <w:rPr/>
      </w:pPr>
      <w:r>
        <w:rPr/>
        <w:t xml:space="preserve">Provide solution options to complex problems and develop robust business cases to support all change activities to drive timely decision-making. </w:t>
      </w:r>
    </w:p>
    <w:p>
      <w:pPr>
        <w:pStyle w:val="Heading2"/>
        <w:shd w:fill="004F6E" w:val="clear"/>
        <w:rPr>
          <w:rFonts w:cs="Arial"/>
          <w:sz w:val="24"/>
          <w:szCs w:val="24"/>
        </w:rPr>
      </w:pPr>
      <w:r>
        <w:rPr>
          <w:rFonts w:cs="Arial"/>
          <w:sz w:val="24"/>
          <w:szCs w:val="24"/>
        </w:rPr>
        <w:t>Knowledge, Skills, and Experience</w:t>
      </w:r>
    </w:p>
    <w:p>
      <w:pPr>
        <w:pStyle w:val="Heading3"/>
        <w:rPr>
          <w:rFonts w:cs="Arial"/>
          <w:sz w:val="24"/>
        </w:rPr>
      </w:pPr>
      <w:r>
        <w:rPr>
          <w:rFonts w:cs="Arial"/>
          <w:sz w:val="24"/>
        </w:rPr>
        <w:t>Knowledge &amp; Experience</w:t>
      </w:r>
    </w:p>
    <w:p>
      <w:pPr>
        <w:pStyle w:val="Heading3"/>
        <w:numPr>
          <w:ilvl w:val="0"/>
          <w:numId w:val="5"/>
        </w:numPr>
        <w:spacing w:lineRule="auto" w:line="240"/>
        <w:rPr>
          <w:rFonts w:cs="Arial"/>
          <w:color w:val="auto"/>
          <w:sz w:val="24"/>
        </w:rPr>
      </w:pPr>
      <w:r>
        <w:rPr>
          <w:rFonts w:cs="Arial"/>
          <w:color w:val="auto"/>
          <w:sz w:val="24"/>
        </w:rPr>
        <w:t xml:space="preserve">Knowledge and experience of civil contingencies functions, emergency and business continuity planning, and the wider resilience agenda. </w:t>
      </w:r>
    </w:p>
    <w:p>
      <w:pPr>
        <w:pStyle w:val="Heading3"/>
        <w:numPr>
          <w:ilvl w:val="0"/>
          <w:numId w:val="5"/>
        </w:numPr>
        <w:spacing w:lineRule="auto" w:line="240"/>
        <w:rPr>
          <w:rFonts w:cs="Arial"/>
          <w:color w:val="auto"/>
          <w:sz w:val="24"/>
        </w:rPr>
      </w:pPr>
      <w:r>
        <w:rPr>
          <w:rFonts w:cs="Arial"/>
          <w:color w:val="auto"/>
          <w:sz w:val="24"/>
        </w:rPr>
        <w:t xml:space="preserve">Experience in the management and leadership of others. </w:t>
      </w:r>
    </w:p>
    <w:p>
      <w:pPr>
        <w:pStyle w:val="Heading3"/>
        <w:spacing w:lineRule="auto" w:line="240"/>
        <w:rPr/>
      </w:pPr>
      <w:r>
        <w:rPr>
          <w:rFonts w:cs="Arial"/>
          <w:sz w:val="24"/>
        </w:rPr>
        <w:t>Skills, Values</w:t>
      </w:r>
      <w:r>
        <w:rPr>
          <w:rFonts w:cs="Arial"/>
          <w:spacing w:val="-3"/>
          <w:sz w:val="24"/>
        </w:rPr>
        <w:t xml:space="preserve"> </w:t>
      </w:r>
      <w:r>
        <w:rPr>
          <w:rFonts w:cs="Arial"/>
          <w:sz w:val="24"/>
        </w:rPr>
        <w:t>&amp;</w:t>
      </w:r>
      <w:r>
        <w:rPr>
          <w:rFonts w:cs="Arial"/>
          <w:spacing w:val="-3"/>
          <w:sz w:val="24"/>
        </w:rPr>
        <w:t xml:space="preserve"> </w:t>
      </w:r>
      <w:r>
        <w:rPr>
          <w:rFonts w:cs="Arial"/>
          <w:sz w:val="24"/>
        </w:rPr>
        <w:t>Behaviours</w:t>
      </w:r>
    </w:p>
    <w:p>
      <w:pPr>
        <w:pStyle w:val="ListParagraph"/>
        <w:numPr>
          <w:ilvl w:val="0"/>
          <w:numId w:val="6"/>
        </w:numPr>
        <w:spacing w:lineRule="auto" w:line="240"/>
        <w:rPr/>
      </w:pPr>
      <w:r>
        <w:rPr/>
        <w:t xml:space="preserve">Ability to communicate equally, appropriately, and effectively with the widest range of individuals and groups across all sectors and levels of society, exhibiting integrity and creating rapport, trust, and confidence. </w:t>
      </w:r>
    </w:p>
    <w:p>
      <w:pPr>
        <w:pStyle w:val="ListParagraph"/>
        <w:numPr>
          <w:ilvl w:val="0"/>
          <w:numId w:val="6"/>
        </w:numPr>
        <w:spacing w:lineRule="auto" w:line="240"/>
        <w:rPr/>
      </w:pPr>
      <w:r>
        <w:rPr/>
        <w:t xml:space="preserve">Ability to sell ideas and concepts with the ability to articulate shared vision across a range of stakeholders and to negotiate effectively to achieve successful outcomes. </w:t>
      </w:r>
    </w:p>
    <w:p>
      <w:pPr>
        <w:pStyle w:val="ListParagraph"/>
        <w:numPr>
          <w:ilvl w:val="0"/>
          <w:numId w:val="6"/>
        </w:numPr>
        <w:spacing w:lineRule="auto" w:line="240"/>
        <w:rPr/>
      </w:pPr>
      <w:r>
        <w:rPr/>
        <w:t xml:space="preserve">Ability to build and maintain strong networks of support both internally and externally and to forge effective partnerships with external agencies, voluntary and statutory, and key stakeholders for the continuous improvement of services. </w:t>
      </w:r>
    </w:p>
    <w:p>
      <w:pPr>
        <w:pStyle w:val="ListParagraph"/>
        <w:numPr>
          <w:ilvl w:val="0"/>
          <w:numId w:val="6"/>
        </w:numPr>
        <w:spacing w:lineRule="auto" w:line="240"/>
        <w:rPr/>
      </w:pPr>
      <w:r>
        <w:rPr/>
        <w:t xml:space="preserve">Ability to harness the full commitment and responsibility of key stakeholders in delivering the vision of excellence for the city. </w:t>
      </w:r>
    </w:p>
    <w:p>
      <w:pPr>
        <w:pStyle w:val="ListParagraph"/>
        <w:numPr>
          <w:ilvl w:val="0"/>
          <w:numId w:val="6"/>
        </w:numPr>
        <w:spacing w:lineRule="auto" w:line="240"/>
        <w:rPr/>
      </w:pPr>
      <w:r>
        <w:rPr/>
        <w:t xml:space="preserve">Understanding the dynamics of conflict and how to achieve mutual agreement. </w:t>
      </w:r>
    </w:p>
    <w:p>
      <w:pPr>
        <w:pStyle w:val="ListParagraph"/>
        <w:numPr>
          <w:ilvl w:val="0"/>
          <w:numId w:val="6"/>
        </w:numPr>
        <w:spacing w:lineRule="auto" w:line="240"/>
        <w:rPr/>
      </w:pPr>
      <w:r>
        <w:rPr/>
        <w:t xml:space="preserve">Demonstrate the ability to apply analytical and logical thinking to gathering and analysing information, designing, and testing solutions to problems, and formulating plans. </w:t>
      </w:r>
    </w:p>
    <w:p>
      <w:pPr>
        <w:pStyle w:val="ListParagraph"/>
        <w:numPr>
          <w:ilvl w:val="0"/>
          <w:numId w:val="6"/>
        </w:numPr>
        <w:spacing w:lineRule="auto" w:line="240"/>
        <w:rPr/>
      </w:pPr>
      <w:r>
        <w:rPr/>
        <w:t>Ability to turn strategic ideas and objectives into practical, well organised plans.</w:t>
      </w:r>
    </w:p>
    <w:p>
      <w:pPr>
        <w:pStyle w:val="ListParagraph"/>
        <w:numPr>
          <w:ilvl w:val="0"/>
          <w:numId w:val="6"/>
        </w:numPr>
        <w:spacing w:lineRule="auto" w:line="240"/>
        <w:rPr/>
      </w:pPr>
      <w:r>
        <w:rPr/>
        <w:t xml:space="preserve">Think creatively to plan and examine potential business processes and operating models and to develop a range of creative and original solutions that meet the strategic needs of the business. </w:t>
      </w:r>
    </w:p>
    <w:p>
      <w:pPr>
        <w:pStyle w:val="ListParagraph"/>
        <w:numPr>
          <w:ilvl w:val="0"/>
          <w:numId w:val="6"/>
        </w:numPr>
        <w:spacing w:lineRule="auto" w:line="240"/>
        <w:rPr/>
      </w:pPr>
      <w:r>
        <w:rPr/>
        <w:t xml:space="preserve">Ability to analyse and present evidenced based information from a variety of different sources, often conflicting, using established research methodology. </w:t>
      </w:r>
    </w:p>
    <w:p>
      <w:pPr>
        <w:pStyle w:val="ListParagraph"/>
        <w:numPr>
          <w:ilvl w:val="0"/>
          <w:numId w:val="6"/>
        </w:numPr>
        <w:spacing w:lineRule="auto" w:line="240"/>
        <w:rPr/>
      </w:pPr>
      <w:r>
        <w:rPr/>
        <w:t xml:space="preserve">Ability to proactively predict future trends and challenges and to develop policies that are future-proofed whilst at the same time being flexible yet articulate. </w:t>
      </w:r>
    </w:p>
    <w:p>
      <w:pPr>
        <w:pStyle w:val="ListParagraph"/>
        <w:numPr>
          <w:ilvl w:val="0"/>
          <w:numId w:val="6"/>
        </w:numPr>
        <w:spacing w:lineRule="auto" w:line="240"/>
        <w:rPr/>
      </w:pPr>
      <w:r>
        <w:rPr/>
        <w:t>Ability to demonstrate how policy options deliver or align with wider political objectives at a national, regional and sub-regional level.</w:t>
      </w:r>
    </w:p>
    <w:p>
      <w:pPr>
        <w:pStyle w:val="ListParagraph"/>
        <w:numPr>
          <w:ilvl w:val="0"/>
          <w:numId w:val="6"/>
        </w:numPr>
        <w:spacing w:lineRule="auto" w:line="240"/>
        <w:rPr/>
      </w:pPr>
      <w:r>
        <w:rPr/>
        <w:t xml:space="preserve">Ability to identify, investigate and engineer connections with other policy programmes. </w:t>
      </w:r>
    </w:p>
    <w:p>
      <w:pPr>
        <w:pStyle w:val="ListParagraph"/>
        <w:numPr>
          <w:ilvl w:val="0"/>
          <w:numId w:val="6"/>
        </w:numPr>
        <w:spacing w:lineRule="auto" w:line="240"/>
        <w:rPr/>
      </w:pPr>
      <w:r>
        <w:rPr/>
        <w:t xml:space="preserve">Ability to represent the organisation at a senior level in financial, commercial and general management relationships with other organisations in both public and private sectors. </w:t>
      </w:r>
    </w:p>
    <w:p>
      <w:pPr>
        <w:pStyle w:val="NoSpacing"/>
        <w:rPr>
          <w:rFonts w:ascii="Arial" w:hAnsi="Arial" w:cs="Arial"/>
          <w:b/>
          <w:b/>
          <w:bCs/>
        </w:rPr>
      </w:pPr>
      <w:r>
        <w:rPr>
          <w:rFonts w:cs="Arial" w:ascii="Arial" w:hAnsi="Arial"/>
          <w:b/>
          <w:bCs/>
        </w:rPr>
        <w:t>Mandatory requirements</w:t>
      </w:r>
    </w:p>
    <w:p>
      <w:pPr>
        <w:pStyle w:val="NoSpacing"/>
        <w:rPr>
          <w:rFonts w:ascii="Arial" w:hAnsi="Arial" w:cs="Arial"/>
        </w:rPr>
      </w:pPr>
      <w:r>
        <w:rPr>
          <w:rFonts w:cs="Arial" w:ascii="Arial" w:hAnsi="Arial"/>
        </w:rPr>
      </w:r>
    </w:p>
    <w:p>
      <w:pPr>
        <w:pStyle w:val="ListParagraph"/>
        <w:numPr>
          <w:ilvl w:val="0"/>
          <w:numId w:val="6"/>
        </w:numPr>
        <w:spacing w:lineRule="auto" w:line="240"/>
        <w:rPr/>
      </w:pPr>
      <w:r>
        <w:rPr>
          <w:rFonts w:cs="Arial"/>
          <w:color w:val="000000"/>
        </w:rPr>
        <w:t xml:space="preserve">The post holder will be required to work flexibly to meet the needs of the service and </w:t>
      </w:r>
      <w:r>
        <w:rPr/>
        <w:t xml:space="preserve">commit to be a member of GMRU’s on-call rota, providing 365/24/7 expert support to the 10 Greater Manchester local authorities in their response to emergencies. The post holder will be compensated for on-call hours worked. </w:t>
      </w:r>
    </w:p>
    <w:p>
      <w:pPr>
        <w:pStyle w:val="ListParagraph"/>
        <w:numPr>
          <w:ilvl w:val="0"/>
          <w:numId w:val="6"/>
        </w:numPr>
        <w:spacing w:lineRule="auto" w:line="240"/>
        <w:rPr/>
      </w:pPr>
      <w:r>
        <w:rPr/>
        <w:t>The post holder must successfully undertake police security clearance through Greater Manchester Police.</w:t>
      </w:r>
    </w:p>
    <w:p>
      <w:pPr>
        <w:pStyle w:val="ListParagraph"/>
        <w:numPr>
          <w:ilvl w:val="0"/>
          <w:numId w:val="6"/>
        </w:numPr>
        <w:spacing w:lineRule="auto" w:line="240"/>
        <w:rPr>
          <w:rFonts w:cs="Arial"/>
        </w:rPr>
      </w:pPr>
      <w:r>
        <w:rPr>
          <w:rFonts w:cs="Arial"/>
        </w:rPr>
        <w:t>At time of appointment hold a full driving license and have access to a vehicle for business use for which casual car user allowance will be paid.</w:t>
      </w:r>
    </w:p>
    <w:p>
      <w:pPr>
        <w:pStyle w:val="ListParagraph"/>
        <w:numPr>
          <w:ilvl w:val="0"/>
          <w:numId w:val="6"/>
        </w:numPr>
        <w:spacing w:lineRule="auto" w:line="240"/>
        <w:rPr>
          <w:rFonts w:cs="Arial"/>
        </w:rPr>
      </w:pPr>
      <w:r>
        <w:rPr>
          <w:rFonts w:cs="Arial"/>
        </w:rPr>
        <w:t>Be prepared to travel across Greater Manchester, and outside of Greater Manchester if business needs require.</w:t>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b/>
          <w:bCs/>
          <w:i/>
          <w:iCs/>
          <w:sz w:val="20"/>
          <w:szCs w:val="20"/>
        </w:rPr>
        <w:t>Equal Opportunities</w:t>
      </w:r>
      <w:r>
        <w:rPr>
          <w:rFonts w:cs="Arial"/>
          <w:i/>
          <w:iCs/>
          <w:sz w:val="20"/>
          <w:szCs w:val="20"/>
        </w:rPr>
        <w:t xml:space="preserve">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p>
    <w:sectPr>
      <w:headerReference w:type="default" r:id="rId2"/>
      <w:headerReference w:type="first" r:id="rId3"/>
      <w:type w:val="nextPage"/>
      <w:pgSz w:w="11906" w:h="16850"/>
      <w:pgMar w:left="1276" w:right="1410" w:header="709" w:top="1560" w:footer="0" w:bottom="993"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6" w:hanging="360"/>
      </w:pPr>
      <w:rPr>
        <w:rFonts w:ascii="Symbol" w:hAnsi="Symbol" w:cs="Symbol" w:hint="default"/>
        <w:rFonts w:cs="Symbol"/>
      </w:rPr>
    </w:lvl>
    <w:lvl w:ilvl="1">
      <w:start w:val="1"/>
      <w:numFmt w:val="bullet"/>
      <w:lvlText w:val="o"/>
      <w:lvlJc w:val="left"/>
      <w:pPr>
        <w:ind w:left="1446" w:hanging="360"/>
      </w:pPr>
      <w:rPr>
        <w:rFonts w:ascii="Courier New" w:hAnsi="Courier New" w:cs="Courier New" w:hint="default"/>
        <w:rFonts w:cs="Courier New"/>
      </w:rPr>
    </w:lvl>
    <w:lvl w:ilvl="2">
      <w:start w:val="1"/>
      <w:numFmt w:val="bullet"/>
      <w:lvlText w:val=""/>
      <w:lvlJc w:val="left"/>
      <w:pPr>
        <w:ind w:left="2166" w:hanging="360"/>
      </w:pPr>
      <w:rPr>
        <w:rFonts w:ascii="Wingdings" w:hAnsi="Wingdings" w:cs="Wingdings" w:hint="default"/>
        <w:rFonts w:cs="Wingdings"/>
      </w:rPr>
    </w:lvl>
    <w:lvl w:ilvl="3">
      <w:start w:val="1"/>
      <w:numFmt w:val="bullet"/>
      <w:lvlText w:val=""/>
      <w:lvlJc w:val="left"/>
      <w:pPr>
        <w:ind w:left="2886" w:hanging="360"/>
      </w:pPr>
      <w:rPr>
        <w:rFonts w:ascii="Symbol" w:hAnsi="Symbol" w:cs="Symbol" w:hint="default"/>
        <w:rFonts w:cs="Symbol"/>
      </w:rPr>
    </w:lvl>
    <w:lvl w:ilvl="4">
      <w:start w:val="1"/>
      <w:numFmt w:val="bullet"/>
      <w:lvlText w:val="o"/>
      <w:lvlJc w:val="left"/>
      <w:pPr>
        <w:ind w:left="3606" w:hanging="360"/>
      </w:pPr>
      <w:rPr>
        <w:rFonts w:ascii="Courier New" w:hAnsi="Courier New" w:cs="Courier New" w:hint="default"/>
        <w:rFonts w:cs="Courier New"/>
      </w:rPr>
    </w:lvl>
    <w:lvl w:ilvl="5">
      <w:start w:val="1"/>
      <w:numFmt w:val="bullet"/>
      <w:lvlText w:val=""/>
      <w:lvlJc w:val="left"/>
      <w:pPr>
        <w:ind w:left="4326" w:hanging="360"/>
      </w:pPr>
      <w:rPr>
        <w:rFonts w:ascii="Wingdings" w:hAnsi="Wingdings" w:cs="Wingdings" w:hint="default"/>
        <w:rFonts w:cs="Wingdings"/>
      </w:rPr>
    </w:lvl>
    <w:lvl w:ilvl="6">
      <w:start w:val="1"/>
      <w:numFmt w:val="bullet"/>
      <w:lvlText w:val=""/>
      <w:lvlJc w:val="left"/>
      <w:pPr>
        <w:ind w:left="5046" w:hanging="360"/>
      </w:pPr>
      <w:rPr>
        <w:rFonts w:ascii="Symbol" w:hAnsi="Symbol" w:cs="Symbol" w:hint="default"/>
        <w:rFonts w:cs="Symbol"/>
      </w:rPr>
    </w:lvl>
    <w:lvl w:ilvl="7">
      <w:start w:val="1"/>
      <w:numFmt w:val="bullet"/>
      <w:lvlText w:val="o"/>
      <w:lvlJc w:val="left"/>
      <w:pPr>
        <w:ind w:left="5766" w:hanging="360"/>
      </w:pPr>
      <w:rPr>
        <w:rFonts w:ascii="Courier New" w:hAnsi="Courier New" w:cs="Courier New" w:hint="default"/>
        <w:rFonts w:cs="Courier New"/>
      </w:rPr>
    </w:lvl>
    <w:lvl w:ilvl="8">
      <w:start w:val="1"/>
      <w:numFmt w:val="bullet"/>
      <w:lvlText w:val=""/>
      <w:lvlJc w:val="left"/>
      <w:pPr>
        <w:ind w:left="6486"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character" w:styleId="ListParagraphChar">
    <w:name w:val="List Paragraph Char"/>
    <w:qFormat/>
    <w:rPr>
      <w:rFonts w:ascii="Arial" w:hAnsi="Arial" w:eastAsia="Calibri" w:cs="Calibri"/>
      <w:color w:val="262626"/>
      <w:sz w:val="24"/>
      <w:lang w:val="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ind w:left="993" w:right="0" w:hanging="633"/>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NoSpacing">
    <w:name w:val="No Spacing"/>
    <w:qFormat/>
    <w:pPr>
      <w:widowControl/>
      <w:pBdr/>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2026-07-20T08:31:00Z</dcterms:created>
  <dc:creator>Caddy-Dale, Anna (Manchester Growth Company)</dc:creator>
  <dc:description/>
  <dc:language>en-US</dc:language>
  <cp:lastModifiedBy>Bradshaw, Peter</cp:lastModifiedBy>
  <cp:lastPrinted>1995-11-21T17:41:00Z</cp:lastPrinted>
  <dcterms:modified xsi:type="dcterms:W3CDTF">2026-07-20T08:31:00Z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0x01010043A8821AA2465645A420D7F48DE1C116</vt:lpwstr>
  </property>
  <property fmtid="{D5CDD505-2E9C-101B-9397-08002B2CF9AE}" pid="4" name="Created">
    <vt:filetime>2018-12-06T00:00:00Z</vt:filetime>
  </property>
  <property fmtid="{D5CDD505-2E9C-101B-9397-08002B2CF9AE}" pid="5" name="Creator">
    <vt:lpwstr>Microsoft® Word 2016</vt:lpwstr>
  </property>
  <property fmtid="{D5CDD505-2E9C-101B-9397-08002B2CF9AE}" pid="6" name="DocSecurity">
    <vt:i4>4</vt:i4>
  </property>
  <property fmtid="{D5CDD505-2E9C-101B-9397-08002B2CF9AE}" pid="7" name="HyperlinksChanged">
    <vt:bool>0</vt:bool>
  </property>
  <property fmtid="{D5CDD505-2E9C-101B-9397-08002B2CF9AE}" pid="8" name="LastSaved">
    <vt:filetime>2021-02-17T00:00:00Z</vt:filetime>
  </property>
  <property fmtid="{D5CDD505-2E9C-101B-9397-08002B2CF9AE}" pid="9" name="LinksUpToDate">
    <vt:bool>0</vt:bool>
  </property>
  <property fmtid="{D5CDD505-2E9C-101B-9397-08002B2CF9AE}" pid="10" name="ScaleCrop">
    <vt:bool>0</vt:bool>
  </property>
  <property fmtid="{D5CDD505-2E9C-101B-9397-08002B2CF9AE}" pid="11" name="ShareDoc">
    <vt:bool>0</vt:bool>
  </property>
</Properties>
</file>