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2.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004F6E" w:val="clear"/>
        <w:rPr>
          <w:rFonts w:cs="Arial"/>
          <w:sz w:val="24"/>
          <w:szCs w:val="24"/>
        </w:rPr>
      </w:pPr>
      <w:r>
        <w:rPr>
          <w:rFonts w:cs="Arial"/>
          <w:sz w:val="24"/>
          <w:szCs w:val="24"/>
        </w:rPr>
        <w:t>Role profile</w:t>
      </w:r>
    </w:p>
    <w:p>
      <w:pPr>
        <w:pStyle w:val="ListParagraph"/>
        <w:numPr>
          <w:ilvl w:val="0"/>
          <w:numId w:val="2"/>
        </w:numPr>
        <w:rPr/>
      </w:pPr>
      <w:r>
        <w:rPr>
          <w:rFonts w:cs="Arial"/>
          <w:b/>
          <w:bCs/>
          <w:szCs w:val="24"/>
        </w:rPr>
        <w:t>Job title</w:t>
      </w:r>
      <w:r>
        <w:rPr>
          <w:rFonts w:cs="Arial"/>
          <w:szCs w:val="24"/>
        </w:rPr>
        <w:t>: Networks Engineer</w:t>
      </w:r>
    </w:p>
    <w:p>
      <w:pPr>
        <w:pStyle w:val="ListParagraph"/>
        <w:numPr>
          <w:ilvl w:val="0"/>
          <w:numId w:val="2"/>
        </w:numPr>
        <w:rPr/>
      </w:pPr>
      <w:r>
        <w:rPr>
          <w:rFonts w:cs="Arial"/>
          <w:b/>
          <w:bCs/>
          <w:szCs w:val="24"/>
        </w:rPr>
        <w:t>Grade:</w:t>
      </w:r>
      <w:r>
        <w:rPr>
          <w:rFonts w:cs="Arial"/>
          <w:szCs w:val="24"/>
        </w:rPr>
        <w:t xml:space="preserve"> 7</w:t>
      </w:r>
    </w:p>
    <w:p>
      <w:pPr>
        <w:pStyle w:val="ListParagraph"/>
        <w:numPr>
          <w:ilvl w:val="0"/>
          <w:numId w:val="2"/>
        </w:numPr>
        <w:rPr/>
      </w:pPr>
      <w:r>
        <w:rPr>
          <w:rFonts w:cs="Arial"/>
          <w:b/>
          <w:bCs/>
          <w:szCs w:val="24"/>
        </w:rPr>
        <w:t>Business area:</w:t>
      </w:r>
      <w:r>
        <w:rPr>
          <w:rFonts w:cs="Arial"/>
          <w:szCs w:val="24"/>
        </w:rPr>
        <w:t xml:space="preserve"> Digital Services</w:t>
      </w:r>
    </w:p>
    <w:p>
      <w:pPr>
        <w:pStyle w:val="ListParagraph"/>
        <w:numPr>
          <w:ilvl w:val="0"/>
          <w:numId w:val="2"/>
        </w:numPr>
        <w:rPr/>
      </w:pPr>
      <w:r>
        <w:rPr>
          <w:rFonts w:cs="Arial"/>
          <w:b/>
          <w:bCs/>
          <w:szCs w:val="24"/>
        </w:rPr>
        <w:t>Reporting line:</w:t>
      </w:r>
      <w:r>
        <w:rPr>
          <w:rFonts w:cs="Arial"/>
          <w:szCs w:val="24"/>
        </w:rPr>
        <w:t xml:space="preserve"> Fabio Correia (Senior Networks Engineer)</w:t>
      </w:r>
    </w:p>
    <w:p>
      <w:pPr>
        <w:pStyle w:val="ListParagraph"/>
        <w:numPr>
          <w:ilvl w:val="0"/>
          <w:numId w:val="2"/>
        </w:numPr>
        <w:rPr/>
      </w:pPr>
      <w:r>
        <w:rPr>
          <w:rFonts w:cs="Arial"/>
          <w:b/>
          <w:bCs/>
          <w:szCs w:val="24"/>
        </w:rPr>
        <w:t>Team:</w:t>
      </w:r>
      <w:r>
        <w:rPr>
          <w:rFonts w:cs="Arial"/>
          <w:szCs w:val="24"/>
        </w:rPr>
        <w:t xml:space="preserve"> Networks</w:t>
      </w:r>
    </w:p>
    <w:p>
      <w:pPr>
        <w:pStyle w:val="Heading2"/>
        <w:shd w:fill="004F6E" w:val="clear"/>
        <w:rPr>
          <w:rFonts w:cs="Arial"/>
          <w:sz w:val="24"/>
          <w:szCs w:val="24"/>
        </w:rPr>
      </w:pPr>
      <w:r>
        <w:rPr>
          <w:rFonts w:cs="Arial"/>
          <w:sz w:val="24"/>
          <w:szCs w:val="24"/>
        </w:rPr>
        <w:t>Job Purpose</w:t>
      </w:r>
    </w:p>
    <w:p>
      <w:pPr>
        <w:pStyle w:val="Normal"/>
        <w:spacing w:lineRule="auto" w:line="240"/>
        <w:rPr>
          <w:rFonts w:cs="Arial"/>
          <w:color w:val="auto"/>
          <w:szCs w:val="24"/>
        </w:rPr>
      </w:pPr>
      <w:r>
        <w:rPr>
          <w:rFonts w:cs="Arial"/>
          <w:color w:val="auto"/>
          <w:szCs w:val="24"/>
        </w:rPr>
        <w:t>To support the provision, maintenance and development of ICT network and communications services that meet the current and future needs of the organisation. Contributing to the delivery of secure, resilient and cost-effective digital services that support operational and organisational objectives.</w:t>
      </w:r>
    </w:p>
    <w:p>
      <w:pPr>
        <w:pStyle w:val="Normal"/>
        <w:spacing w:lineRule="auto" w:line="240"/>
        <w:rPr>
          <w:rFonts w:cs="Arial"/>
          <w:color w:val="auto"/>
          <w:szCs w:val="24"/>
        </w:rPr>
      </w:pPr>
      <w:r>
        <w:rPr>
          <w:rFonts w:cs="Arial"/>
          <w:color w:val="auto"/>
          <w:szCs w:val="24"/>
        </w:rPr>
        <w:t>Working under the guidance of senior technical staff, the post holder will assist with the installation, configuration, monitoring and maintenance of network and communications infrastructure, helping to ensure high levels of availability, performance and security across GMCA, GMFRS and partner organisations.</w:t>
      </w:r>
    </w:p>
    <w:p>
      <w:pPr>
        <w:pStyle w:val="Normal"/>
        <w:spacing w:lineRule="auto" w:line="240"/>
        <w:rPr>
          <w:rFonts w:cs="Arial"/>
          <w:color w:val="auto"/>
          <w:szCs w:val="24"/>
        </w:rPr>
      </w:pPr>
      <w:r>
        <w:rPr>
          <w:rFonts w:cs="Arial"/>
          <w:color w:val="auto"/>
          <w:szCs w:val="24"/>
        </w:rPr>
        <w:t>The role will contribute to infrastructure projects, service improvements and technical support activities, supporting the implementation of network and communications technologies and ensuring services remain fit for purpose and aligned with organisational requirements.</w:t>
      </w:r>
    </w:p>
    <w:p>
      <w:pPr>
        <w:pStyle w:val="Normal"/>
        <w:spacing w:lineRule="auto" w:line="240"/>
        <w:rPr>
          <w:rFonts w:cs="Arial"/>
          <w:color w:val="auto"/>
          <w:szCs w:val="24"/>
        </w:rPr>
      </w:pPr>
      <w:r>
        <w:rPr>
          <w:rFonts w:cs="Arial"/>
          <w:color w:val="auto"/>
          <w:szCs w:val="24"/>
        </w:rPr>
        <w:t>Support the Senior Networks Engineer and wider Digital Services management team in delivering team objectives and operational requirements. Contribute to team activities and service delivery, providing support in areas such as workload planning, knowledge sharing, mentoring, and the coordination of tasks and activities within both directly managed and matrix-managed teams as required.</w:t>
      </w:r>
    </w:p>
    <w:p>
      <w:pPr>
        <w:pStyle w:val="Normal"/>
        <w:spacing w:before="0" w:after="0"/>
        <w:ind w:left="993" w:right="0" w:hanging="633"/>
        <w:rPr>
          <w:rFonts w:cs="Arial"/>
          <w:color w:val="auto"/>
          <w:szCs w:val="24"/>
        </w:rPr>
      </w:pPr>
      <w:r>
        <w:rPr>
          <w:rFonts w:cs="Arial"/>
          <w:color w:val="auto"/>
          <w:szCs w:val="24"/>
        </w:rPr>
        <w:t>Provides technical support for:</w:t>
      </w:r>
    </w:p>
    <w:p>
      <w:pPr>
        <w:pStyle w:val="ListParagraph"/>
        <w:numPr>
          <w:ilvl w:val="0"/>
          <w:numId w:val="2"/>
        </w:numPr>
        <w:spacing w:lineRule="auto" w:line="240" w:before="0" w:after="0"/>
        <w:ind w:left="714" w:right="0" w:hanging="357"/>
        <w:rPr>
          <w:rFonts w:cs="Arial"/>
          <w:color w:val="auto"/>
          <w:szCs w:val="24"/>
        </w:rPr>
      </w:pPr>
      <w:r>
        <w:rPr>
          <w:rFonts w:cs="Arial"/>
          <w:color w:val="auto"/>
          <w:szCs w:val="24"/>
        </w:rPr>
        <w:t xml:space="preserve">GMCA Local Area Network (LAN) and Wide Area Network (WAN) Infrastructure </w:t>
      </w:r>
    </w:p>
    <w:p>
      <w:pPr>
        <w:pStyle w:val="ListParagraph"/>
        <w:numPr>
          <w:ilvl w:val="0"/>
          <w:numId w:val="2"/>
        </w:numPr>
        <w:spacing w:lineRule="auto" w:line="240" w:before="0" w:after="0"/>
        <w:ind w:left="714" w:right="0" w:hanging="357"/>
        <w:rPr>
          <w:rFonts w:cs="Arial"/>
          <w:color w:val="auto"/>
          <w:szCs w:val="24"/>
        </w:rPr>
      </w:pPr>
      <w:r>
        <w:rPr>
          <w:rFonts w:cs="Arial"/>
          <w:color w:val="auto"/>
          <w:szCs w:val="24"/>
        </w:rPr>
        <w:t xml:space="preserve">Network Security Systems including Firewalls, VPNs and Internet Connectivity Services </w:t>
      </w:r>
    </w:p>
    <w:p>
      <w:pPr>
        <w:pStyle w:val="ListParagraph"/>
        <w:numPr>
          <w:ilvl w:val="0"/>
          <w:numId w:val="2"/>
        </w:numPr>
        <w:spacing w:lineRule="auto" w:line="240" w:before="0" w:after="0"/>
        <w:ind w:left="714" w:right="0" w:hanging="357"/>
        <w:rPr>
          <w:rFonts w:cs="Arial"/>
          <w:color w:val="auto"/>
          <w:szCs w:val="24"/>
        </w:rPr>
      </w:pPr>
      <w:r>
        <w:rPr>
          <w:rFonts w:cs="Arial"/>
          <w:color w:val="auto"/>
          <w:szCs w:val="24"/>
        </w:rPr>
        <w:t xml:space="preserve">Wireless Network Infrastructure and Associated Management Platforms </w:t>
      </w:r>
    </w:p>
    <w:p>
      <w:pPr>
        <w:pStyle w:val="ListParagraph"/>
        <w:numPr>
          <w:ilvl w:val="0"/>
          <w:numId w:val="2"/>
        </w:numPr>
        <w:spacing w:lineRule="auto" w:line="240" w:before="0" w:after="0"/>
        <w:ind w:left="714" w:right="0" w:hanging="357"/>
        <w:rPr>
          <w:rFonts w:cs="Arial"/>
          <w:color w:val="auto"/>
          <w:szCs w:val="24"/>
        </w:rPr>
      </w:pPr>
      <w:r>
        <w:rPr>
          <w:rFonts w:cs="Arial"/>
          <w:color w:val="auto"/>
          <w:szCs w:val="24"/>
        </w:rPr>
        <w:t xml:space="preserve">Network Monitoring, Management and Reporting Systems </w:t>
      </w:r>
    </w:p>
    <w:p>
      <w:pPr>
        <w:pStyle w:val="ListParagraph"/>
        <w:numPr>
          <w:ilvl w:val="0"/>
          <w:numId w:val="2"/>
        </w:numPr>
        <w:spacing w:lineRule="auto" w:line="240" w:before="0" w:after="0"/>
        <w:ind w:left="714" w:right="0" w:hanging="357"/>
        <w:rPr>
          <w:rFonts w:cs="Arial"/>
          <w:color w:val="auto"/>
          <w:szCs w:val="24"/>
        </w:rPr>
      </w:pPr>
      <w:r>
        <w:rPr>
          <w:rFonts w:cs="Arial"/>
          <w:color w:val="auto"/>
          <w:szCs w:val="24"/>
        </w:rPr>
        <w:t xml:space="preserve">Network Infrastructure supporting GMCA, GMFRS, NWFC and Partner Organisations </w:t>
      </w:r>
    </w:p>
    <w:p>
      <w:pPr>
        <w:pStyle w:val="ListParagraph"/>
        <w:numPr>
          <w:ilvl w:val="0"/>
          <w:numId w:val="2"/>
        </w:numPr>
        <w:spacing w:lineRule="auto" w:line="240" w:before="0" w:after="0"/>
        <w:ind w:left="714" w:right="0" w:hanging="357"/>
        <w:rPr>
          <w:rFonts w:cs="Arial"/>
          <w:color w:val="auto"/>
          <w:szCs w:val="24"/>
        </w:rPr>
      </w:pPr>
      <w:r>
        <w:rPr>
          <w:rFonts w:cs="Arial"/>
          <w:color w:val="auto"/>
          <w:szCs w:val="24"/>
        </w:rPr>
        <w:t xml:space="preserve">Datacentre, Server Room and Supporting Communications Infrastructure </w:t>
      </w:r>
    </w:p>
    <w:p>
      <w:pPr>
        <w:pStyle w:val="ListParagraph"/>
        <w:numPr>
          <w:ilvl w:val="0"/>
          <w:numId w:val="2"/>
        </w:numPr>
        <w:spacing w:lineRule="auto" w:line="240" w:before="0" w:after="0"/>
        <w:ind w:left="714" w:right="0" w:hanging="357"/>
        <w:rPr>
          <w:rFonts w:cs="Arial"/>
          <w:color w:val="auto"/>
          <w:szCs w:val="24"/>
        </w:rPr>
      </w:pPr>
      <w:r>
        <w:rPr>
          <w:rFonts w:cs="Arial"/>
          <w:color w:val="auto"/>
          <w:szCs w:val="24"/>
        </w:rPr>
        <w:t xml:space="preserve">Cloud-based Networking and Connectivity Services where applicable </w:t>
      </w:r>
    </w:p>
    <w:p>
      <w:pPr>
        <w:pStyle w:val="ListParagraph"/>
        <w:numPr>
          <w:ilvl w:val="0"/>
          <w:numId w:val="0"/>
        </w:numPr>
        <w:spacing w:lineRule="auto" w:line="240" w:before="0" w:after="0"/>
        <w:ind w:left="714" w:right="0" w:hanging="0"/>
        <w:rPr>
          <w:rFonts w:cs="Arial"/>
          <w:color w:val="auto"/>
          <w:szCs w:val="24"/>
        </w:rPr>
      </w:pPr>
      <w:r>
        <w:rPr>
          <w:rFonts w:cs="Arial"/>
          <w:color w:val="auto"/>
          <w:szCs w:val="24"/>
        </w:rPr>
      </w:r>
    </w:p>
    <w:p>
      <w:pPr>
        <w:pStyle w:val="Heading2"/>
        <w:shd w:fill="004F6E" w:val="clear"/>
        <w:rPr>
          <w:rFonts w:cs="Arial"/>
          <w:sz w:val="24"/>
          <w:szCs w:val="24"/>
        </w:rPr>
      </w:pPr>
      <w:r>
        <w:rPr>
          <w:rFonts w:cs="Arial"/>
          <w:sz w:val="24"/>
          <w:szCs w:val="24"/>
        </w:rPr>
        <w:t>Key working relationships</w:t>
      </w:r>
    </w:p>
    <w:p>
      <w:pPr>
        <w:pStyle w:val="ListParagraph"/>
        <w:widowControl/>
        <w:numPr>
          <w:ilvl w:val="0"/>
          <w:numId w:val="4"/>
        </w:numPr>
        <w:spacing w:lineRule="auto" w:line="240" w:before="0" w:after="0"/>
        <w:ind w:left="458" w:right="261" w:hanging="360"/>
        <w:rPr>
          <w:color w:val="auto"/>
        </w:rPr>
      </w:pPr>
      <w:r>
        <w:rPr>
          <w:color w:val="auto"/>
        </w:rPr>
        <w:t>Digital Services Team Leaders</w:t>
      </w:r>
    </w:p>
    <w:p>
      <w:pPr>
        <w:pStyle w:val="ListParagraph"/>
        <w:widowControl/>
        <w:numPr>
          <w:ilvl w:val="0"/>
          <w:numId w:val="4"/>
        </w:numPr>
        <w:spacing w:lineRule="auto" w:line="240" w:before="0" w:after="0"/>
        <w:ind w:left="458" w:right="261" w:hanging="360"/>
        <w:rPr>
          <w:color w:val="auto"/>
        </w:rPr>
      </w:pPr>
      <w:r>
        <w:rPr>
          <w:color w:val="auto"/>
        </w:rPr>
        <w:t>Digital Services Management</w:t>
      </w:r>
    </w:p>
    <w:p>
      <w:pPr>
        <w:pStyle w:val="ListParagraph"/>
        <w:widowControl/>
        <w:numPr>
          <w:ilvl w:val="0"/>
          <w:numId w:val="4"/>
        </w:numPr>
        <w:spacing w:lineRule="auto" w:line="240" w:before="0" w:after="0"/>
        <w:ind w:left="458" w:right="261" w:hanging="360"/>
        <w:rPr>
          <w:color w:val="auto"/>
        </w:rPr>
      </w:pPr>
      <w:r>
        <w:rPr>
          <w:color w:val="auto"/>
        </w:rPr>
        <w:t>Head of Data and Enterprise Architecture</w:t>
      </w:r>
    </w:p>
    <w:p>
      <w:pPr>
        <w:pStyle w:val="ListParagraph"/>
        <w:widowControl/>
        <w:numPr>
          <w:ilvl w:val="0"/>
          <w:numId w:val="4"/>
        </w:numPr>
        <w:spacing w:lineRule="auto" w:line="240" w:before="0" w:after="0"/>
        <w:ind w:left="458" w:right="261" w:hanging="360"/>
        <w:rPr>
          <w:color w:val="auto"/>
        </w:rPr>
      </w:pPr>
      <w:r>
        <w:rPr>
          <w:color w:val="auto"/>
        </w:rPr>
        <w:t>Technical Architect</w:t>
      </w:r>
    </w:p>
    <w:p>
      <w:pPr>
        <w:pStyle w:val="ListParagraph"/>
        <w:widowControl/>
        <w:numPr>
          <w:ilvl w:val="0"/>
          <w:numId w:val="4"/>
        </w:numPr>
        <w:spacing w:lineRule="auto" w:line="240" w:before="0" w:after="0"/>
        <w:ind w:left="458" w:right="261" w:hanging="360"/>
        <w:rPr>
          <w:color w:val="auto"/>
        </w:rPr>
      </w:pPr>
      <w:r>
        <w:rPr>
          <w:color w:val="auto"/>
        </w:rPr>
        <w:t>Procurement and Finance Services</w:t>
      </w:r>
    </w:p>
    <w:p>
      <w:pPr>
        <w:pStyle w:val="ListParagraph"/>
        <w:widowControl/>
        <w:numPr>
          <w:ilvl w:val="0"/>
          <w:numId w:val="4"/>
        </w:numPr>
        <w:spacing w:lineRule="auto" w:line="240" w:before="0" w:after="0"/>
        <w:ind w:left="458" w:right="261" w:hanging="360"/>
        <w:rPr>
          <w:color w:val="auto"/>
        </w:rPr>
      </w:pPr>
      <w:r>
        <w:rPr>
          <w:color w:val="auto"/>
        </w:rPr>
        <w:t>Suppliers</w:t>
      </w:r>
    </w:p>
    <w:p>
      <w:pPr>
        <w:pStyle w:val="ListParagraph"/>
        <w:widowControl/>
        <w:numPr>
          <w:ilvl w:val="0"/>
          <w:numId w:val="4"/>
        </w:numPr>
        <w:spacing w:lineRule="auto" w:line="240" w:before="0" w:after="0"/>
        <w:ind w:left="458" w:right="261" w:hanging="360"/>
        <w:rPr>
          <w:color w:val="auto"/>
        </w:rPr>
      </w:pPr>
      <w:r>
        <w:rPr>
          <w:color w:val="auto"/>
        </w:rPr>
        <w:t>Customers/users within GMCA</w:t>
      </w:r>
    </w:p>
    <w:p>
      <w:pPr>
        <w:pStyle w:val="Heading2"/>
        <w:shd w:fill="004F6E" w:val="clear"/>
        <w:rPr>
          <w:rFonts w:cs="Arial"/>
          <w:sz w:val="24"/>
          <w:szCs w:val="24"/>
        </w:rPr>
      </w:pPr>
      <w:r>
        <w:rPr>
          <w:rFonts w:cs="Arial"/>
          <w:sz w:val="24"/>
          <w:szCs w:val="24"/>
        </w:rPr>
        <w:t>Key Responsibilities</w:t>
      </w:r>
    </w:p>
    <w:p>
      <w:pPr>
        <w:pStyle w:val="ListParagraph"/>
        <w:numPr>
          <w:ilvl w:val="0"/>
          <w:numId w:val="4"/>
        </w:numPr>
        <w:spacing w:lineRule="auto" w:line="240" w:before="0" w:after="0"/>
        <w:ind w:left="357" w:right="0" w:hanging="357"/>
        <w:rPr/>
      </w:pPr>
      <w:r>
        <w:rPr/>
        <w:t xml:space="preserve">Support the delivery of high-quality network and communications services by applying specialist technical skills within the primary area of focus. </w:t>
      </w:r>
    </w:p>
    <w:p>
      <w:pPr>
        <w:pStyle w:val="ListParagraph"/>
        <w:numPr>
          <w:ilvl w:val="0"/>
          <w:numId w:val="4"/>
        </w:numPr>
        <w:spacing w:lineRule="auto" w:line="240" w:before="0" w:after="0"/>
        <w:ind w:left="357" w:right="0" w:hanging="357"/>
        <w:rPr/>
      </w:pPr>
      <w:r>
        <w:rPr/>
        <w:t xml:space="preserve">Support the implementation of network infrastructure solutions, contributing technical expertise to ensure solutions meet organisational requirements. </w:t>
      </w:r>
    </w:p>
    <w:p>
      <w:pPr>
        <w:pStyle w:val="ListParagraph"/>
        <w:numPr>
          <w:ilvl w:val="0"/>
          <w:numId w:val="4"/>
        </w:numPr>
        <w:spacing w:lineRule="auto" w:line="240" w:before="0" w:after="0"/>
        <w:ind w:left="357" w:right="0" w:hanging="357"/>
        <w:rPr/>
      </w:pPr>
      <w:r>
        <w:rPr/>
        <w:t xml:space="preserve">Liaises with suppliers, contractors, service providers and other external agencies to support the implementation, maintenance and improvement of network and communications infrastructure. </w:t>
      </w:r>
    </w:p>
    <w:p>
      <w:pPr>
        <w:pStyle w:val="ListParagraph"/>
        <w:numPr>
          <w:ilvl w:val="0"/>
          <w:numId w:val="4"/>
        </w:numPr>
        <w:spacing w:lineRule="auto" w:line="240" w:before="0" w:after="0"/>
        <w:ind w:left="357" w:right="0" w:hanging="357"/>
        <w:rPr/>
      </w:pPr>
      <w:r>
        <w:rPr/>
        <w:t xml:space="preserve">Support network and infrastructure projects by providing technical input, assisting with delivery activities and contributing to project outcomes. </w:t>
      </w:r>
    </w:p>
    <w:p>
      <w:pPr>
        <w:pStyle w:val="ListParagraph"/>
        <w:numPr>
          <w:ilvl w:val="0"/>
          <w:numId w:val="4"/>
        </w:numPr>
        <w:spacing w:lineRule="auto" w:line="240" w:before="0" w:after="0"/>
        <w:ind w:left="357" w:right="0" w:hanging="357"/>
        <w:rPr/>
      </w:pPr>
      <w:r>
        <w:rPr/>
        <w:t xml:space="preserve">Support the performance, availability and security of network infrastructure through proactive monitoring, maintenance and technical troubleshooting. </w:t>
      </w:r>
    </w:p>
    <w:p>
      <w:pPr>
        <w:pStyle w:val="ListParagraph"/>
        <w:numPr>
          <w:ilvl w:val="0"/>
          <w:numId w:val="4"/>
        </w:numPr>
        <w:spacing w:lineRule="auto" w:line="240" w:before="0" w:after="0"/>
        <w:ind w:left="357" w:right="0" w:hanging="357"/>
        <w:rPr/>
      </w:pPr>
      <w:r>
        <w:rPr/>
        <w:t xml:space="preserve">Support the resolution of incidents, service requests and security alerts, applying specialist technical knowledge in accordance with service level agreements and organisational risk requirements. </w:t>
      </w:r>
    </w:p>
    <w:p>
      <w:pPr>
        <w:pStyle w:val="ListParagraph"/>
        <w:numPr>
          <w:ilvl w:val="0"/>
          <w:numId w:val="4"/>
        </w:numPr>
        <w:spacing w:lineRule="auto" w:line="240" w:before="0" w:after="0"/>
        <w:ind w:left="357" w:right="0" w:hanging="357"/>
        <w:rPr/>
      </w:pPr>
      <w:r>
        <w:rPr/>
        <w:t xml:space="preserve">Assist in the maintenance, configuration and optimisation of network infrastructure, ensuring services remain secure, resilient and fit for purpose. </w:t>
      </w:r>
    </w:p>
    <w:p>
      <w:pPr>
        <w:pStyle w:val="ListParagraph"/>
        <w:numPr>
          <w:ilvl w:val="0"/>
          <w:numId w:val="4"/>
        </w:numPr>
        <w:spacing w:lineRule="auto" w:line="240" w:before="0" w:after="0"/>
        <w:ind w:left="357" w:right="0" w:hanging="357"/>
        <w:rPr/>
      </w:pPr>
      <w:r>
        <w:rPr/>
        <w:t xml:space="preserve">Support the creation and maintenance of systems documentation by contributing detailed technical content to knowledgebases, technical procedures and support documentation. </w:t>
      </w:r>
    </w:p>
    <w:p>
      <w:pPr>
        <w:pStyle w:val="ListParagraph"/>
        <w:numPr>
          <w:ilvl w:val="0"/>
          <w:numId w:val="4"/>
        </w:numPr>
        <w:spacing w:lineRule="auto" w:line="240" w:before="0" w:after="0"/>
        <w:ind w:left="357" w:right="0" w:hanging="357"/>
        <w:rPr/>
      </w:pPr>
      <w:r>
        <w:rPr/>
        <w:t xml:space="preserve">Assist with the testing and validation of Disaster Recovery and Business Continuity arrangements relating to network and communications infrastructure. </w:t>
      </w:r>
    </w:p>
    <w:p>
      <w:pPr>
        <w:pStyle w:val="ListParagraph"/>
        <w:numPr>
          <w:ilvl w:val="0"/>
          <w:numId w:val="4"/>
        </w:numPr>
        <w:spacing w:lineRule="auto" w:line="240" w:before="0" w:after="0"/>
        <w:ind w:left="357" w:right="0" w:hanging="357"/>
        <w:rPr/>
      </w:pPr>
      <w:r>
        <w:rPr/>
        <w:t xml:space="preserve">Support knowledge transfer and technical mentoring across first, second and third-line support teams. </w:t>
      </w:r>
    </w:p>
    <w:p>
      <w:pPr>
        <w:pStyle w:val="ListParagraph"/>
        <w:numPr>
          <w:ilvl w:val="0"/>
          <w:numId w:val="4"/>
        </w:numPr>
        <w:spacing w:lineRule="auto" w:line="240" w:before="0" w:after="0"/>
        <w:ind w:left="357" w:right="0" w:hanging="357"/>
        <w:rPr/>
      </w:pPr>
      <w:r>
        <w:rPr/>
        <w:t xml:space="preserve">Support engagement with internal stakeholders, partners and external organisations to identify technical requirements and provide specialist technical advice to both technical and non-technical users. </w:t>
      </w:r>
    </w:p>
    <w:p>
      <w:pPr>
        <w:pStyle w:val="ListParagraph"/>
        <w:numPr>
          <w:ilvl w:val="0"/>
          <w:numId w:val="4"/>
        </w:numPr>
        <w:spacing w:lineRule="auto" w:line="240" w:before="0" w:after="0"/>
        <w:ind w:left="357" w:right="0" w:hanging="357"/>
        <w:rPr/>
      </w:pPr>
      <w:r>
        <w:rPr/>
        <w:t xml:space="preserve">Support the implementation and maintenance of network security controls, contributing to the protection of organisational data, systems and services. </w:t>
      </w:r>
    </w:p>
    <w:p>
      <w:pPr>
        <w:pStyle w:val="ListParagraph"/>
        <w:numPr>
          <w:ilvl w:val="0"/>
          <w:numId w:val="4"/>
        </w:numPr>
        <w:spacing w:lineRule="auto" w:line="240" w:before="0" w:after="0"/>
        <w:ind w:left="357" w:right="0" w:hanging="357"/>
        <w:rPr/>
      </w:pPr>
      <w:r>
        <w:rPr/>
        <w:t xml:space="preserve">Contributes to the evaluation of new and emerging technologies and assists in identifying opportunities for service improvement and operational efficiencies. </w:t>
      </w:r>
    </w:p>
    <w:p>
      <w:pPr>
        <w:pStyle w:val="ListParagraph"/>
        <w:numPr>
          <w:ilvl w:val="0"/>
          <w:numId w:val="4"/>
        </w:numPr>
        <w:spacing w:lineRule="auto" w:line="240" w:before="0" w:after="0"/>
        <w:ind w:left="357" w:right="0" w:hanging="357"/>
        <w:rPr/>
      </w:pPr>
      <w:r>
        <w:rPr/>
        <w:t>Support the Senior Networks Engineer and wider Digital Services management team in delivering team objectives and operational requirements, including coordinating activities, sharing technical knowledge and contributing to the effective delivery of services within direct and matrix-managed teams.</w:t>
      </w:r>
    </w:p>
    <w:p>
      <w:pPr>
        <w:pStyle w:val="Normal"/>
        <w:spacing w:lineRule="auto" w:line="240" w:before="0" w:after="0"/>
        <w:rPr/>
      </w:pPr>
      <w:r>
        <w:rPr/>
      </w:r>
    </w:p>
    <w:p>
      <w:pPr>
        <w:pStyle w:val="Normal"/>
        <w:spacing w:lineRule="auto" w:line="240" w:before="0" w:after="0"/>
        <w:rPr/>
      </w:pPr>
      <w:r>
        <w:rPr/>
      </w:r>
    </w:p>
    <w:p>
      <w:pPr>
        <w:pStyle w:val="Heading2"/>
        <w:shd w:fill="004F6E" w:val="clear"/>
        <w:rPr>
          <w:rFonts w:cs="Arial"/>
          <w:sz w:val="24"/>
          <w:szCs w:val="24"/>
        </w:rPr>
      </w:pPr>
      <w:r>
        <w:rPr>
          <w:rFonts w:cs="Arial"/>
          <w:sz w:val="24"/>
          <w:szCs w:val="24"/>
        </w:rPr>
        <w:t>General</w:t>
      </w:r>
    </w:p>
    <w:p>
      <w:pPr>
        <w:pStyle w:val="Normal"/>
        <w:rPr/>
      </w:pPr>
      <w:r>
        <w:rPr>
          <w:rFonts w:eastAsia="Arial" w:cs="Arial"/>
          <w:b/>
          <w:sz w:val="22"/>
        </w:rPr>
        <w:t xml:space="preserve"> </w:t>
      </w:r>
      <w:r>
        <w:rPr>
          <w:rFonts w:cs="Arial"/>
          <w:b/>
          <w:sz w:val="22"/>
        </w:rPr>
        <w:t>General</w:t>
      </w:r>
    </w:p>
    <w:p>
      <w:pPr>
        <w:pStyle w:val="ListParagraph"/>
        <w:widowControl/>
        <w:numPr>
          <w:ilvl w:val="0"/>
          <w:numId w:val="5"/>
        </w:numPr>
        <w:pBdr/>
        <w:spacing w:before="0" w:after="0"/>
        <w:rPr>
          <w:color w:val="000000"/>
        </w:rPr>
      </w:pPr>
      <w:r>
        <w:rPr>
          <w:color w:val="000000"/>
        </w:rPr>
        <w:t>Actively promote the values of GMCA.</w:t>
      </w:r>
    </w:p>
    <w:p>
      <w:pPr>
        <w:pStyle w:val="ListParagraph"/>
        <w:widowControl/>
        <w:numPr>
          <w:ilvl w:val="0"/>
          <w:numId w:val="5"/>
        </w:numPr>
        <w:pBdr/>
        <w:spacing w:before="0" w:after="0"/>
        <w:rPr>
          <w:color w:val="000000"/>
        </w:rPr>
      </w:pPr>
      <w:r>
        <w:rPr>
          <w:color w:val="000000"/>
        </w:rPr>
        <w:t>Build effective relationships with clients, customers and key stakeholders.</w:t>
      </w:r>
    </w:p>
    <w:p>
      <w:pPr>
        <w:pStyle w:val="ListParagraph"/>
        <w:widowControl/>
        <w:numPr>
          <w:ilvl w:val="0"/>
          <w:numId w:val="5"/>
        </w:numPr>
        <w:pBdr/>
        <w:spacing w:before="0" w:after="0"/>
        <w:rPr>
          <w:color w:val="000000"/>
        </w:rPr>
      </w:pPr>
      <w:r>
        <w:rPr>
          <w:color w:val="000000"/>
        </w:rPr>
        <w:t>Where required, coach system users to develop effective skills, and provide guidance and support on the use of systems and tools to enable them to undertake their roles.</w:t>
      </w:r>
    </w:p>
    <w:p>
      <w:pPr>
        <w:pStyle w:val="ListParagraph"/>
        <w:widowControl/>
        <w:numPr>
          <w:ilvl w:val="0"/>
          <w:numId w:val="5"/>
        </w:numPr>
        <w:pBdr/>
        <w:spacing w:before="0" w:after="0"/>
        <w:rPr>
          <w:color w:val="000000"/>
        </w:rPr>
      </w:pPr>
      <w:r>
        <w:rPr>
          <w:color w:val="000000"/>
        </w:rPr>
        <w:t>Provide positive challenge to colleagues across the organisation in considering how things can be done better and more effectively.</w:t>
      </w:r>
    </w:p>
    <w:p>
      <w:pPr>
        <w:pStyle w:val="ListParagraph"/>
        <w:widowControl/>
        <w:numPr>
          <w:ilvl w:val="0"/>
          <w:numId w:val="5"/>
        </w:numPr>
        <w:pBdr/>
        <w:spacing w:before="0" w:after="0"/>
        <w:rPr>
          <w:color w:val="000000"/>
        </w:rPr>
      </w:pPr>
      <w:r>
        <w:rPr>
          <w:color w:val="000000"/>
        </w:rPr>
        <w:t>Communicate effectively to ensure all relevant stakeholders are informed and up to date with relevant information, statuses, and progress.</w:t>
      </w:r>
    </w:p>
    <w:p>
      <w:pPr>
        <w:pStyle w:val="ListParagraph"/>
        <w:widowControl/>
        <w:numPr>
          <w:ilvl w:val="0"/>
          <w:numId w:val="5"/>
        </w:numPr>
        <w:pBdr/>
        <w:spacing w:before="0" w:after="0"/>
        <w:rPr>
          <w:color w:val="000000"/>
        </w:rPr>
      </w:pPr>
      <w:r>
        <w:rPr>
          <w:color w:val="000000"/>
        </w:rPr>
        <w:t>Accurately prepare documentation, communications and information including letters, emails, contracts and records.</w:t>
      </w:r>
    </w:p>
    <w:p>
      <w:pPr>
        <w:pStyle w:val="ListParagraph"/>
        <w:widowControl/>
        <w:numPr>
          <w:ilvl w:val="0"/>
          <w:numId w:val="5"/>
        </w:numPr>
        <w:pBdr/>
        <w:spacing w:before="0" w:after="0"/>
        <w:rPr>
          <w:color w:val="000000"/>
        </w:rPr>
      </w:pPr>
      <w:r>
        <w:rPr>
          <w:color w:val="000000"/>
        </w:rPr>
        <w:t>The role holder will work collaboratively across the directorate engaging with internal customers, clients, and stakeholders to provide internal focused consultancy, support, and guidance.</w:t>
      </w:r>
    </w:p>
    <w:p>
      <w:pPr>
        <w:pStyle w:val="ListParagraph"/>
        <w:widowControl/>
        <w:numPr>
          <w:ilvl w:val="0"/>
          <w:numId w:val="5"/>
        </w:numPr>
        <w:pBdr/>
        <w:spacing w:before="0" w:after="0"/>
        <w:rPr>
          <w:color w:val="000000"/>
        </w:rPr>
      </w:pPr>
      <w:r>
        <w:rPr>
          <w:color w:val="000000"/>
        </w:rPr>
        <w:t>Proactively contribute to continuous improvement of systems and processes to ensure procedures, policies and guidance are updated in line with legislative and social changes.</w:t>
      </w:r>
    </w:p>
    <w:p>
      <w:pPr>
        <w:pStyle w:val="ListParagraph"/>
        <w:widowControl/>
        <w:numPr>
          <w:ilvl w:val="0"/>
          <w:numId w:val="5"/>
        </w:numPr>
        <w:pBdr/>
        <w:spacing w:before="0" w:after="0"/>
        <w:rPr>
          <w:color w:val="000000"/>
        </w:rPr>
      </w:pPr>
      <w:r>
        <w:rPr>
          <w:color w:val="000000"/>
        </w:rPr>
        <w:t>Review key performance indicators to identify and address issues arising, spot trends and take appropriate action to learn, share and improve.</w:t>
      </w:r>
    </w:p>
    <w:p>
      <w:pPr>
        <w:pStyle w:val="ListParagraph"/>
        <w:widowControl/>
        <w:numPr>
          <w:ilvl w:val="0"/>
          <w:numId w:val="5"/>
        </w:numPr>
        <w:pBdr/>
        <w:spacing w:before="0" w:after="0"/>
        <w:rPr>
          <w:color w:val="000000"/>
        </w:rPr>
      </w:pPr>
      <w:r>
        <w:rPr>
          <w:color w:val="000000"/>
        </w:rPr>
        <w:t>Seek feedback and elicit wider priorities to support and enable colleagues to meet the needs of the organisation.</w:t>
      </w:r>
    </w:p>
    <w:p>
      <w:pPr>
        <w:pStyle w:val="ListParagraph"/>
        <w:widowControl/>
        <w:numPr>
          <w:ilvl w:val="0"/>
          <w:numId w:val="5"/>
        </w:numPr>
        <w:pBdr/>
        <w:spacing w:before="0" w:after="0"/>
        <w:rPr>
          <w:color w:val="000000"/>
        </w:rPr>
      </w:pPr>
      <w:r>
        <w:rPr>
          <w:color w:val="000000"/>
        </w:rPr>
        <w:t>The role holder may be required to participate in an on-call rota.</w:t>
      </w:r>
    </w:p>
    <w:p>
      <w:pPr>
        <w:pStyle w:val="ListParagraph"/>
        <w:numPr>
          <w:ilvl w:val="0"/>
          <w:numId w:val="0"/>
        </w:numPr>
        <w:ind w:left="993" w:right="0" w:hanging="0"/>
        <w:rPr>
          <w:rFonts w:cs="Arial"/>
          <w:color w:val="auto"/>
        </w:rPr>
      </w:pPr>
      <w:r>
        <w:rPr>
          <w:rFonts w:cs="Arial"/>
          <w:color w:val="auto"/>
        </w:rPr>
        <w:t xml:space="preserve">. </w:t>
      </w:r>
    </w:p>
    <w:p>
      <w:pPr>
        <w:pStyle w:val="Normal"/>
        <w:rPr>
          <w:rFonts w:cs="Arial"/>
          <w:b/>
          <w:b/>
          <w:color w:val="auto"/>
        </w:rPr>
      </w:pPr>
      <w:r>
        <w:rPr>
          <w:rFonts w:cs="Arial"/>
          <w:b/>
          <w:color w:val="auto"/>
        </w:rPr>
        <w:t>NB: This list of duties and responsibilities is by no means exhaustive, and the post holder may be required to undertake other relevant and appropriate duties as required.</w:t>
      </w:r>
    </w:p>
    <w:p>
      <w:pPr>
        <w:pStyle w:val="Normal"/>
        <w:rPr>
          <w:rFonts w:cs="Arial"/>
          <w:b/>
          <w:b/>
          <w:color w:val="auto"/>
        </w:rPr>
      </w:pPr>
      <w:r>
        <w:rPr>
          <w:rFonts w:cs="Arial"/>
          <w:b/>
          <w:color w:val="auto"/>
        </w:rPr>
      </w:r>
    </w:p>
    <w:p>
      <w:pPr>
        <w:pStyle w:val="Normal"/>
        <w:rPr>
          <w:rFonts w:cs="Arial"/>
          <w:b/>
          <w:b/>
          <w:color w:val="auto"/>
        </w:rPr>
      </w:pPr>
      <w:r>
        <w:rPr>
          <w:rFonts w:cs="Arial"/>
          <w:b/>
          <w:color w:val="auto"/>
        </w:rPr>
      </w:r>
    </w:p>
    <w:p>
      <w:pPr>
        <w:pStyle w:val="Normal"/>
        <w:rPr>
          <w:rFonts w:cs="Arial"/>
          <w:b/>
          <w:b/>
          <w:color w:val="auto"/>
        </w:rPr>
      </w:pPr>
      <w:r>
        <w:rPr>
          <w:rFonts w:cs="Arial"/>
          <w:b/>
          <w:color w:val="auto"/>
        </w:rPr>
      </w:r>
    </w:p>
    <w:p>
      <w:pPr>
        <w:pStyle w:val="Normal"/>
        <w:rPr>
          <w:rFonts w:cs="Arial"/>
          <w:b/>
          <w:b/>
          <w:color w:val="auto"/>
        </w:rPr>
      </w:pPr>
      <w:r>
        <w:rPr>
          <w:rFonts w:cs="Arial"/>
          <w:b/>
          <w:color w:val="auto"/>
        </w:rPr>
      </w:r>
    </w:p>
    <w:p>
      <w:pPr>
        <w:pStyle w:val="Heading2"/>
        <w:shd w:fill="004F6E" w:val="clear"/>
        <w:rPr>
          <w:rFonts w:cs="Arial"/>
          <w:sz w:val="24"/>
          <w:szCs w:val="24"/>
        </w:rPr>
      </w:pPr>
      <w:r>
        <w:rPr>
          <w:rFonts w:cs="Arial"/>
          <w:sz w:val="24"/>
          <w:szCs w:val="24"/>
        </w:rPr>
        <w:t>Knowledge, Skills, and Experience</w:t>
      </w:r>
    </w:p>
    <w:p>
      <w:pPr>
        <w:pStyle w:val="Heading3"/>
        <w:rPr>
          <w:rFonts w:cs="Arial"/>
          <w:sz w:val="24"/>
        </w:rPr>
      </w:pPr>
      <w:r>
        <w:rPr>
          <w:rFonts w:cs="Arial"/>
          <w:sz w:val="24"/>
        </w:rPr>
        <w:t>Knowledge &amp; Experience</w:t>
      </w:r>
    </w:p>
    <w:p>
      <w:pPr>
        <w:pStyle w:val="Normal"/>
        <w:spacing w:before="240" w:after="240"/>
        <w:rPr>
          <w:rFonts w:cs="Arial"/>
          <w:b/>
          <w:b/>
          <w:bCs/>
          <w:sz w:val="22"/>
        </w:rPr>
      </w:pPr>
      <w:r>
        <w:rPr>
          <w:rFonts w:cs="Arial"/>
          <w:b/>
          <w:bCs/>
          <w:sz w:val="22"/>
        </w:rPr>
        <w:t>Essential</w:t>
      </w:r>
    </w:p>
    <w:p>
      <w:pPr>
        <w:pStyle w:val="ListParagraph"/>
        <w:widowControl/>
        <w:numPr>
          <w:ilvl w:val="0"/>
          <w:numId w:val="6"/>
        </w:numPr>
        <w:spacing w:before="0" w:after="0"/>
        <w:rPr/>
      </w:pPr>
      <w:r>
        <w:rPr/>
        <w:t>Educated to degree level in relevant area or equivalent</w:t>
      </w:r>
    </w:p>
    <w:p>
      <w:pPr>
        <w:pStyle w:val="ListParagraph"/>
        <w:widowControl/>
        <w:numPr>
          <w:ilvl w:val="0"/>
          <w:numId w:val="6"/>
        </w:numPr>
        <w:spacing w:before="0" w:after="0"/>
        <w:rPr/>
      </w:pPr>
      <w:r>
        <w:rPr/>
        <w:t>Relevant professional qualification, membership of a relevant professional body.</w:t>
      </w:r>
    </w:p>
    <w:p>
      <w:pPr>
        <w:pStyle w:val="ListParagraph"/>
        <w:widowControl/>
        <w:numPr>
          <w:ilvl w:val="0"/>
          <w:numId w:val="6"/>
        </w:numPr>
        <w:spacing w:before="0" w:after="0"/>
        <w:rPr/>
      </w:pPr>
      <w:r>
        <w:rPr/>
        <w:t>Evidence of continuous professional development</w:t>
      </w:r>
    </w:p>
    <w:p>
      <w:pPr>
        <w:pStyle w:val="ListParagraph"/>
        <w:widowControl/>
        <w:numPr>
          <w:ilvl w:val="0"/>
          <w:numId w:val="6"/>
        </w:numPr>
        <w:spacing w:before="0" w:after="0"/>
        <w:rPr/>
      </w:pPr>
      <w:r>
        <w:rPr/>
        <w:t>ITIL Intermediate - Capability or Lifecycle Certificate relevant to the area of expertise</w:t>
      </w:r>
    </w:p>
    <w:p>
      <w:pPr>
        <w:pStyle w:val="ListParagraph"/>
        <w:widowControl/>
        <w:numPr>
          <w:ilvl w:val="0"/>
          <w:numId w:val="6"/>
        </w:numPr>
        <w:spacing w:before="0" w:after="0"/>
        <w:rPr/>
      </w:pPr>
      <w:r>
        <w:rPr/>
        <w:t>Technical experience across a range of solutions and platforms in the Local Government arena.</w:t>
      </w:r>
    </w:p>
    <w:p>
      <w:pPr>
        <w:pStyle w:val="ListParagraph"/>
        <w:widowControl/>
        <w:numPr>
          <w:ilvl w:val="0"/>
          <w:numId w:val="6"/>
        </w:numPr>
        <w:spacing w:before="0" w:after="0"/>
        <w:rPr/>
      </w:pPr>
      <w:r>
        <w:rPr/>
        <w:t>Working knowledge of project management methodologies and an ability to apply these in practice, and experience of successfully managing complex projects from inception to completion.</w:t>
      </w:r>
    </w:p>
    <w:p>
      <w:pPr>
        <w:pStyle w:val="ListParagraph"/>
        <w:widowControl/>
        <w:numPr>
          <w:ilvl w:val="0"/>
          <w:numId w:val="6"/>
        </w:numPr>
        <w:spacing w:before="0" w:after="0"/>
        <w:rPr/>
      </w:pPr>
      <w:r>
        <w:rPr/>
        <w:t>Experience of  analysing  and  interpreting  complex  information  and  communicating  it appropriately to a range of stakeholders.</w:t>
      </w:r>
    </w:p>
    <w:p>
      <w:pPr>
        <w:pStyle w:val="ListParagraph"/>
        <w:widowControl/>
        <w:numPr>
          <w:ilvl w:val="0"/>
          <w:numId w:val="6"/>
        </w:numPr>
        <w:spacing w:before="0" w:after="0"/>
        <w:rPr/>
      </w:pPr>
      <w:r>
        <w:rPr/>
        <w:t xml:space="preserve">Knowledge of project management principles </w:t>
      </w:r>
    </w:p>
    <w:p>
      <w:pPr>
        <w:pStyle w:val="ListParagraph"/>
        <w:widowControl/>
        <w:numPr>
          <w:ilvl w:val="0"/>
          <w:numId w:val="6"/>
        </w:numPr>
        <w:spacing w:before="0" w:after="0"/>
        <w:rPr/>
      </w:pPr>
      <w:r>
        <w:rPr/>
        <w:t>Demonstrable experience of successful project management of a new technology system or a major upgrade of a corporate system impacting on a wide number of users across the Service</w:t>
      </w:r>
    </w:p>
    <w:p>
      <w:pPr>
        <w:pStyle w:val="Heading3"/>
        <w:rPr>
          <w:rFonts w:cs="Arial"/>
          <w:sz w:val="24"/>
        </w:rPr>
      </w:pPr>
      <w:r>
        <w:rPr>
          <w:rFonts w:cs="Arial"/>
          <w:sz w:val="24"/>
        </w:rPr>
        <w:t>Desirable</w:t>
      </w:r>
    </w:p>
    <w:p>
      <w:pPr>
        <w:pStyle w:val="ListParagraph"/>
        <w:widowControl/>
        <w:numPr>
          <w:ilvl w:val="0"/>
          <w:numId w:val="6"/>
        </w:numPr>
        <w:spacing w:before="0" w:after="0"/>
        <w:rPr/>
      </w:pPr>
      <w:r>
        <w:rPr/>
        <w:t>Working towards ITIL Expert Certificate</w:t>
      </w:r>
    </w:p>
    <w:p>
      <w:pPr>
        <w:pStyle w:val="ListParagraph"/>
        <w:widowControl/>
        <w:numPr>
          <w:ilvl w:val="0"/>
          <w:numId w:val="6"/>
        </w:numPr>
        <w:spacing w:before="0" w:after="0"/>
        <w:rPr/>
      </w:pPr>
      <w:r>
        <w:rPr/>
        <w:t>Relevant management qualifications, e.g. Business Administration</w:t>
      </w:r>
    </w:p>
    <w:p>
      <w:pPr>
        <w:pStyle w:val="Heading3"/>
        <w:rPr>
          <w:rFonts w:cs="Arial"/>
          <w:sz w:val="24"/>
        </w:rPr>
      </w:pPr>
      <w:r>
        <w:rPr>
          <w:rFonts w:cs="Arial"/>
          <w:sz w:val="24"/>
        </w:rPr>
      </w:r>
    </w:p>
    <w:p>
      <w:pPr>
        <w:pStyle w:val="Heading3"/>
        <w:rPr/>
      </w:pPr>
      <w:r>
        <w:rPr>
          <w:rFonts w:cs="Arial"/>
          <w:sz w:val="24"/>
        </w:rPr>
        <w:t>Skills, Values</w:t>
      </w:r>
      <w:r>
        <w:rPr>
          <w:rFonts w:cs="Arial"/>
          <w:spacing w:val="-3"/>
          <w:sz w:val="24"/>
        </w:rPr>
        <w:t xml:space="preserve"> </w:t>
      </w:r>
      <w:r>
        <w:rPr>
          <w:rFonts w:cs="Arial"/>
          <w:sz w:val="24"/>
        </w:rPr>
        <w:t>&amp;</w:t>
      </w:r>
      <w:r>
        <w:rPr>
          <w:rFonts w:cs="Arial"/>
          <w:spacing w:val="-3"/>
          <w:sz w:val="24"/>
        </w:rPr>
        <w:t xml:space="preserve"> </w:t>
      </w:r>
      <w:r>
        <w:rPr>
          <w:rFonts w:cs="Arial"/>
          <w:sz w:val="24"/>
        </w:rPr>
        <w:t>Behaviours</w:t>
      </w:r>
    </w:p>
    <w:p>
      <w:pPr>
        <w:pStyle w:val="ListParagraph"/>
        <w:widowControl/>
        <w:numPr>
          <w:ilvl w:val="0"/>
          <w:numId w:val="6"/>
        </w:numPr>
        <w:spacing w:before="0" w:after="0"/>
        <w:rPr/>
      </w:pPr>
      <w:r>
        <w:rPr/>
        <w:t>Well-developed   verbal   and   written   communication   skills,  including   report-writing, presentation and facilitation, able to advise / influence at all levels.</w:t>
      </w:r>
    </w:p>
    <w:p>
      <w:pPr>
        <w:pStyle w:val="ListParagraph"/>
        <w:widowControl/>
        <w:numPr>
          <w:ilvl w:val="0"/>
          <w:numId w:val="6"/>
        </w:numPr>
        <w:spacing w:before="0" w:after="0"/>
        <w:rPr/>
      </w:pPr>
      <w:r>
        <w:rPr/>
        <w:t>Ability to convey often complex information and guidance in a clear and understandable manner appropriate to the recipient</w:t>
      </w:r>
    </w:p>
    <w:p>
      <w:pPr>
        <w:pStyle w:val="ListParagraph"/>
        <w:widowControl/>
        <w:numPr>
          <w:ilvl w:val="0"/>
          <w:numId w:val="6"/>
        </w:numPr>
        <w:spacing w:before="0" w:after="0"/>
        <w:rPr/>
      </w:pPr>
      <w:r>
        <w:rPr/>
        <w:t>Ability to build strong and trusting relationships with clients, customers and colleagues</w:t>
      </w:r>
    </w:p>
    <w:p>
      <w:pPr>
        <w:pStyle w:val="ListParagraph"/>
        <w:widowControl/>
        <w:numPr>
          <w:ilvl w:val="0"/>
          <w:numId w:val="6"/>
        </w:numPr>
        <w:spacing w:before="0" w:after="0"/>
        <w:rPr/>
      </w:pPr>
      <w:r>
        <w:rPr/>
        <w:t>Self-motivated with an ability to prioritise and organise work effectively to meet deadlines.</w:t>
      </w:r>
    </w:p>
    <w:p>
      <w:pPr>
        <w:pStyle w:val="ListParagraph"/>
        <w:widowControl/>
        <w:numPr>
          <w:ilvl w:val="0"/>
          <w:numId w:val="6"/>
        </w:numPr>
        <w:spacing w:before="0" w:after="0"/>
        <w:rPr/>
      </w:pPr>
      <w:r>
        <w:rPr/>
        <w:t>Ability to collate, critically appraise and present information from a range of sources using excellent analytical skills.</w:t>
      </w:r>
    </w:p>
    <w:p>
      <w:pPr>
        <w:pStyle w:val="ListParagraph"/>
        <w:widowControl/>
        <w:numPr>
          <w:ilvl w:val="0"/>
          <w:numId w:val="6"/>
        </w:numPr>
        <w:spacing w:before="0" w:after="0"/>
        <w:rPr/>
      </w:pPr>
      <w:r>
        <w:rPr/>
        <w:t>Team working skills</w:t>
      </w:r>
    </w:p>
    <w:p>
      <w:pPr>
        <w:pStyle w:val="ListParagraph"/>
        <w:widowControl/>
        <w:numPr>
          <w:ilvl w:val="0"/>
          <w:numId w:val="6"/>
        </w:numPr>
        <w:spacing w:before="0" w:after="0"/>
        <w:rPr/>
      </w:pPr>
      <w:r>
        <w:rPr/>
        <w:t>Ability to manage the effective implementation of projects.</w:t>
      </w:r>
    </w:p>
    <w:p>
      <w:pPr>
        <w:pStyle w:val="ListParagraph"/>
        <w:widowControl/>
        <w:numPr>
          <w:ilvl w:val="0"/>
          <w:numId w:val="6"/>
        </w:numPr>
        <w:spacing w:before="0" w:after="0"/>
        <w:rPr/>
      </w:pPr>
      <w:r>
        <w:rPr/>
        <w:t>Ability to generate  new  ideas, alternative options and  develop  realistic  and  practical solutions.</w:t>
      </w:r>
    </w:p>
    <w:p>
      <w:pPr>
        <w:pStyle w:val="ListParagraph"/>
        <w:widowControl/>
        <w:numPr>
          <w:ilvl w:val="0"/>
          <w:numId w:val="6"/>
        </w:numPr>
        <w:spacing w:before="0" w:after="0"/>
        <w:rPr/>
      </w:pPr>
      <w:r>
        <w:rPr/>
        <w:t>Excellent relationship management skills with demonstrated ability to develop effective relationships with key stakeholders and colleagues</w:t>
      </w:r>
    </w:p>
    <w:p>
      <w:pPr>
        <w:pStyle w:val="ListParagraph"/>
        <w:widowControl/>
        <w:numPr>
          <w:ilvl w:val="0"/>
          <w:numId w:val="6"/>
        </w:numPr>
        <w:spacing w:before="0" w:after="0"/>
        <w:rPr/>
      </w:pPr>
      <w:r>
        <w:rPr/>
        <w:t>Excellent ICT  skills  - IT Literacy -  experience with Microsoft Windows and  the Office application suite</w:t>
      </w:r>
    </w:p>
    <w:p>
      <w:pPr>
        <w:pStyle w:val="ListParagraph"/>
        <w:widowControl/>
        <w:numPr>
          <w:ilvl w:val="0"/>
          <w:numId w:val="6"/>
        </w:numPr>
        <w:spacing w:before="0" w:after="0"/>
        <w:rPr/>
      </w:pPr>
      <w:r>
        <w:rPr/>
        <w:t>Ability to build strong and trusting relationships with clients, customers and colleagues</w:t>
      </w:r>
    </w:p>
    <w:p>
      <w:pPr>
        <w:pStyle w:val="ListParagraph"/>
        <w:widowControl/>
        <w:numPr>
          <w:ilvl w:val="0"/>
          <w:numId w:val="6"/>
        </w:numPr>
        <w:spacing w:before="0" w:after="0"/>
        <w:rPr/>
      </w:pPr>
      <w:r>
        <w:rPr/>
        <w:t>Clear focus on delivering positive outcomes</w:t>
      </w:r>
    </w:p>
    <w:p>
      <w:pPr>
        <w:pStyle w:val="ListParagraph"/>
        <w:widowControl/>
        <w:numPr>
          <w:ilvl w:val="0"/>
          <w:numId w:val="6"/>
        </w:numPr>
        <w:spacing w:before="0" w:after="0"/>
        <w:rPr/>
      </w:pPr>
      <w:r>
        <w:rPr/>
        <w:t>Acting as a role model for the directorate</w:t>
      </w:r>
    </w:p>
    <w:p>
      <w:pPr>
        <w:pStyle w:val="ListParagraph"/>
        <w:numPr>
          <w:ilvl w:val="0"/>
          <w:numId w:val="6"/>
        </w:numPr>
        <w:spacing w:before="240" w:after="240"/>
        <w:rPr/>
      </w:pPr>
      <w:r>
        <w:rPr>
          <w:color w:val="auto"/>
        </w:rPr>
        <w:t xml:space="preserve">Able to work flexibly and independently, covering other areas of the department as </w:t>
      </w:r>
      <w:r>
        <w:rPr/>
        <w:t>required</w:t>
      </w:r>
    </w:p>
    <w:p>
      <w:pPr>
        <w:pStyle w:val="Normal"/>
        <w:spacing w:before="240" w:after="240"/>
        <w:ind w:left="567" w:right="0" w:hanging="0"/>
        <w:rPr>
          <w:rFonts w:cs="Arial"/>
          <w:b/>
          <w:b/>
          <w:color w:val="FF0000"/>
          <w:sz w:val="22"/>
        </w:rPr>
      </w:pPr>
      <w:r>
        <w:rPr>
          <w:rFonts w:cs="Arial"/>
          <w:b/>
          <w:color w:val="FF0000"/>
          <w:sz w:val="22"/>
        </w:rPr>
      </w:r>
    </w:p>
    <w:p>
      <w:pPr>
        <w:pStyle w:val="Normal"/>
        <w:spacing w:before="240" w:after="240"/>
        <w:rPr>
          <w:rFonts w:cs="Arial"/>
          <w:b/>
          <w:b/>
          <w:color w:val="FF0000"/>
          <w:sz w:val="22"/>
        </w:rPr>
      </w:pPr>
      <w:r>
        <w:rPr>
          <w:rFonts w:cs="Arial"/>
          <w:b/>
          <w:color w:val="FF0000"/>
          <w:sz w:val="22"/>
        </w:rPr>
        <w:t>FOR ROLES EXEMPT FROM THE REHABILITATION OF OFFENDERS ACT:</w:t>
      </w:r>
    </w:p>
    <w:p>
      <w:pPr>
        <w:pStyle w:val="Normal"/>
        <w:rPr>
          <w:rFonts w:cs="Arial"/>
          <w:color w:val="FF0000"/>
          <w:sz w:val="22"/>
        </w:rPr>
      </w:pPr>
      <w:r>
        <w:rPr>
          <w:rFonts w:cs="Arial"/>
          <w:color w:val="FF0000"/>
          <w:sz w:val="22"/>
        </w:rPr>
        <w:t>This role is exempt from the Rehabilitation of Offenders Act (1974) and will require disclosure of all convictions including those considered spent under the Act. The role holder will be subject to an Enhanced level check by the Disclosure &amp; Barring Service.</w:t>
      </w:r>
    </w:p>
    <w:p>
      <w:pPr>
        <w:pStyle w:val="Normal"/>
        <w:spacing w:before="240" w:after="240"/>
        <w:rPr>
          <w:rFonts w:cs="Arial"/>
          <w:color w:val="FF0000"/>
          <w:sz w:val="22"/>
        </w:rPr>
      </w:pPr>
      <w:r>
        <w:rPr>
          <w:rFonts w:cs="Arial"/>
          <w:color w:val="FF0000"/>
          <w:sz w:val="22"/>
        </w:rPr>
      </w:r>
    </w:p>
    <w:p>
      <w:pPr>
        <w:pStyle w:val="Normal"/>
        <w:spacing w:before="240" w:after="240"/>
        <w:rPr>
          <w:rFonts w:cs="Arial"/>
          <w:b/>
          <w:b/>
          <w:color w:val="FF0000"/>
          <w:sz w:val="22"/>
        </w:rPr>
      </w:pPr>
      <w:r>
        <w:rPr>
          <w:rFonts w:cs="Arial"/>
          <w:b/>
          <w:color w:val="FF0000"/>
          <w:sz w:val="22"/>
        </w:rPr>
        <w:t>FOR POLITICALLY RESTRICTED POSTS:</w:t>
      </w:r>
    </w:p>
    <w:p>
      <w:pPr>
        <w:pStyle w:val="Normal"/>
        <w:jc w:val="both"/>
        <w:rPr>
          <w:rFonts w:cs="Arial"/>
          <w:color w:val="FF0000"/>
          <w:sz w:val="22"/>
        </w:rPr>
      </w:pPr>
      <w:r>
        <w:rPr>
          <w:rFonts w:cs="Arial"/>
          <w:color w:val="FF0000"/>
          <w:sz w:val="22"/>
        </w:rPr>
        <w:t>This post is a politically restricted post, as defined by the Local Government and Housing Act 1989 (as amended by Section 30 of the Local Democracy, Economic Development and Construction Act 2009) on one of the following grounds:</w:t>
      </w:r>
    </w:p>
    <w:p>
      <w:pPr>
        <w:pStyle w:val="ListParagraph"/>
        <w:widowControl/>
        <w:numPr>
          <w:ilvl w:val="0"/>
          <w:numId w:val="3"/>
        </w:numPr>
        <w:spacing w:lineRule="auto" w:line="256" w:before="0" w:after="160"/>
        <w:contextualSpacing/>
        <w:jc w:val="both"/>
        <w:rPr>
          <w:color w:val="FF0000"/>
        </w:rPr>
      </w:pPr>
      <w:r>
        <w:rPr>
          <w:color w:val="FF0000"/>
        </w:rPr>
        <w:t>the post is that of a Chief Officer or Deputy Chief Officer or</w:t>
      </w:r>
    </w:p>
    <w:p>
      <w:pPr>
        <w:pStyle w:val="ListParagraph"/>
        <w:widowControl/>
        <w:numPr>
          <w:ilvl w:val="0"/>
          <w:numId w:val="3"/>
        </w:numPr>
        <w:spacing w:lineRule="auto" w:line="256" w:before="0" w:after="160"/>
        <w:contextualSpacing/>
        <w:jc w:val="both"/>
        <w:rPr>
          <w:color w:val="FF0000"/>
        </w:rPr>
      </w:pPr>
      <w:r>
        <w:rPr>
          <w:color w:val="FF0000"/>
        </w:rPr>
        <w:t>the post has delegated powers to discharge the functions of the Authority; or</w:t>
      </w:r>
    </w:p>
    <w:p>
      <w:pPr>
        <w:pStyle w:val="ListParagraph"/>
        <w:widowControl/>
        <w:numPr>
          <w:ilvl w:val="0"/>
          <w:numId w:val="3"/>
        </w:numPr>
        <w:spacing w:lineRule="auto" w:line="256" w:before="0" w:after="160"/>
        <w:contextualSpacing/>
        <w:jc w:val="both"/>
        <w:rPr>
          <w:color w:val="FF0000"/>
        </w:rPr>
      </w:pPr>
      <w:r>
        <w:rPr>
          <w:color w:val="FF0000"/>
        </w:rPr>
        <w:t>the duties associated with the post include giving advice on a regular basis to the Authority, to Committees or Sub-Committees of the Authority (including member panels, Sub-Committees etc.) or to joint committees on which the Authority is represented or give advice to Executive Members, Committees or speak to the media.</w:t>
      </w:r>
    </w:p>
    <w:p>
      <w:pPr>
        <w:pStyle w:val="Normal"/>
        <w:spacing w:before="240" w:after="240"/>
        <w:rPr>
          <w:rFonts w:cs="Arial"/>
          <w:color w:val="FF0000"/>
          <w:sz w:val="22"/>
        </w:rPr>
      </w:pPr>
      <w:r>
        <w:rPr>
          <w:rFonts w:cs="Arial"/>
          <w:color w:val="FF0000"/>
          <w:sz w:val="22"/>
        </w:rPr>
        <w:t>The post holder has a right to appeal to the GMCA Chief Executive against the classification of their post as politically restricted.</w:t>
      </w:r>
    </w:p>
    <w:p>
      <w:pPr>
        <w:pStyle w:val="Normal"/>
        <w:ind w:left="993" w:right="0" w:hanging="633"/>
        <w:rPr>
          <w:rFonts w:cs="Arial"/>
          <w:szCs w:val="24"/>
        </w:rPr>
      </w:pPr>
      <w:r>
        <w:rPr>
          <w:rFonts w:cs="Arial"/>
          <w:szCs w:val="24"/>
        </w:rPr>
      </w:r>
    </w:p>
    <w:p>
      <w:pPr>
        <w:pStyle w:val="Heading2"/>
        <w:shd w:fill="004F6E" w:val="clear"/>
        <w:rPr>
          <w:rFonts w:cs="Arial"/>
          <w:sz w:val="24"/>
          <w:szCs w:val="24"/>
        </w:rPr>
      </w:pPr>
      <w:r>
        <w:rPr>
          <w:rFonts w:cs="Arial"/>
          <w:sz w:val="24"/>
          <w:szCs w:val="24"/>
        </w:rPr>
        <w:t>Corporate Duties</w:t>
      </w:r>
    </w:p>
    <w:p>
      <w:pPr>
        <w:pStyle w:val="Normal"/>
        <w:rPr/>
      </w:pPr>
      <w:r>
        <w:rPr>
          <w:rFonts w:cs="Arial"/>
          <w:i/>
          <w:iCs/>
          <w:sz w:val="20"/>
          <w:szCs w:val="20"/>
        </w:rPr>
        <w:t>Do not behave in way which discriminates against your fellow employees, or potential</w:t>
      </w:r>
      <w:r>
        <w:rPr>
          <w:rFonts w:cs="Arial"/>
          <w:i/>
          <w:iCs/>
          <w:spacing w:val="1"/>
          <w:sz w:val="20"/>
          <w:szCs w:val="20"/>
        </w:rPr>
        <w:t xml:space="preserve"> </w:t>
      </w:r>
      <w:r>
        <w:rPr>
          <w:rFonts w:cs="Arial"/>
          <w:i/>
          <w:iCs/>
          <w:sz w:val="20"/>
          <w:szCs w:val="20"/>
        </w:rPr>
        <w:t>employees on the grounds of their sex, sexual orientation, marital status, race, religion,</w:t>
      </w:r>
      <w:r>
        <w:rPr>
          <w:rFonts w:cs="Arial"/>
          <w:i/>
          <w:iCs/>
          <w:spacing w:val="-59"/>
          <w:sz w:val="20"/>
          <w:szCs w:val="20"/>
        </w:rPr>
        <w:t xml:space="preserve"> </w:t>
      </w:r>
      <w:r>
        <w:rPr>
          <w:rFonts w:cs="Arial"/>
          <w:i/>
          <w:iCs/>
          <w:sz w:val="20"/>
          <w:szCs w:val="20"/>
        </w:rPr>
        <w:t>creed,</w:t>
      </w:r>
      <w:r>
        <w:rPr>
          <w:rFonts w:cs="Arial"/>
          <w:i/>
          <w:iCs/>
          <w:spacing w:val="-2"/>
          <w:sz w:val="20"/>
          <w:szCs w:val="20"/>
        </w:rPr>
        <w:t xml:space="preserve"> </w:t>
      </w:r>
      <w:r>
        <w:rPr>
          <w:rFonts w:cs="Arial"/>
          <w:i/>
          <w:iCs/>
          <w:sz w:val="20"/>
          <w:szCs w:val="20"/>
        </w:rPr>
        <w:t>colour,</w:t>
      </w:r>
      <w:r>
        <w:rPr>
          <w:rFonts w:cs="Arial"/>
          <w:i/>
          <w:iCs/>
          <w:spacing w:val="2"/>
          <w:sz w:val="20"/>
          <w:szCs w:val="20"/>
        </w:rPr>
        <w:t xml:space="preserve"> </w:t>
      </w:r>
      <w:r>
        <w:rPr>
          <w:rFonts w:cs="Arial"/>
          <w:i/>
          <w:iCs/>
          <w:sz w:val="20"/>
          <w:szCs w:val="20"/>
        </w:rPr>
        <w:t>nationality,</w:t>
      </w:r>
      <w:r>
        <w:rPr>
          <w:rFonts w:cs="Arial"/>
          <w:i/>
          <w:iCs/>
          <w:spacing w:val="2"/>
          <w:sz w:val="20"/>
          <w:szCs w:val="20"/>
        </w:rPr>
        <w:t xml:space="preserve"> </w:t>
      </w:r>
      <w:r>
        <w:rPr>
          <w:rFonts w:cs="Arial"/>
          <w:i/>
          <w:iCs/>
          <w:sz w:val="20"/>
          <w:szCs w:val="20"/>
        </w:rPr>
        <w:t>ethnic</w:t>
      </w:r>
      <w:r>
        <w:rPr>
          <w:rFonts w:cs="Arial"/>
          <w:i/>
          <w:iCs/>
          <w:spacing w:val="1"/>
          <w:sz w:val="20"/>
          <w:szCs w:val="20"/>
        </w:rPr>
        <w:t xml:space="preserve"> </w:t>
      </w:r>
      <w:r>
        <w:rPr>
          <w:rFonts w:cs="Arial"/>
          <w:i/>
          <w:iCs/>
          <w:sz w:val="20"/>
          <w:szCs w:val="20"/>
        </w:rPr>
        <w:t>origin</w:t>
      </w:r>
      <w:r>
        <w:rPr>
          <w:rFonts w:cs="Arial"/>
          <w:i/>
          <w:iCs/>
          <w:spacing w:val="1"/>
          <w:sz w:val="20"/>
          <w:szCs w:val="20"/>
        </w:rPr>
        <w:t xml:space="preserve"> </w:t>
      </w:r>
      <w:r>
        <w:rPr>
          <w:rFonts w:cs="Arial"/>
          <w:i/>
          <w:iCs/>
          <w:sz w:val="20"/>
          <w:szCs w:val="20"/>
        </w:rPr>
        <w:t>or</w:t>
      </w:r>
      <w:r>
        <w:rPr>
          <w:rFonts w:cs="Arial"/>
          <w:i/>
          <w:iCs/>
          <w:spacing w:val="-2"/>
          <w:sz w:val="20"/>
          <w:szCs w:val="20"/>
        </w:rPr>
        <w:t xml:space="preserve"> </w:t>
      </w:r>
      <w:r>
        <w:rPr>
          <w:rFonts w:cs="Arial"/>
          <w:i/>
          <w:iCs/>
          <w:sz w:val="20"/>
          <w:szCs w:val="20"/>
        </w:rPr>
        <w:t>disability.</w:t>
      </w:r>
    </w:p>
    <w:p>
      <w:pPr>
        <w:pStyle w:val="Normal"/>
        <w:rPr/>
      </w:pPr>
      <w:r>
        <w:rPr>
          <w:rFonts w:cs="Arial"/>
          <w:i/>
          <w:iCs/>
          <w:sz w:val="20"/>
          <w:szCs w:val="20"/>
        </w:rPr>
        <w:t xml:space="preserve">Safeguard at all times confidentiality of information relating to staff and pensioners. </w:t>
      </w:r>
      <w:r>
        <w:rPr>
          <w:rFonts w:cs="Arial"/>
          <w:i/>
          <w:iCs/>
          <w:spacing w:val="-59"/>
          <w:sz w:val="20"/>
          <w:szCs w:val="20"/>
        </w:rPr>
        <w:t xml:space="preserve"> </w:t>
      </w:r>
      <w:r>
        <w:rPr>
          <w:rFonts w:cs="Arial"/>
          <w:i/>
          <w:iCs/>
          <w:sz w:val="20"/>
          <w:szCs w:val="20"/>
        </w:rPr>
        <w:t>Refrain</w:t>
      </w:r>
      <w:r>
        <w:rPr>
          <w:rFonts w:cs="Arial"/>
          <w:i/>
          <w:iCs/>
          <w:spacing w:val="-3"/>
          <w:sz w:val="20"/>
          <w:szCs w:val="20"/>
        </w:rPr>
        <w:t xml:space="preserve"> </w:t>
      </w:r>
      <w:r>
        <w:rPr>
          <w:rFonts w:cs="Arial"/>
          <w:i/>
          <w:iCs/>
          <w:sz w:val="20"/>
          <w:szCs w:val="20"/>
        </w:rPr>
        <w:t>from</w:t>
      </w:r>
      <w:r>
        <w:rPr>
          <w:rFonts w:cs="Arial"/>
          <w:i/>
          <w:iCs/>
          <w:spacing w:val="2"/>
          <w:sz w:val="20"/>
          <w:szCs w:val="20"/>
        </w:rPr>
        <w:t xml:space="preserve"> </w:t>
      </w:r>
      <w:r>
        <w:rPr>
          <w:rFonts w:cs="Arial"/>
          <w:i/>
          <w:iCs/>
          <w:sz w:val="20"/>
          <w:szCs w:val="20"/>
        </w:rPr>
        <w:t>smoking</w:t>
      </w:r>
      <w:r>
        <w:rPr>
          <w:rFonts w:cs="Arial"/>
          <w:i/>
          <w:iCs/>
          <w:spacing w:val="4"/>
          <w:sz w:val="20"/>
          <w:szCs w:val="20"/>
        </w:rPr>
        <w:t xml:space="preserve"> </w:t>
      </w:r>
      <w:r>
        <w:rPr>
          <w:rFonts w:cs="Arial"/>
          <w:i/>
          <w:iCs/>
          <w:sz w:val="20"/>
          <w:szCs w:val="20"/>
        </w:rPr>
        <w:t>in</w:t>
      </w:r>
      <w:r>
        <w:rPr>
          <w:rFonts w:cs="Arial"/>
          <w:i/>
          <w:iCs/>
          <w:spacing w:val="-5"/>
          <w:sz w:val="20"/>
          <w:szCs w:val="20"/>
        </w:rPr>
        <w:t xml:space="preserve"> </w:t>
      </w:r>
      <w:r>
        <w:rPr>
          <w:rFonts w:cs="Arial"/>
          <w:i/>
          <w:iCs/>
          <w:sz w:val="20"/>
          <w:szCs w:val="20"/>
        </w:rPr>
        <w:t>any</w:t>
      </w:r>
      <w:r>
        <w:rPr>
          <w:rFonts w:cs="Arial"/>
          <w:i/>
          <w:iCs/>
          <w:spacing w:val="-1"/>
          <w:sz w:val="20"/>
          <w:szCs w:val="20"/>
        </w:rPr>
        <w:t xml:space="preserve"> </w:t>
      </w:r>
      <w:r>
        <w:rPr>
          <w:rFonts w:cs="Arial"/>
          <w:i/>
          <w:iCs/>
          <w:sz w:val="20"/>
          <w:szCs w:val="20"/>
        </w:rPr>
        <w:t>areas</w:t>
      </w:r>
      <w:r>
        <w:rPr>
          <w:rFonts w:cs="Arial"/>
          <w:i/>
          <w:iCs/>
          <w:spacing w:val="1"/>
          <w:sz w:val="20"/>
          <w:szCs w:val="20"/>
        </w:rPr>
        <w:t xml:space="preserve"> </w:t>
      </w:r>
      <w:r>
        <w:rPr>
          <w:rFonts w:cs="Arial"/>
          <w:i/>
          <w:iCs/>
          <w:sz w:val="20"/>
          <w:szCs w:val="20"/>
        </w:rPr>
        <w:t>of</w:t>
      </w:r>
      <w:r>
        <w:rPr>
          <w:rFonts w:cs="Arial"/>
          <w:i/>
          <w:iCs/>
          <w:spacing w:val="1"/>
          <w:sz w:val="20"/>
          <w:szCs w:val="20"/>
        </w:rPr>
        <w:t xml:space="preserve"> </w:t>
      </w:r>
      <w:r>
        <w:rPr>
          <w:rFonts w:cs="Arial"/>
          <w:i/>
          <w:iCs/>
          <w:sz w:val="20"/>
          <w:szCs w:val="20"/>
        </w:rPr>
        <w:t>Service</w:t>
      </w:r>
      <w:r>
        <w:rPr>
          <w:rFonts w:cs="Arial"/>
          <w:i/>
          <w:iCs/>
          <w:spacing w:val="1"/>
          <w:sz w:val="20"/>
          <w:szCs w:val="20"/>
        </w:rPr>
        <w:t xml:space="preserve"> </w:t>
      </w:r>
      <w:r>
        <w:rPr>
          <w:rFonts w:cs="Arial"/>
          <w:i/>
          <w:iCs/>
          <w:sz w:val="20"/>
          <w:szCs w:val="20"/>
        </w:rPr>
        <w:t>premises.</w:t>
      </w:r>
    </w:p>
    <w:p>
      <w:pPr>
        <w:pStyle w:val="Normal"/>
        <w:rPr/>
      </w:pPr>
      <w:r>
        <w:rPr>
          <w:rFonts w:cs="Arial"/>
          <w:i/>
          <w:iCs/>
          <w:sz w:val="20"/>
          <w:szCs w:val="20"/>
        </w:rPr>
        <w:t>Behave in a manner that ensures the security of property and resources.</w:t>
      </w:r>
      <w:r>
        <w:rPr>
          <w:rFonts w:cs="Arial"/>
          <w:i/>
          <w:iCs/>
          <w:spacing w:val="-59"/>
          <w:sz w:val="20"/>
          <w:szCs w:val="20"/>
        </w:rPr>
        <w:t xml:space="preserve"> </w:t>
      </w:r>
      <w:r>
        <w:rPr>
          <w:rFonts w:cs="Arial"/>
          <w:i/>
          <w:iCs/>
          <w:sz w:val="20"/>
          <w:szCs w:val="20"/>
        </w:rPr>
        <w:t>Abide</w:t>
      </w:r>
      <w:r>
        <w:rPr>
          <w:rFonts w:cs="Arial"/>
          <w:i/>
          <w:iCs/>
          <w:spacing w:val="-1"/>
          <w:sz w:val="20"/>
          <w:szCs w:val="20"/>
        </w:rPr>
        <w:t xml:space="preserve"> </w:t>
      </w:r>
      <w:r>
        <w:rPr>
          <w:rFonts w:cs="Arial"/>
          <w:i/>
          <w:iCs/>
          <w:sz w:val="20"/>
          <w:szCs w:val="20"/>
        </w:rPr>
        <w:t>by</w:t>
      </w:r>
      <w:r>
        <w:rPr>
          <w:rFonts w:cs="Arial"/>
          <w:i/>
          <w:iCs/>
          <w:spacing w:val="-2"/>
          <w:sz w:val="20"/>
          <w:szCs w:val="20"/>
        </w:rPr>
        <w:t xml:space="preserve"> </w:t>
      </w:r>
      <w:r>
        <w:rPr>
          <w:rFonts w:cs="Arial"/>
          <w:i/>
          <w:iCs/>
          <w:sz w:val="20"/>
          <w:szCs w:val="20"/>
        </w:rPr>
        <w:t>all relevant</w:t>
      </w:r>
      <w:r>
        <w:rPr>
          <w:rFonts w:cs="Arial"/>
          <w:i/>
          <w:iCs/>
          <w:spacing w:val="1"/>
          <w:sz w:val="20"/>
          <w:szCs w:val="20"/>
        </w:rPr>
        <w:t xml:space="preserve"> </w:t>
      </w:r>
      <w:r>
        <w:rPr>
          <w:rFonts w:cs="Arial"/>
          <w:i/>
          <w:iCs/>
          <w:sz w:val="20"/>
          <w:szCs w:val="20"/>
        </w:rPr>
        <w:t>Service</w:t>
      </w:r>
      <w:r>
        <w:rPr>
          <w:rFonts w:cs="Arial"/>
          <w:i/>
          <w:iCs/>
          <w:spacing w:val="1"/>
          <w:sz w:val="20"/>
          <w:szCs w:val="20"/>
        </w:rPr>
        <w:t xml:space="preserve"> </w:t>
      </w:r>
      <w:r>
        <w:rPr>
          <w:rFonts w:cs="Arial"/>
          <w:i/>
          <w:iCs/>
          <w:sz w:val="20"/>
          <w:szCs w:val="20"/>
        </w:rPr>
        <w:t>Policies and Procedures.</w:t>
      </w:r>
    </w:p>
    <w:p>
      <w:pPr>
        <w:pStyle w:val="Normal"/>
        <w:rPr/>
      </w:pPr>
      <w:r>
        <w:rPr>
          <w:rFonts w:cs="Arial"/>
          <w:b/>
          <w:bCs/>
          <w:i/>
          <w:iCs/>
          <w:sz w:val="20"/>
          <w:szCs w:val="20"/>
        </w:rPr>
        <w:t>Records Management / Data Protection</w:t>
      </w:r>
      <w:r>
        <w:rPr>
          <w:rFonts w:cs="Arial"/>
          <w:i/>
          <w:iCs/>
          <w:sz w:val="20"/>
          <w:szCs w:val="20"/>
        </w:rPr>
        <w:t xml:space="preserve"> - As an employee of the GMCA, you have a legal</w:t>
      </w:r>
      <w:r>
        <w:rPr>
          <w:rFonts w:cs="Arial"/>
          <w:i/>
          <w:iCs/>
          <w:spacing w:val="1"/>
          <w:sz w:val="20"/>
          <w:szCs w:val="20"/>
        </w:rPr>
        <w:t xml:space="preserve"> </w:t>
      </w:r>
      <w:r>
        <w:rPr>
          <w:rFonts w:cs="Arial"/>
          <w:i/>
          <w:iCs/>
          <w:spacing w:val="-1"/>
          <w:sz w:val="20"/>
          <w:szCs w:val="20"/>
        </w:rPr>
        <w:t>responsibility</w:t>
      </w:r>
      <w:r>
        <w:rPr>
          <w:rFonts w:cs="Arial"/>
          <w:i/>
          <w:iCs/>
          <w:spacing w:val="-16"/>
          <w:sz w:val="20"/>
          <w:szCs w:val="20"/>
        </w:rPr>
        <w:t xml:space="preserve"> </w:t>
      </w:r>
      <w:r>
        <w:rPr>
          <w:rFonts w:cs="Arial"/>
          <w:i/>
          <w:iCs/>
          <w:spacing w:val="-1"/>
          <w:sz w:val="20"/>
          <w:szCs w:val="20"/>
        </w:rPr>
        <w:t>for</w:t>
      </w:r>
      <w:r>
        <w:rPr>
          <w:rFonts w:cs="Arial"/>
          <w:i/>
          <w:iCs/>
          <w:spacing w:val="-15"/>
          <w:sz w:val="20"/>
          <w:szCs w:val="20"/>
        </w:rPr>
        <w:t xml:space="preserve"> </w:t>
      </w:r>
      <w:r>
        <w:rPr>
          <w:rFonts w:cs="Arial"/>
          <w:i/>
          <w:iCs/>
          <w:spacing w:val="-1"/>
          <w:sz w:val="20"/>
          <w:szCs w:val="20"/>
        </w:rPr>
        <w:t>all</w:t>
      </w:r>
      <w:r>
        <w:rPr>
          <w:rFonts w:cs="Arial"/>
          <w:i/>
          <w:iCs/>
          <w:spacing w:val="-14"/>
          <w:sz w:val="20"/>
          <w:szCs w:val="20"/>
        </w:rPr>
        <w:t xml:space="preserve"> </w:t>
      </w:r>
      <w:r>
        <w:rPr>
          <w:rFonts w:cs="Arial"/>
          <w:i/>
          <w:iCs/>
          <w:spacing w:val="-1"/>
          <w:sz w:val="20"/>
          <w:szCs w:val="20"/>
        </w:rPr>
        <w:t>records</w:t>
      </w:r>
      <w:r>
        <w:rPr>
          <w:rFonts w:cs="Arial"/>
          <w:i/>
          <w:iCs/>
          <w:spacing w:val="-13"/>
          <w:sz w:val="20"/>
          <w:szCs w:val="20"/>
        </w:rPr>
        <w:t xml:space="preserve"> </w:t>
      </w:r>
      <w:r>
        <w:rPr>
          <w:rFonts w:cs="Arial"/>
          <w:i/>
          <w:iCs/>
          <w:sz w:val="20"/>
          <w:szCs w:val="20"/>
        </w:rPr>
        <w:t>(including</w:t>
      </w:r>
      <w:r>
        <w:rPr>
          <w:rFonts w:cs="Arial"/>
          <w:i/>
          <w:iCs/>
          <w:spacing w:val="-11"/>
          <w:sz w:val="20"/>
          <w:szCs w:val="20"/>
        </w:rPr>
        <w:t xml:space="preserve"> </w:t>
      </w:r>
      <w:r>
        <w:rPr>
          <w:rFonts w:cs="Arial"/>
          <w:i/>
          <w:iCs/>
          <w:sz w:val="20"/>
          <w:szCs w:val="20"/>
        </w:rPr>
        <w:t>employee</w:t>
      </w:r>
      <w:r>
        <w:rPr>
          <w:rFonts w:cs="Arial"/>
          <w:i/>
          <w:iCs/>
          <w:spacing w:val="-13"/>
          <w:sz w:val="20"/>
          <w:szCs w:val="20"/>
        </w:rPr>
        <w:t xml:space="preserve"> </w:t>
      </w:r>
      <w:r>
        <w:rPr>
          <w:rFonts w:cs="Arial"/>
          <w:i/>
          <w:iCs/>
          <w:sz w:val="20"/>
          <w:szCs w:val="20"/>
        </w:rPr>
        <w:t>health,</w:t>
      </w:r>
      <w:r>
        <w:rPr>
          <w:rFonts w:cs="Arial"/>
          <w:i/>
          <w:iCs/>
          <w:spacing w:val="-15"/>
          <w:sz w:val="20"/>
          <w:szCs w:val="20"/>
        </w:rPr>
        <w:t xml:space="preserve"> </w:t>
      </w:r>
      <w:r>
        <w:rPr>
          <w:rFonts w:cs="Arial"/>
          <w:i/>
          <w:iCs/>
          <w:sz w:val="20"/>
          <w:szCs w:val="20"/>
        </w:rPr>
        <w:t>financial,</w:t>
      </w:r>
      <w:r>
        <w:rPr>
          <w:rFonts w:cs="Arial"/>
          <w:i/>
          <w:iCs/>
          <w:spacing w:val="-14"/>
          <w:sz w:val="20"/>
          <w:szCs w:val="20"/>
        </w:rPr>
        <w:t xml:space="preserve"> </w:t>
      </w:r>
      <w:r>
        <w:rPr>
          <w:rFonts w:cs="Arial"/>
          <w:i/>
          <w:iCs/>
          <w:sz w:val="20"/>
          <w:szCs w:val="20"/>
        </w:rPr>
        <w:t>personal</w:t>
      </w:r>
      <w:r>
        <w:rPr>
          <w:rFonts w:cs="Arial"/>
          <w:i/>
          <w:iCs/>
          <w:spacing w:val="-17"/>
          <w:sz w:val="20"/>
          <w:szCs w:val="20"/>
        </w:rPr>
        <w:t xml:space="preserve"> </w:t>
      </w:r>
      <w:r>
        <w:rPr>
          <w:rFonts w:cs="Arial"/>
          <w:i/>
          <w:iCs/>
          <w:sz w:val="20"/>
          <w:szCs w:val="20"/>
        </w:rPr>
        <w:t>and</w:t>
      </w:r>
      <w:r>
        <w:rPr>
          <w:rFonts w:cs="Arial"/>
          <w:i/>
          <w:iCs/>
          <w:spacing w:val="-13"/>
          <w:sz w:val="20"/>
          <w:szCs w:val="20"/>
        </w:rPr>
        <w:t xml:space="preserve"> </w:t>
      </w:r>
      <w:r>
        <w:rPr>
          <w:rFonts w:cs="Arial"/>
          <w:i/>
          <w:iCs/>
          <w:sz w:val="20"/>
          <w:szCs w:val="20"/>
        </w:rPr>
        <w:t>administrative)</w:t>
      </w:r>
      <w:r>
        <w:rPr>
          <w:rFonts w:cs="Arial"/>
          <w:i/>
          <w:iCs/>
          <w:spacing w:val="-58"/>
          <w:sz w:val="20"/>
          <w:szCs w:val="20"/>
        </w:rPr>
        <w:t xml:space="preserve"> </w:t>
      </w:r>
      <w:r>
        <w:rPr>
          <w:rFonts w:cs="Arial"/>
          <w:i/>
          <w:iCs/>
          <w:sz w:val="20"/>
          <w:szCs w:val="20"/>
        </w:rPr>
        <w:t>that you gather or use as part of your work with the Service. The records may be paper,</w:t>
      </w:r>
      <w:r>
        <w:rPr>
          <w:rFonts w:cs="Arial"/>
          <w:i/>
          <w:iCs/>
          <w:spacing w:val="1"/>
          <w:sz w:val="20"/>
          <w:szCs w:val="20"/>
        </w:rPr>
        <w:t xml:space="preserve"> </w:t>
      </w:r>
      <w:r>
        <w:rPr>
          <w:rFonts w:cs="Arial"/>
          <w:i/>
          <w:iCs/>
          <w:sz w:val="20"/>
          <w:szCs w:val="20"/>
        </w:rPr>
        <w:t>electronic, audio or videotapes. You must consult your manager if you have any doubt as to</w:t>
      </w:r>
      <w:r>
        <w:rPr>
          <w:rFonts w:cs="Arial"/>
          <w:i/>
          <w:iCs/>
          <w:spacing w:val="1"/>
          <w:sz w:val="20"/>
          <w:szCs w:val="20"/>
        </w:rPr>
        <w:t xml:space="preserve"> </w:t>
      </w:r>
      <w:r>
        <w:rPr>
          <w:rFonts w:cs="Arial"/>
          <w:i/>
          <w:iCs/>
          <w:sz w:val="20"/>
          <w:szCs w:val="20"/>
        </w:rPr>
        <w:t>the</w:t>
      </w:r>
      <w:r>
        <w:rPr>
          <w:rFonts w:cs="Arial"/>
          <w:i/>
          <w:iCs/>
          <w:spacing w:val="-1"/>
          <w:sz w:val="20"/>
          <w:szCs w:val="20"/>
        </w:rPr>
        <w:t xml:space="preserve"> </w:t>
      </w:r>
      <w:r>
        <w:rPr>
          <w:rFonts w:cs="Arial"/>
          <w:i/>
          <w:iCs/>
          <w:sz w:val="20"/>
          <w:szCs w:val="20"/>
        </w:rPr>
        <w:t>correct management</w:t>
      </w:r>
      <w:r>
        <w:rPr>
          <w:rFonts w:cs="Arial"/>
          <w:i/>
          <w:iCs/>
          <w:spacing w:val="-2"/>
          <w:sz w:val="20"/>
          <w:szCs w:val="20"/>
        </w:rPr>
        <w:t xml:space="preserve"> </w:t>
      </w:r>
      <w:r>
        <w:rPr>
          <w:rFonts w:cs="Arial"/>
          <w:i/>
          <w:iCs/>
          <w:sz w:val="20"/>
          <w:szCs w:val="20"/>
        </w:rPr>
        <w:t>of</w:t>
      </w:r>
      <w:r>
        <w:rPr>
          <w:rFonts w:cs="Arial"/>
          <w:i/>
          <w:iCs/>
          <w:spacing w:val="2"/>
          <w:sz w:val="20"/>
          <w:szCs w:val="20"/>
        </w:rPr>
        <w:t xml:space="preserve"> </w:t>
      </w:r>
      <w:r>
        <w:rPr>
          <w:rFonts w:cs="Arial"/>
          <w:i/>
          <w:iCs/>
          <w:sz w:val="20"/>
          <w:szCs w:val="20"/>
        </w:rPr>
        <w:t>the</w:t>
      </w:r>
      <w:r>
        <w:rPr>
          <w:rFonts w:cs="Arial"/>
          <w:i/>
          <w:iCs/>
          <w:spacing w:val="-3"/>
          <w:sz w:val="20"/>
          <w:szCs w:val="20"/>
        </w:rPr>
        <w:t xml:space="preserve"> </w:t>
      </w:r>
      <w:r>
        <w:rPr>
          <w:rFonts w:cs="Arial"/>
          <w:i/>
          <w:iCs/>
          <w:sz w:val="20"/>
          <w:szCs w:val="20"/>
        </w:rPr>
        <w:t>records</w:t>
      </w:r>
      <w:r>
        <w:rPr>
          <w:rFonts w:cs="Arial"/>
          <w:i/>
          <w:iCs/>
          <w:spacing w:val="-2"/>
          <w:sz w:val="20"/>
          <w:szCs w:val="20"/>
        </w:rPr>
        <w:t xml:space="preserve"> </w:t>
      </w:r>
      <w:r>
        <w:rPr>
          <w:rFonts w:cs="Arial"/>
          <w:i/>
          <w:iCs/>
          <w:sz w:val="20"/>
          <w:szCs w:val="20"/>
        </w:rPr>
        <w:t>with</w:t>
      </w:r>
      <w:r>
        <w:rPr>
          <w:rFonts w:cs="Arial"/>
          <w:i/>
          <w:iCs/>
          <w:spacing w:val="1"/>
          <w:sz w:val="20"/>
          <w:szCs w:val="20"/>
        </w:rPr>
        <w:t xml:space="preserve"> </w:t>
      </w:r>
      <w:r>
        <w:rPr>
          <w:rFonts w:cs="Arial"/>
          <w:i/>
          <w:iCs/>
          <w:sz w:val="20"/>
          <w:szCs w:val="20"/>
        </w:rPr>
        <w:t>which</w:t>
      </w:r>
      <w:r>
        <w:rPr>
          <w:rFonts w:cs="Arial"/>
          <w:i/>
          <w:iCs/>
          <w:spacing w:val="2"/>
          <w:sz w:val="20"/>
          <w:szCs w:val="20"/>
        </w:rPr>
        <w:t xml:space="preserve"> </w:t>
      </w:r>
      <w:r>
        <w:rPr>
          <w:rFonts w:cs="Arial"/>
          <w:i/>
          <w:iCs/>
          <w:sz w:val="20"/>
          <w:szCs w:val="20"/>
        </w:rPr>
        <w:t>you work.</w:t>
      </w:r>
    </w:p>
    <w:p>
      <w:pPr>
        <w:pStyle w:val="Normal"/>
        <w:rPr/>
      </w:pPr>
      <w:r>
        <w:rPr>
          <w:rFonts w:cs="Arial"/>
          <w:b/>
          <w:bCs/>
          <w:i/>
          <w:iCs/>
          <w:spacing w:val="-1"/>
          <w:sz w:val="20"/>
          <w:szCs w:val="20"/>
        </w:rPr>
        <w:t>Confidentiality</w:t>
      </w:r>
      <w:r>
        <w:rPr>
          <w:rFonts w:cs="Arial"/>
          <w:b/>
          <w:bCs/>
          <w:i/>
          <w:iCs/>
          <w:spacing w:val="-15"/>
          <w:sz w:val="20"/>
          <w:szCs w:val="20"/>
        </w:rPr>
        <w:t xml:space="preserve"> </w:t>
      </w:r>
      <w:r>
        <w:rPr>
          <w:rFonts w:cs="Arial"/>
          <w:b/>
          <w:bCs/>
          <w:i/>
          <w:iCs/>
          <w:sz w:val="20"/>
          <w:szCs w:val="20"/>
        </w:rPr>
        <w:t>and</w:t>
      </w:r>
      <w:r>
        <w:rPr>
          <w:rFonts w:cs="Arial"/>
          <w:b/>
          <w:bCs/>
          <w:i/>
          <w:iCs/>
          <w:spacing w:val="-12"/>
          <w:sz w:val="20"/>
          <w:szCs w:val="20"/>
        </w:rPr>
        <w:t xml:space="preserve"> </w:t>
      </w:r>
      <w:r>
        <w:rPr>
          <w:rFonts w:cs="Arial"/>
          <w:b/>
          <w:bCs/>
          <w:i/>
          <w:iCs/>
          <w:sz w:val="20"/>
          <w:szCs w:val="20"/>
        </w:rPr>
        <w:t>Information</w:t>
      </w:r>
      <w:r>
        <w:rPr>
          <w:rFonts w:cs="Arial"/>
          <w:b/>
          <w:bCs/>
          <w:i/>
          <w:iCs/>
          <w:spacing w:val="-13"/>
          <w:sz w:val="20"/>
          <w:szCs w:val="20"/>
        </w:rPr>
        <w:t xml:space="preserve"> </w:t>
      </w:r>
      <w:r>
        <w:rPr>
          <w:rFonts w:cs="Arial"/>
          <w:b/>
          <w:bCs/>
          <w:i/>
          <w:iCs/>
          <w:sz w:val="20"/>
          <w:szCs w:val="20"/>
        </w:rPr>
        <w:t>Security</w:t>
      </w:r>
      <w:r>
        <w:rPr>
          <w:rFonts w:cs="Arial"/>
          <w:i/>
          <w:iCs/>
          <w:spacing w:val="-16"/>
          <w:sz w:val="20"/>
          <w:szCs w:val="20"/>
        </w:rPr>
        <w:t xml:space="preserve"> </w:t>
      </w:r>
      <w:r>
        <w:rPr>
          <w:rFonts w:cs="Arial"/>
          <w:i/>
          <w:iCs/>
          <w:sz w:val="20"/>
          <w:szCs w:val="20"/>
        </w:rPr>
        <w:t>-</w:t>
      </w:r>
      <w:r>
        <w:rPr>
          <w:rFonts w:cs="Arial"/>
          <w:i/>
          <w:iCs/>
          <w:spacing w:val="-10"/>
          <w:sz w:val="20"/>
          <w:szCs w:val="20"/>
        </w:rPr>
        <w:t xml:space="preserve"> </w:t>
      </w:r>
      <w:r>
        <w:rPr>
          <w:rFonts w:cs="Arial"/>
          <w:i/>
          <w:iCs/>
          <w:sz w:val="20"/>
          <w:szCs w:val="20"/>
        </w:rPr>
        <w:t>As</w:t>
      </w:r>
      <w:r>
        <w:rPr>
          <w:rFonts w:cs="Arial"/>
          <w:i/>
          <w:iCs/>
          <w:spacing w:val="-11"/>
          <w:sz w:val="20"/>
          <w:szCs w:val="20"/>
        </w:rPr>
        <w:t xml:space="preserve"> </w:t>
      </w:r>
      <w:r>
        <w:rPr>
          <w:rFonts w:cs="Arial"/>
          <w:i/>
          <w:iCs/>
          <w:sz w:val="20"/>
          <w:szCs w:val="20"/>
        </w:rPr>
        <w:t>a</w:t>
      </w:r>
      <w:r>
        <w:rPr>
          <w:rFonts w:cs="Arial"/>
          <w:i/>
          <w:iCs/>
          <w:spacing w:val="-16"/>
          <w:sz w:val="20"/>
          <w:szCs w:val="20"/>
        </w:rPr>
        <w:t xml:space="preserve"> </w:t>
      </w:r>
      <w:r>
        <w:rPr>
          <w:rFonts w:cs="Arial"/>
          <w:i/>
          <w:iCs/>
          <w:sz w:val="20"/>
          <w:szCs w:val="20"/>
        </w:rPr>
        <w:t>GMCA</w:t>
      </w:r>
      <w:r>
        <w:rPr>
          <w:rFonts w:cs="Arial"/>
          <w:i/>
          <w:iCs/>
          <w:spacing w:val="-11"/>
          <w:sz w:val="20"/>
          <w:szCs w:val="20"/>
        </w:rPr>
        <w:t xml:space="preserve"> </w:t>
      </w:r>
      <w:r>
        <w:rPr>
          <w:rFonts w:cs="Arial"/>
          <w:i/>
          <w:iCs/>
          <w:sz w:val="20"/>
          <w:szCs w:val="20"/>
        </w:rPr>
        <w:t>employee</w:t>
      </w:r>
      <w:r>
        <w:rPr>
          <w:rFonts w:cs="Arial"/>
          <w:i/>
          <w:iCs/>
          <w:spacing w:val="-12"/>
          <w:sz w:val="20"/>
          <w:szCs w:val="20"/>
        </w:rPr>
        <w:t xml:space="preserve"> </w:t>
      </w:r>
      <w:r>
        <w:rPr>
          <w:rFonts w:cs="Arial"/>
          <w:i/>
          <w:iCs/>
          <w:sz w:val="20"/>
          <w:szCs w:val="20"/>
        </w:rPr>
        <w:t>you</w:t>
      </w:r>
      <w:r>
        <w:rPr>
          <w:rFonts w:cs="Arial"/>
          <w:i/>
          <w:iCs/>
          <w:spacing w:val="-12"/>
          <w:sz w:val="20"/>
          <w:szCs w:val="20"/>
        </w:rPr>
        <w:t xml:space="preserve"> </w:t>
      </w:r>
      <w:r>
        <w:rPr>
          <w:rFonts w:cs="Arial"/>
          <w:i/>
          <w:iCs/>
          <w:sz w:val="20"/>
          <w:szCs w:val="20"/>
        </w:rPr>
        <w:t>are</w:t>
      </w:r>
      <w:r>
        <w:rPr>
          <w:rFonts w:cs="Arial"/>
          <w:i/>
          <w:iCs/>
          <w:spacing w:val="-11"/>
          <w:sz w:val="20"/>
          <w:szCs w:val="20"/>
        </w:rPr>
        <w:t xml:space="preserve"> </w:t>
      </w:r>
      <w:r>
        <w:rPr>
          <w:rFonts w:cs="Arial"/>
          <w:i/>
          <w:iCs/>
          <w:sz w:val="20"/>
          <w:szCs w:val="20"/>
        </w:rPr>
        <w:t>required</w:t>
      </w:r>
      <w:r>
        <w:rPr>
          <w:rFonts w:cs="Arial"/>
          <w:i/>
          <w:iCs/>
          <w:spacing w:val="-15"/>
          <w:sz w:val="20"/>
          <w:szCs w:val="20"/>
        </w:rPr>
        <w:t xml:space="preserve"> </w:t>
      </w:r>
      <w:r>
        <w:rPr>
          <w:rFonts w:cs="Arial"/>
          <w:i/>
          <w:iCs/>
          <w:sz w:val="20"/>
          <w:szCs w:val="20"/>
        </w:rPr>
        <w:t>to</w:t>
      </w:r>
      <w:r>
        <w:rPr>
          <w:rFonts w:cs="Arial"/>
          <w:i/>
          <w:iCs/>
          <w:spacing w:val="-12"/>
          <w:sz w:val="20"/>
          <w:szCs w:val="20"/>
        </w:rPr>
        <w:t xml:space="preserve"> </w:t>
      </w:r>
      <w:r>
        <w:rPr>
          <w:rFonts w:cs="Arial"/>
          <w:i/>
          <w:iCs/>
          <w:sz w:val="20"/>
          <w:szCs w:val="20"/>
        </w:rPr>
        <w:t>uphold</w:t>
      </w:r>
      <w:r>
        <w:rPr>
          <w:rFonts w:cs="Arial"/>
          <w:i/>
          <w:iCs/>
          <w:spacing w:val="-58"/>
          <w:sz w:val="20"/>
          <w:szCs w:val="20"/>
        </w:rPr>
        <w:t xml:space="preserve"> </w:t>
      </w:r>
      <w:r>
        <w:rPr>
          <w:rFonts w:cs="Arial"/>
          <w:i/>
          <w:iCs/>
          <w:sz w:val="20"/>
          <w:szCs w:val="20"/>
        </w:rPr>
        <w:t>the confidentiality of all records held by the GMCA, whether employee records or GMCA</w:t>
      </w:r>
      <w:r>
        <w:rPr>
          <w:rFonts w:cs="Arial"/>
          <w:i/>
          <w:iCs/>
          <w:spacing w:val="1"/>
          <w:sz w:val="20"/>
          <w:szCs w:val="20"/>
        </w:rPr>
        <w:t xml:space="preserve"> </w:t>
      </w:r>
      <w:r>
        <w:rPr>
          <w:rFonts w:cs="Arial"/>
          <w:i/>
          <w:iCs/>
          <w:sz w:val="20"/>
          <w:szCs w:val="20"/>
        </w:rPr>
        <w:t>information.</w:t>
      </w:r>
      <w:r>
        <w:rPr>
          <w:rFonts w:cs="Arial"/>
          <w:i/>
          <w:iCs/>
          <w:spacing w:val="1"/>
          <w:sz w:val="20"/>
          <w:szCs w:val="20"/>
        </w:rPr>
        <w:t xml:space="preserve"> </w:t>
      </w:r>
      <w:r>
        <w:rPr>
          <w:rFonts w:cs="Arial"/>
          <w:i/>
          <w:iCs/>
          <w:sz w:val="20"/>
          <w:szCs w:val="20"/>
        </w:rPr>
        <w:t>This</w:t>
      </w:r>
      <w:r>
        <w:rPr>
          <w:rFonts w:cs="Arial"/>
          <w:i/>
          <w:iCs/>
          <w:spacing w:val="1"/>
          <w:sz w:val="20"/>
          <w:szCs w:val="20"/>
        </w:rPr>
        <w:t xml:space="preserve"> </w:t>
      </w:r>
      <w:r>
        <w:rPr>
          <w:rFonts w:cs="Arial"/>
          <w:i/>
          <w:iCs/>
          <w:sz w:val="20"/>
          <w:szCs w:val="20"/>
        </w:rPr>
        <w:t>duty</w:t>
      </w:r>
      <w:r>
        <w:rPr>
          <w:rFonts w:cs="Arial"/>
          <w:i/>
          <w:iCs/>
          <w:spacing w:val="1"/>
          <w:sz w:val="20"/>
          <w:szCs w:val="20"/>
        </w:rPr>
        <w:t xml:space="preserve"> </w:t>
      </w:r>
      <w:r>
        <w:rPr>
          <w:rFonts w:cs="Arial"/>
          <w:i/>
          <w:iCs/>
          <w:sz w:val="20"/>
          <w:szCs w:val="20"/>
        </w:rPr>
        <w:t>lasts</w:t>
      </w:r>
      <w:r>
        <w:rPr>
          <w:rFonts w:cs="Arial"/>
          <w:i/>
          <w:iCs/>
          <w:spacing w:val="1"/>
          <w:sz w:val="20"/>
          <w:szCs w:val="20"/>
        </w:rPr>
        <w:t xml:space="preserve"> </w:t>
      </w:r>
      <w:r>
        <w:rPr>
          <w:rFonts w:cs="Arial"/>
          <w:i/>
          <w:iCs/>
          <w:sz w:val="20"/>
          <w:szCs w:val="20"/>
        </w:rPr>
        <w:t>indefinitely</w:t>
      </w:r>
      <w:r>
        <w:rPr>
          <w:rFonts w:cs="Arial"/>
          <w:i/>
          <w:iCs/>
          <w:spacing w:val="1"/>
          <w:sz w:val="20"/>
          <w:szCs w:val="20"/>
        </w:rPr>
        <w:t xml:space="preserve"> </w:t>
      </w:r>
      <w:r>
        <w:rPr>
          <w:rFonts w:cs="Arial"/>
          <w:i/>
          <w:iCs/>
          <w:sz w:val="20"/>
          <w:szCs w:val="20"/>
        </w:rPr>
        <w:t>and</w:t>
      </w:r>
      <w:r>
        <w:rPr>
          <w:rFonts w:cs="Arial"/>
          <w:i/>
          <w:iCs/>
          <w:spacing w:val="1"/>
          <w:sz w:val="20"/>
          <w:szCs w:val="20"/>
        </w:rPr>
        <w:t xml:space="preserve"> </w:t>
      </w:r>
      <w:r>
        <w:rPr>
          <w:rFonts w:cs="Arial"/>
          <w:i/>
          <w:iCs/>
          <w:sz w:val="20"/>
          <w:szCs w:val="20"/>
        </w:rPr>
        <w:t>will</w:t>
      </w:r>
      <w:r>
        <w:rPr>
          <w:rFonts w:cs="Arial"/>
          <w:i/>
          <w:iCs/>
          <w:spacing w:val="1"/>
          <w:sz w:val="20"/>
          <w:szCs w:val="20"/>
        </w:rPr>
        <w:t xml:space="preserve"> </w:t>
      </w:r>
      <w:r>
        <w:rPr>
          <w:rFonts w:cs="Arial"/>
          <w:i/>
          <w:iCs/>
          <w:sz w:val="20"/>
          <w:szCs w:val="20"/>
        </w:rPr>
        <w:t>continue</w:t>
      </w:r>
      <w:r>
        <w:rPr>
          <w:rFonts w:cs="Arial"/>
          <w:i/>
          <w:iCs/>
          <w:spacing w:val="1"/>
          <w:sz w:val="20"/>
          <w:szCs w:val="20"/>
        </w:rPr>
        <w:t xml:space="preserve"> </w:t>
      </w:r>
      <w:r>
        <w:rPr>
          <w:rFonts w:cs="Arial"/>
          <w:i/>
          <w:iCs/>
          <w:sz w:val="20"/>
          <w:szCs w:val="20"/>
        </w:rPr>
        <w:t>after</w:t>
      </w:r>
      <w:r>
        <w:rPr>
          <w:rFonts w:cs="Arial"/>
          <w:i/>
          <w:iCs/>
          <w:spacing w:val="1"/>
          <w:sz w:val="20"/>
          <w:szCs w:val="20"/>
        </w:rPr>
        <w:t xml:space="preserve"> </w:t>
      </w:r>
      <w:r>
        <w:rPr>
          <w:rFonts w:cs="Arial"/>
          <w:i/>
          <w:iCs/>
          <w:sz w:val="20"/>
          <w:szCs w:val="20"/>
        </w:rPr>
        <w:t>you</w:t>
      </w:r>
      <w:r>
        <w:rPr>
          <w:rFonts w:cs="Arial"/>
          <w:i/>
          <w:iCs/>
          <w:spacing w:val="1"/>
          <w:sz w:val="20"/>
          <w:szCs w:val="20"/>
        </w:rPr>
        <w:t xml:space="preserve"> </w:t>
      </w:r>
      <w:r>
        <w:rPr>
          <w:rFonts w:cs="Arial"/>
          <w:i/>
          <w:iCs/>
          <w:sz w:val="20"/>
          <w:szCs w:val="20"/>
        </w:rPr>
        <w:t>leave</w:t>
      </w:r>
      <w:r>
        <w:rPr>
          <w:rFonts w:cs="Arial"/>
          <w:i/>
          <w:iCs/>
          <w:spacing w:val="1"/>
          <w:sz w:val="20"/>
          <w:szCs w:val="20"/>
        </w:rPr>
        <w:t xml:space="preserve"> </w:t>
      </w:r>
      <w:r>
        <w:rPr>
          <w:rFonts w:cs="Arial"/>
          <w:i/>
          <w:iCs/>
          <w:sz w:val="20"/>
          <w:szCs w:val="20"/>
        </w:rPr>
        <w:t>the</w:t>
      </w:r>
      <w:r>
        <w:rPr>
          <w:rFonts w:cs="Arial"/>
          <w:i/>
          <w:iCs/>
          <w:spacing w:val="1"/>
          <w:sz w:val="20"/>
          <w:szCs w:val="20"/>
        </w:rPr>
        <w:t xml:space="preserve"> </w:t>
      </w:r>
      <w:r>
        <w:rPr>
          <w:rFonts w:cs="Arial"/>
          <w:i/>
          <w:iCs/>
          <w:sz w:val="20"/>
          <w:szCs w:val="20"/>
        </w:rPr>
        <w:t>GMCA</w:t>
      </w:r>
      <w:r>
        <w:rPr>
          <w:rFonts w:cs="Arial"/>
          <w:i/>
          <w:iCs/>
          <w:spacing w:val="1"/>
          <w:sz w:val="20"/>
          <w:szCs w:val="20"/>
        </w:rPr>
        <w:t xml:space="preserve"> </w:t>
      </w:r>
      <w:r>
        <w:rPr>
          <w:rFonts w:cs="Arial"/>
          <w:i/>
          <w:iCs/>
          <w:sz w:val="20"/>
          <w:szCs w:val="20"/>
        </w:rPr>
        <w:t>employment. All employees must maintain confidentiality and abide by the Data Protection</w:t>
      </w:r>
      <w:r>
        <w:rPr>
          <w:rFonts w:cs="Arial"/>
          <w:i/>
          <w:iCs/>
          <w:spacing w:val="1"/>
          <w:sz w:val="20"/>
          <w:szCs w:val="20"/>
        </w:rPr>
        <w:t xml:space="preserve"> </w:t>
      </w:r>
      <w:r>
        <w:rPr>
          <w:rFonts w:cs="Arial"/>
          <w:i/>
          <w:iCs/>
          <w:sz w:val="20"/>
          <w:szCs w:val="20"/>
        </w:rPr>
        <w:t>Act.</w:t>
      </w:r>
    </w:p>
    <w:p>
      <w:pPr>
        <w:pStyle w:val="Normal"/>
        <w:rPr/>
      </w:pPr>
      <w:r>
        <w:rPr>
          <w:rFonts w:cs="Arial"/>
          <w:b/>
          <w:bCs/>
          <w:i/>
          <w:iCs/>
          <w:sz w:val="20"/>
          <w:szCs w:val="20"/>
        </w:rPr>
        <w:t>Data</w:t>
      </w:r>
      <w:r>
        <w:rPr>
          <w:rFonts w:cs="Arial"/>
          <w:b/>
          <w:bCs/>
          <w:i/>
          <w:iCs/>
          <w:spacing w:val="1"/>
          <w:sz w:val="20"/>
          <w:szCs w:val="20"/>
        </w:rPr>
        <w:t xml:space="preserve"> </w:t>
      </w:r>
      <w:r>
        <w:rPr>
          <w:rFonts w:cs="Arial"/>
          <w:b/>
          <w:bCs/>
          <w:i/>
          <w:iCs/>
          <w:sz w:val="20"/>
          <w:szCs w:val="20"/>
        </w:rPr>
        <w:t>Quality</w:t>
      </w:r>
      <w:r>
        <w:rPr>
          <w:rFonts w:cs="Arial"/>
          <w:i/>
          <w:iCs/>
          <w:spacing w:val="1"/>
          <w:sz w:val="20"/>
          <w:szCs w:val="20"/>
        </w:rPr>
        <w:t xml:space="preserve"> </w:t>
      </w:r>
      <w:r>
        <w:rPr>
          <w:rFonts w:cs="Arial"/>
          <w:i/>
          <w:iCs/>
          <w:sz w:val="20"/>
          <w:szCs w:val="20"/>
        </w:rPr>
        <w:t>-</w:t>
      </w:r>
      <w:r>
        <w:rPr>
          <w:rFonts w:cs="Arial"/>
          <w:i/>
          <w:iCs/>
          <w:spacing w:val="1"/>
          <w:sz w:val="20"/>
          <w:szCs w:val="20"/>
        </w:rPr>
        <w:t xml:space="preserve"> </w:t>
      </w:r>
      <w:r>
        <w:rPr>
          <w:rFonts w:cs="Arial"/>
          <w:i/>
          <w:iCs/>
          <w:sz w:val="20"/>
          <w:szCs w:val="20"/>
        </w:rPr>
        <w:t>All</w:t>
      </w:r>
      <w:r>
        <w:rPr>
          <w:rFonts w:cs="Arial"/>
          <w:i/>
          <w:iCs/>
          <w:spacing w:val="1"/>
          <w:sz w:val="20"/>
          <w:szCs w:val="20"/>
        </w:rPr>
        <w:t xml:space="preserve"> </w:t>
      </w:r>
      <w:r>
        <w:rPr>
          <w:rFonts w:cs="Arial"/>
          <w:i/>
          <w:iCs/>
          <w:sz w:val="20"/>
          <w:szCs w:val="20"/>
        </w:rPr>
        <w:t>staff</w:t>
      </w:r>
      <w:r>
        <w:rPr>
          <w:rFonts w:cs="Arial"/>
          <w:i/>
          <w:iCs/>
          <w:spacing w:val="1"/>
          <w:sz w:val="20"/>
          <w:szCs w:val="20"/>
        </w:rPr>
        <w:t xml:space="preserve"> </w:t>
      </w:r>
      <w:r>
        <w:rPr>
          <w:rFonts w:cs="Arial"/>
          <w:i/>
          <w:iCs/>
          <w:sz w:val="20"/>
          <w:szCs w:val="20"/>
        </w:rPr>
        <w:t>are</w:t>
      </w:r>
      <w:r>
        <w:rPr>
          <w:rFonts w:cs="Arial"/>
          <w:i/>
          <w:iCs/>
          <w:spacing w:val="1"/>
          <w:sz w:val="20"/>
          <w:szCs w:val="20"/>
        </w:rPr>
        <w:t xml:space="preserve"> </w:t>
      </w:r>
      <w:r>
        <w:rPr>
          <w:rFonts w:cs="Arial"/>
          <w:i/>
          <w:iCs/>
          <w:sz w:val="20"/>
          <w:szCs w:val="20"/>
        </w:rPr>
        <w:t>personally</w:t>
      </w:r>
      <w:r>
        <w:rPr>
          <w:rFonts w:cs="Arial"/>
          <w:i/>
          <w:iCs/>
          <w:spacing w:val="1"/>
          <w:sz w:val="20"/>
          <w:szCs w:val="20"/>
        </w:rPr>
        <w:t xml:space="preserve"> </w:t>
      </w:r>
      <w:r>
        <w:rPr>
          <w:rFonts w:cs="Arial"/>
          <w:i/>
          <w:iCs/>
          <w:sz w:val="20"/>
          <w:szCs w:val="20"/>
        </w:rPr>
        <w:t>responsible</w:t>
      </w:r>
      <w:r>
        <w:rPr>
          <w:rFonts w:cs="Arial"/>
          <w:i/>
          <w:iCs/>
          <w:spacing w:val="1"/>
          <w:sz w:val="20"/>
          <w:szCs w:val="20"/>
        </w:rPr>
        <w:t xml:space="preserve"> </w:t>
      </w:r>
      <w:r>
        <w:rPr>
          <w:rFonts w:cs="Arial"/>
          <w:i/>
          <w:iCs/>
          <w:sz w:val="20"/>
          <w:szCs w:val="20"/>
        </w:rPr>
        <w:t>for</w:t>
      </w:r>
      <w:r>
        <w:rPr>
          <w:rFonts w:cs="Arial"/>
          <w:i/>
          <w:iCs/>
          <w:spacing w:val="1"/>
          <w:sz w:val="20"/>
          <w:szCs w:val="20"/>
        </w:rPr>
        <w:t xml:space="preserve"> </w:t>
      </w:r>
      <w:r>
        <w:rPr>
          <w:rFonts w:cs="Arial"/>
          <w:i/>
          <w:iCs/>
          <w:sz w:val="20"/>
          <w:szCs w:val="20"/>
        </w:rPr>
        <w:t>the</w:t>
      </w:r>
      <w:r>
        <w:rPr>
          <w:rFonts w:cs="Arial"/>
          <w:i/>
          <w:iCs/>
          <w:spacing w:val="1"/>
          <w:sz w:val="20"/>
          <w:szCs w:val="20"/>
        </w:rPr>
        <w:t xml:space="preserve"> </w:t>
      </w:r>
      <w:r>
        <w:rPr>
          <w:rFonts w:cs="Arial"/>
          <w:i/>
          <w:iCs/>
          <w:sz w:val="20"/>
          <w:szCs w:val="20"/>
        </w:rPr>
        <w:t>quality</w:t>
      </w:r>
      <w:r>
        <w:rPr>
          <w:rFonts w:cs="Arial"/>
          <w:i/>
          <w:iCs/>
          <w:spacing w:val="1"/>
          <w:sz w:val="20"/>
          <w:szCs w:val="20"/>
        </w:rPr>
        <w:t xml:space="preserve"> </w:t>
      </w:r>
      <w:r>
        <w:rPr>
          <w:rFonts w:cs="Arial"/>
          <w:i/>
          <w:iCs/>
          <w:sz w:val="20"/>
          <w:szCs w:val="20"/>
        </w:rPr>
        <w:t>of</w:t>
      </w:r>
      <w:r>
        <w:rPr>
          <w:rFonts w:cs="Arial"/>
          <w:i/>
          <w:iCs/>
          <w:spacing w:val="1"/>
          <w:sz w:val="20"/>
          <w:szCs w:val="20"/>
        </w:rPr>
        <w:t xml:space="preserve"> </w:t>
      </w:r>
      <w:r>
        <w:rPr>
          <w:rFonts w:cs="Arial"/>
          <w:i/>
          <w:iCs/>
          <w:sz w:val="20"/>
          <w:szCs w:val="20"/>
        </w:rPr>
        <w:t>data</w:t>
      </w:r>
      <w:r>
        <w:rPr>
          <w:rFonts w:cs="Arial"/>
          <w:i/>
          <w:iCs/>
          <w:spacing w:val="1"/>
          <w:sz w:val="20"/>
          <w:szCs w:val="20"/>
        </w:rPr>
        <w:t xml:space="preserve"> </w:t>
      </w:r>
      <w:r>
        <w:rPr>
          <w:rFonts w:cs="Arial"/>
          <w:i/>
          <w:iCs/>
          <w:sz w:val="20"/>
          <w:szCs w:val="20"/>
        </w:rPr>
        <w:t>entered</w:t>
      </w:r>
      <w:r>
        <w:rPr>
          <w:rFonts w:cs="Arial"/>
          <w:i/>
          <w:iCs/>
          <w:spacing w:val="1"/>
          <w:sz w:val="20"/>
          <w:szCs w:val="20"/>
        </w:rPr>
        <w:t xml:space="preserve"> </w:t>
      </w:r>
      <w:r>
        <w:rPr>
          <w:rFonts w:cs="Arial"/>
          <w:i/>
          <w:iCs/>
          <w:sz w:val="20"/>
          <w:szCs w:val="20"/>
        </w:rPr>
        <w:t>by</w:t>
      </w:r>
      <w:r>
        <w:rPr>
          <w:rFonts w:cs="Arial"/>
          <w:i/>
          <w:iCs/>
          <w:spacing w:val="1"/>
          <w:sz w:val="20"/>
          <w:szCs w:val="20"/>
        </w:rPr>
        <w:t xml:space="preserve"> </w:t>
      </w:r>
      <w:r>
        <w:rPr>
          <w:rFonts w:cs="Arial"/>
          <w:i/>
          <w:iCs/>
          <w:sz w:val="20"/>
          <w:szCs w:val="20"/>
        </w:rPr>
        <w:t>themselves, or on their behalf, on GMCAs computerised systems or manual records (paper</w:t>
      </w:r>
      <w:r>
        <w:rPr>
          <w:rFonts w:cs="Arial"/>
          <w:i/>
          <w:iCs/>
          <w:spacing w:val="1"/>
          <w:sz w:val="20"/>
          <w:szCs w:val="20"/>
        </w:rPr>
        <w:t xml:space="preserve"> </w:t>
      </w:r>
      <w:r>
        <w:rPr>
          <w:rFonts w:cs="Arial"/>
          <w:i/>
          <w:iCs/>
          <w:sz w:val="20"/>
          <w:szCs w:val="20"/>
        </w:rPr>
        <w:t>records) and must ensure that such data is entered accurately and, in a timely manner, to</w:t>
      </w:r>
      <w:r>
        <w:rPr>
          <w:rFonts w:cs="Arial"/>
          <w:i/>
          <w:iCs/>
          <w:spacing w:val="1"/>
          <w:sz w:val="20"/>
          <w:szCs w:val="20"/>
        </w:rPr>
        <w:t xml:space="preserve"> </w:t>
      </w:r>
      <w:r>
        <w:rPr>
          <w:rFonts w:cs="Arial"/>
          <w:i/>
          <w:iCs/>
          <w:sz w:val="20"/>
          <w:szCs w:val="20"/>
        </w:rPr>
        <w:t>ensure high</w:t>
      </w:r>
      <w:r>
        <w:rPr>
          <w:rFonts w:cs="Arial"/>
          <w:i/>
          <w:iCs/>
          <w:spacing w:val="-3"/>
          <w:sz w:val="20"/>
          <w:szCs w:val="20"/>
        </w:rPr>
        <w:t xml:space="preserve"> </w:t>
      </w:r>
      <w:r>
        <w:rPr>
          <w:rFonts w:cs="Arial"/>
          <w:i/>
          <w:iCs/>
          <w:sz w:val="20"/>
          <w:szCs w:val="20"/>
        </w:rPr>
        <w:t>standards of data</w:t>
      </w:r>
      <w:r>
        <w:rPr>
          <w:rFonts w:cs="Arial"/>
          <w:i/>
          <w:iCs/>
          <w:spacing w:val="-5"/>
          <w:sz w:val="20"/>
          <w:szCs w:val="20"/>
        </w:rPr>
        <w:t xml:space="preserve"> </w:t>
      </w:r>
      <w:r>
        <w:rPr>
          <w:rFonts w:cs="Arial"/>
          <w:i/>
          <w:iCs/>
          <w:sz w:val="20"/>
          <w:szCs w:val="20"/>
        </w:rPr>
        <w:t>quality</w:t>
      </w:r>
      <w:r>
        <w:rPr>
          <w:rFonts w:cs="Arial"/>
          <w:i/>
          <w:iCs/>
          <w:spacing w:val="-2"/>
          <w:sz w:val="20"/>
          <w:szCs w:val="20"/>
        </w:rPr>
        <w:t xml:space="preserve"> </w:t>
      </w:r>
      <w:r>
        <w:rPr>
          <w:rFonts w:cs="Arial"/>
          <w:i/>
          <w:iCs/>
          <w:sz w:val="20"/>
          <w:szCs w:val="20"/>
        </w:rPr>
        <w:t>in accordance with Departmental protocols. To ensure data is handled in a secure manner protecting the confidentiality of any personal</w:t>
      </w:r>
      <w:r>
        <w:rPr>
          <w:rFonts w:cs="Arial"/>
          <w:i/>
          <w:iCs/>
          <w:spacing w:val="1"/>
          <w:sz w:val="20"/>
          <w:szCs w:val="20"/>
        </w:rPr>
        <w:t xml:space="preserve"> </w:t>
      </w:r>
      <w:r>
        <w:rPr>
          <w:rFonts w:cs="Arial"/>
          <w:i/>
          <w:iCs/>
          <w:sz w:val="20"/>
          <w:szCs w:val="20"/>
        </w:rPr>
        <w:t>data</w:t>
      </w:r>
      <w:r>
        <w:rPr>
          <w:rFonts w:cs="Arial"/>
          <w:i/>
          <w:iCs/>
          <w:spacing w:val="-1"/>
          <w:sz w:val="20"/>
          <w:szCs w:val="20"/>
        </w:rPr>
        <w:t xml:space="preserve"> </w:t>
      </w:r>
      <w:r>
        <w:rPr>
          <w:rFonts w:cs="Arial"/>
          <w:i/>
          <w:iCs/>
          <w:sz w:val="20"/>
          <w:szCs w:val="20"/>
        </w:rPr>
        <w:t>held in</w:t>
      </w:r>
      <w:r>
        <w:rPr>
          <w:rFonts w:cs="Arial"/>
          <w:i/>
          <w:iCs/>
          <w:spacing w:val="-2"/>
          <w:sz w:val="20"/>
          <w:szCs w:val="20"/>
        </w:rPr>
        <w:t xml:space="preserve"> </w:t>
      </w:r>
      <w:r>
        <w:rPr>
          <w:rFonts w:cs="Arial"/>
          <w:i/>
          <w:iCs/>
          <w:sz w:val="20"/>
          <w:szCs w:val="20"/>
        </w:rPr>
        <w:t>meeting</w:t>
      </w:r>
      <w:r>
        <w:rPr>
          <w:rFonts w:cs="Arial"/>
          <w:i/>
          <w:iCs/>
          <w:spacing w:val="-1"/>
          <w:sz w:val="20"/>
          <w:szCs w:val="20"/>
        </w:rPr>
        <w:t xml:space="preserve"> </w:t>
      </w:r>
      <w:r>
        <w:rPr>
          <w:rFonts w:cs="Arial"/>
          <w:i/>
          <w:iCs/>
          <w:sz w:val="20"/>
          <w:szCs w:val="20"/>
        </w:rPr>
        <w:t>the</w:t>
      </w:r>
      <w:r>
        <w:rPr>
          <w:rFonts w:cs="Arial"/>
          <w:i/>
          <w:iCs/>
          <w:spacing w:val="-4"/>
          <w:sz w:val="20"/>
          <w:szCs w:val="20"/>
        </w:rPr>
        <w:t xml:space="preserve"> </w:t>
      </w:r>
      <w:r>
        <w:rPr>
          <w:rFonts w:cs="Arial"/>
          <w:i/>
          <w:iCs/>
          <w:sz w:val="20"/>
          <w:szCs w:val="20"/>
        </w:rPr>
        <w:t>requirements</w:t>
      </w:r>
      <w:r>
        <w:rPr>
          <w:rFonts w:cs="Arial"/>
          <w:i/>
          <w:iCs/>
          <w:spacing w:val="-1"/>
          <w:sz w:val="20"/>
          <w:szCs w:val="20"/>
        </w:rPr>
        <w:t xml:space="preserve"> </w:t>
      </w:r>
      <w:r>
        <w:rPr>
          <w:rFonts w:cs="Arial"/>
          <w:i/>
          <w:iCs/>
          <w:sz w:val="20"/>
          <w:szCs w:val="20"/>
        </w:rPr>
        <w:t>of</w:t>
      </w:r>
      <w:r>
        <w:rPr>
          <w:rFonts w:cs="Arial"/>
          <w:i/>
          <w:iCs/>
          <w:spacing w:val="2"/>
          <w:sz w:val="20"/>
          <w:szCs w:val="20"/>
        </w:rPr>
        <w:t xml:space="preserve"> </w:t>
      </w:r>
      <w:r>
        <w:rPr>
          <w:rFonts w:cs="Arial"/>
          <w:i/>
          <w:iCs/>
          <w:sz w:val="20"/>
          <w:szCs w:val="20"/>
        </w:rPr>
        <w:t>the</w:t>
      </w:r>
      <w:r>
        <w:rPr>
          <w:rFonts w:cs="Arial"/>
          <w:i/>
          <w:iCs/>
          <w:spacing w:val="-3"/>
          <w:sz w:val="20"/>
          <w:szCs w:val="20"/>
        </w:rPr>
        <w:t xml:space="preserve"> </w:t>
      </w:r>
      <w:r>
        <w:rPr>
          <w:rFonts w:cs="Arial"/>
          <w:i/>
          <w:iCs/>
          <w:sz w:val="20"/>
          <w:szCs w:val="20"/>
        </w:rPr>
        <w:t>Data</w:t>
      </w:r>
      <w:r>
        <w:rPr>
          <w:rFonts w:cs="Arial"/>
          <w:i/>
          <w:iCs/>
          <w:spacing w:val="-1"/>
          <w:sz w:val="20"/>
          <w:szCs w:val="20"/>
        </w:rPr>
        <w:t xml:space="preserve"> </w:t>
      </w:r>
      <w:r>
        <w:rPr>
          <w:rFonts w:cs="Arial"/>
          <w:i/>
          <w:iCs/>
          <w:sz w:val="20"/>
          <w:szCs w:val="20"/>
        </w:rPr>
        <w:t>Protection</w:t>
      </w:r>
      <w:r>
        <w:rPr>
          <w:rFonts w:cs="Arial"/>
          <w:i/>
          <w:iCs/>
          <w:spacing w:val="1"/>
          <w:sz w:val="20"/>
          <w:szCs w:val="20"/>
        </w:rPr>
        <w:t xml:space="preserve"> </w:t>
      </w:r>
      <w:r>
        <w:rPr>
          <w:rFonts w:cs="Arial"/>
          <w:i/>
          <w:iCs/>
          <w:sz w:val="20"/>
          <w:szCs w:val="20"/>
        </w:rPr>
        <w:t>Act.</w:t>
      </w:r>
    </w:p>
    <w:p>
      <w:pPr>
        <w:pStyle w:val="Normal"/>
        <w:rPr/>
      </w:pPr>
      <w:r>
        <w:rPr>
          <w:rFonts w:cs="Arial"/>
          <w:b/>
          <w:bCs/>
          <w:i/>
          <w:iCs/>
          <w:sz w:val="20"/>
          <w:szCs w:val="20"/>
        </w:rPr>
        <w:t>Health and Safety</w:t>
      </w:r>
      <w:r>
        <w:rPr>
          <w:rFonts w:cs="Arial"/>
          <w:i/>
          <w:iCs/>
          <w:sz w:val="20"/>
          <w:szCs w:val="20"/>
        </w:rPr>
        <w:t xml:space="preserve"> - All employees of GMCA have a statutory duty of care for their own</w:t>
      </w:r>
      <w:r>
        <w:rPr>
          <w:rFonts w:cs="Arial"/>
          <w:i/>
          <w:iCs/>
          <w:spacing w:val="1"/>
          <w:sz w:val="20"/>
          <w:szCs w:val="20"/>
        </w:rPr>
        <w:t xml:space="preserve"> </w:t>
      </w:r>
      <w:r>
        <w:rPr>
          <w:rFonts w:cs="Arial"/>
          <w:i/>
          <w:iCs/>
          <w:sz w:val="20"/>
          <w:szCs w:val="20"/>
        </w:rPr>
        <w:t>personal</w:t>
      </w:r>
      <w:r>
        <w:rPr>
          <w:rFonts w:cs="Arial"/>
          <w:i/>
          <w:iCs/>
          <w:spacing w:val="-9"/>
          <w:sz w:val="20"/>
          <w:szCs w:val="20"/>
        </w:rPr>
        <w:t xml:space="preserve"> </w:t>
      </w:r>
      <w:r>
        <w:rPr>
          <w:rFonts w:cs="Arial"/>
          <w:i/>
          <w:iCs/>
          <w:sz w:val="20"/>
          <w:szCs w:val="20"/>
        </w:rPr>
        <w:t>safety</w:t>
      </w:r>
      <w:r>
        <w:rPr>
          <w:rFonts w:cs="Arial"/>
          <w:i/>
          <w:iCs/>
          <w:spacing w:val="-9"/>
          <w:sz w:val="20"/>
          <w:szCs w:val="20"/>
        </w:rPr>
        <w:t xml:space="preserve"> </w:t>
      </w:r>
      <w:r>
        <w:rPr>
          <w:rFonts w:cs="Arial"/>
          <w:i/>
          <w:iCs/>
          <w:sz w:val="20"/>
          <w:szCs w:val="20"/>
        </w:rPr>
        <w:t>and</w:t>
      </w:r>
      <w:r>
        <w:rPr>
          <w:rFonts w:cs="Arial"/>
          <w:i/>
          <w:iCs/>
          <w:spacing w:val="-8"/>
          <w:sz w:val="20"/>
          <w:szCs w:val="20"/>
        </w:rPr>
        <w:t xml:space="preserve"> </w:t>
      </w:r>
      <w:r>
        <w:rPr>
          <w:rFonts w:cs="Arial"/>
          <w:i/>
          <w:iCs/>
          <w:sz w:val="20"/>
          <w:szCs w:val="20"/>
        </w:rPr>
        <w:t>that</w:t>
      </w:r>
      <w:r>
        <w:rPr>
          <w:rFonts w:cs="Arial"/>
          <w:i/>
          <w:iCs/>
          <w:spacing w:val="-9"/>
          <w:sz w:val="20"/>
          <w:szCs w:val="20"/>
        </w:rPr>
        <w:t xml:space="preserve"> </w:t>
      </w:r>
      <w:r>
        <w:rPr>
          <w:rFonts w:cs="Arial"/>
          <w:i/>
          <w:iCs/>
          <w:sz w:val="20"/>
          <w:szCs w:val="20"/>
        </w:rPr>
        <w:t>of</w:t>
      </w:r>
      <w:r>
        <w:rPr>
          <w:rFonts w:cs="Arial"/>
          <w:i/>
          <w:iCs/>
          <w:spacing w:val="-3"/>
          <w:sz w:val="20"/>
          <w:szCs w:val="20"/>
        </w:rPr>
        <w:t xml:space="preserve"> </w:t>
      </w:r>
      <w:r>
        <w:rPr>
          <w:rFonts w:cs="Arial"/>
          <w:i/>
          <w:iCs/>
          <w:sz w:val="20"/>
          <w:szCs w:val="20"/>
        </w:rPr>
        <w:t>others</w:t>
      </w:r>
      <w:r>
        <w:rPr>
          <w:rFonts w:cs="Arial"/>
          <w:i/>
          <w:iCs/>
          <w:spacing w:val="-7"/>
          <w:sz w:val="20"/>
          <w:szCs w:val="20"/>
        </w:rPr>
        <w:t xml:space="preserve"> </w:t>
      </w:r>
      <w:r>
        <w:rPr>
          <w:rFonts w:cs="Arial"/>
          <w:i/>
          <w:iCs/>
          <w:sz w:val="20"/>
          <w:szCs w:val="20"/>
        </w:rPr>
        <w:t>who</w:t>
      </w:r>
      <w:r>
        <w:rPr>
          <w:rFonts w:cs="Arial"/>
          <w:i/>
          <w:iCs/>
          <w:spacing w:val="-7"/>
          <w:sz w:val="20"/>
          <w:szCs w:val="20"/>
        </w:rPr>
        <w:t xml:space="preserve"> </w:t>
      </w:r>
      <w:r>
        <w:rPr>
          <w:rFonts w:cs="Arial"/>
          <w:i/>
          <w:iCs/>
          <w:sz w:val="20"/>
          <w:szCs w:val="20"/>
        </w:rPr>
        <w:t>may</w:t>
      </w:r>
      <w:r>
        <w:rPr>
          <w:rFonts w:cs="Arial"/>
          <w:i/>
          <w:iCs/>
          <w:spacing w:val="-10"/>
          <w:sz w:val="20"/>
          <w:szCs w:val="20"/>
        </w:rPr>
        <w:t xml:space="preserve"> </w:t>
      </w:r>
      <w:r>
        <w:rPr>
          <w:rFonts w:cs="Arial"/>
          <w:i/>
          <w:iCs/>
          <w:sz w:val="20"/>
          <w:szCs w:val="20"/>
        </w:rPr>
        <w:t>be</w:t>
      </w:r>
      <w:r>
        <w:rPr>
          <w:rFonts w:cs="Arial"/>
          <w:i/>
          <w:iCs/>
          <w:spacing w:val="-8"/>
          <w:sz w:val="20"/>
          <w:szCs w:val="20"/>
        </w:rPr>
        <w:t xml:space="preserve"> </w:t>
      </w:r>
      <w:r>
        <w:rPr>
          <w:rFonts w:cs="Arial"/>
          <w:i/>
          <w:iCs/>
          <w:sz w:val="20"/>
          <w:szCs w:val="20"/>
        </w:rPr>
        <w:t>affected</w:t>
      </w:r>
      <w:r>
        <w:rPr>
          <w:rFonts w:cs="Arial"/>
          <w:i/>
          <w:iCs/>
          <w:spacing w:val="-7"/>
          <w:sz w:val="20"/>
          <w:szCs w:val="20"/>
        </w:rPr>
        <w:t xml:space="preserve"> </w:t>
      </w:r>
      <w:r>
        <w:rPr>
          <w:rFonts w:cs="Arial"/>
          <w:i/>
          <w:iCs/>
          <w:sz w:val="20"/>
          <w:szCs w:val="20"/>
        </w:rPr>
        <w:t>by</w:t>
      </w:r>
      <w:r>
        <w:rPr>
          <w:rFonts w:cs="Arial"/>
          <w:i/>
          <w:iCs/>
          <w:spacing w:val="-10"/>
          <w:sz w:val="20"/>
          <w:szCs w:val="20"/>
        </w:rPr>
        <w:t xml:space="preserve"> </w:t>
      </w:r>
      <w:r>
        <w:rPr>
          <w:rFonts w:cs="Arial"/>
          <w:i/>
          <w:iCs/>
          <w:sz w:val="20"/>
          <w:szCs w:val="20"/>
        </w:rPr>
        <w:t>their</w:t>
      </w:r>
      <w:r>
        <w:rPr>
          <w:rFonts w:cs="Arial"/>
          <w:i/>
          <w:iCs/>
          <w:spacing w:val="-6"/>
          <w:sz w:val="20"/>
          <w:szCs w:val="20"/>
        </w:rPr>
        <w:t xml:space="preserve"> </w:t>
      </w:r>
      <w:r>
        <w:rPr>
          <w:rFonts w:cs="Arial"/>
          <w:i/>
          <w:iCs/>
          <w:sz w:val="20"/>
          <w:szCs w:val="20"/>
        </w:rPr>
        <w:t>acts</w:t>
      </w:r>
      <w:r>
        <w:rPr>
          <w:rFonts w:cs="Arial"/>
          <w:i/>
          <w:iCs/>
          <w:spacing w:val="-7"/>
          <w:sz w:val="20"/>
          <w:szCs w:val="20"/>
        </w:rPr>
        <w:t xml:space="preserve"> </w:t>
      </w:r>
      <w:r>
        <w:rPr>
          <w:rFonts w:cs="Arial"/>
          <w:i/>
          <w:iCs/>
          <w:sz w:val="20"/>
          <w:szCs w:val="20"/>
        </w:rPr>
        <w:t>or</w:t>
      </w:r>
      <w:r>
        <w:rPr>
          <w:rFonts w:cs="Arial"/>
          <w:i/>
          <w:iCs/>
          <w:spacing w:val="-6"/>
          <w:sz w:val="20"/>
          <w:szCs w:val="20"/>
        </w:rPr>
        <w:t xml:space="preserve"> </w:t>
      </w:r>
      <w:r>
        <w:rPr>
          <w:rFonts w:cs="Arial"/>
          <w:i/>
          <w:iCs/>
          <w:sz w:val="20"/>
          <w:szCs w:val="20"/>
        </w:rPr>
        <w:t>omissions.</w:t>
      </w:r>
      <w:r>
        <w:rPr>
          <w:rFonts w:cs="Arial"/>
          <w:i/>
          <w:iCs/>
          <w:spacing w:val="-5"/>
          <w:sz w:val="20"/>
          <w:szCs w:val="20"/>
        </w:rPr>
        <w:t xml:space="preserve"> </w:t>
      </w:r>
      <w:r>
        <w:rPr>
          <w:rFonts w:cs="Arial"/>
          <w:i/>
          <w:iCs/>
          <w:sz w:val="20"/>
          <w:szCs w:val="20"/>
        </w:rPr>
        <w:t>Employees</w:t>
      </w:r>
      <w:r>
        <w:rPr>
          <w:rFonts w:cs="Arial"/>
          <w:i/>
          <w:iCs/>
          <w:spacing w:val="-59"/>
          <w:sz w:val="20"/>
          <w:szCs w:val="20"/>
        </w:rPr>
        <w:t xml:space="preserve"> </w:t>
      </w:r>
      <w:r>
        <w:rPr>
          <w:rFonts w:cs="Arial"/>
          <w:i/>
          <w:iCs/>
          <w:sz w:val="20"/>
          <w:szCs w:val="20"/>
        </w:rPr>
        <w:t>are required to co-operate with management to enable GMCA to meet its own legal duties</w:t>
      </w:r>
      <w:r>
        <w:rPr>
          <w:rFonts w:cs="Arial"/>
          <w:i/>
          <w:iCs/>
          <w:spacing w:val="1"/>
          <w:sz w:val="20"/>
          <w:szCs w:val="20"/>
        </w:rPr>
        <w:t xml:space="preserve"> </w:t>
      </w:r>
      <w:r>
        <w:rPr>
          <w:rFonts w:cs="Arial"/>
          <w:i/>
          <w:iCs/>
          <w:sz w:val="20"/>
          <w:szCs w:val="20"/>
        </w:rPr>
        <w:t>and</w:t>
      </w:r>
      <w:r>
        <w:rPr>
          <w:rFonts w:cs="Arial"/>
          <w:i/>
          <w:iCs/>
          <w:spacing w:val="-5"/>
          <w:sz w:val="20"/>
          <w:szCs w:val="20"/>
        </w:rPr>
        <w:t xml:space="preserve"> </w:t>
      </w:r>
      <w:r>
        <w:rPr>
          <w:rFonts w:cs="Arial"/>
          <w:i/>
          <w:iCs/>
          <w:sz w:val="20"/>
          <w:szCs w:val="20"/>
        </w:rPr>
        <w:t>to</w:t>
      </w:r>
      <w:r>
        <w:rPr>
          <w:rFonts w:cs="Arial"/>
          <w:i/>
          <w:iCs/>
          <w:spacing w:val="-5"/>
          <w:sz w:val="20"/>
          <w:szCs w:val="20"/>
        </w:rPr>
        <w:t xml:space="preserve"> </w:t>
      </w:r>
      <w:r>
        <w:rPr>
          <w:rFonts w:cs="Arial"/>
          <w:i/>
          <w:iCs/>
          <w:sz w:val="20"/>
          <w:szCs w:val="20"/>
        </w:rPr>
        <w:t>report</w:t>
      </w:r>
      <w:r>
        <w:rPr>
          <w:rFonts w:cs="Arial"/>
          <w:i/>
          <w:iCs/>
          <w:spacing w:val="-4"/>
          <w:sz w:val="20"/>
          <w:szCs w:val="20"/>
        </w:rPr>
        <w:t xml:space="preserve"> </w:t>
      </w:r>
      <w:r>
        <w:rPr>
          <w:rFonts w:cs="Arial"/>
          <w:i/>
          <w:iCs/>
          <w:sz w:val="20"/>
          <w:szCs w:val="20"/>
        </w:rPr>
        <w:t>any</w:t>
      </w:r>
      <w:r>
        <w:rPr>
          <w:rFonts w:cs="Arial"/>
          <w:i/>
          <w:iCs/>
          <w:spacing w:val="-8"/>
          <w:sz w:val="20"/>
          <w:szCs w:val="20"/>
        </w:rPr>
        <w:t xml:space="preserve"> </w:t>
      </w:r>
      <w:r>
        <w:rPr>
          <w:rFonts w:cs="Arial"/>
          <w:i/>
          <w:iCs/>
          <w:sz w:val="20"/>
          <w:szCs w:val="20"/>
        </w:rPr>
        <w:t>circumstances</w:t>
      </w:r>
      <w:r>
        <w:rPr>
          <w:rFonts w:cs="Arial"/>
          <w:i/>
          <w:iCs/>
          <w:spacing w:val="-7"/>
          <w:sz w:val="20"/>
          <w:szCs w:val="20"/>
        </w:rPr>
        <w:t xml:space="preserve"> </w:t>
      </w:r>
      <w:r>
        <w:rPr>
          <w:rFonts w:cs="Arial"/>
          <w:i/>
          <w:iCs/>
          <w:sz w:val="20"/>
          <w:szCs w:val="20"/>
        </w:rPr>
        <w:t>that</w:t>
      </w:r>
      <w:r>
        <w:rPr>
          <w:rFonts w:cs="Arial"/>
          <w:i/>
          <w:iCs/>
          <w:spacing w:val="-5"/>
          <w:sz w:val="20"/>
          <w:szCs w:val="20"/>
        </w:rPr>
        <w:t xml:space="preserve"> </w:t>
      </w:r>
      <w:r>
        <w:rPr>
          <w:rFonts w:cs="Arial"/>
          <w:i/>
          <w:iCs/>
          <w:sz w:val="20"/>
          <w:szCs w:val="20"/>
        </w:rPr>
        <w:t>may</w:t>
      </w:r>
      <w:r>
        <w:rPr>
          <w:rFonts w:cs="Arial"/>
          <w:i/>
          <w:iCs/>
          <w:spacing w:val="-8"/>
          <w:sz w:val="20"/>
          <w:szCs w:val="20"/>
        </w:rPr>
        <w:t xml:space="preserve"> </w:t>
      </w:r>
      <w:r>
        <w:rPr>
          <w:rFonts w:cs="Arial"/>
          <w:i/>
          <w:iCs/>
          <w:sz w:val="20"/>
          <w:szCs w:val="20"/>
        </w:rPr>
        <w:t>compromise</w:t>
      </w:r>
      <w:r>
        <w:rPr>
          <w:rFonts w:cs="Arial"/>
          <w:i/>
          <w:iCs/>
          <w:spacing w:val="-4"/>
          <w:sz w:val="20"/>
          <w:szCs w:val="20"/>
        </w:rPr>
        <w:t xml:space="preserve"> </w:t>
      </w:r>
      <w:r>
        <w:rPr>
          <w:rFonts w:cs="Arial"/>
          <w:i/>
          <w:iCs/>
          <w:sz w:val="20"/>
          <w:szCs w:val="20"/>
        </w:rPr>
        <w:t>the</w:t>
      </w:r>
      <w:r>
        <w:rPr>
          <w:rFonts w:cs="Arial"/>
          <w:i/>
          <w:iCs/>
          <w:spacing w:val="-6"/>
          <w:sz w:val="20"/>
          <w:szCs w:val="20"/>
        </w:rPr>
        <w:t xml:space="preserve"> </w:t>
      </w:r>
      <w:r>
        <w:rPr>
          <w:rFonts w:cs="Arial"/>
          <w:i/>
          <w:iCs/>
          <w:sz w:val="20"/>
          <w:szCs w:val="20"/>
        </w:rPr>
        <w:t>health,</w:t>
      </w:r>
      <w:r>
        <w:rPr>
          <w:rFonts w:cs="Arial"/>
          <w:i/>
          <w:iCs/>
          <w:spacing w:val="-4"/>
          <w:sz w:val="20"/>
          <w:szCs w:val="20"/>
        </w:rPr>
        <w:t xml:space="preserve"> </w:t>
      </w:r>
      <w:r>
        <w:rPr>
          <w:rFonts w:cs="Arial"/>
          <w:i/>
          <w:iCs/>
          <w:sz w:val="20"/>
          <w:szCs w:val="20"/>
        </w:rPr>
        <w:t>safety</w:t>
      </w:r>
      <w:r>
        <w:rPr>
          <w:rFonts w:cs="Arial"/>
          <w:i/>
          <w:iCs/>
          <w:spacing w:val="-7"/>
          <w:sz w:val="20"/>
          <w:szCs w:val="20"/>
        </w:rPr>
        <w:t xml:space="preserve"> </w:t>
      </w:r>
      <w:r>
        <w:rPr>
          <w:rFonts w:cs="Arial"/>
          <w:i/>
          <w:iCs/>
          <w:sz w:val="20"/>
          <w:szCs w:val="20"/>
        </w:rPr>
        <w:t>and</w:t>
      </w:r>
      <w:r>
        <w:rPr>
          <w:rFonts w:cs="Arial"/>
          <w:i/>
          <w:iCs/>
          <w:spacing w:val="-5"/>
          <w:sz w:val="20"/>
          <w:szCs w:val="20"/>
        </w:rPr>
        <w:t xml:space="preserve"> </w:t>
      </w:r>
      <w:r>
        <w:rPr>
          <w:rFonts w:cs="Arial"/>
          <w:i/>
          <w:iCs/>
          <w:sz w:val="20"/>
          <w:szCs w:val="20"/>
        </w:rPr>
        <w:t>welfare</w:t>
      </w:r>
      <w:r>
        <w:rPr>
          <w:rFonts w:cs="Arial"/>
          <w:i/>
          <w:iCs/>
          <w:spacing w:val="-4"/>
          <w:sz w:val="20"/>
          <w:szCs w:val="20"/>
        </w:rPr>
        <w:t xml:space="preserve"> </w:t>
      </w:r>
      <w:r>
        <w:rPr>
          <w:rFonts w:cs="Arial"/>
          <w:i/>
          <w:iCs/>
          <w:sz w:val="20"/>
          <w:szCs w:val="20"/>
        </w:rPr>
        <w:t>of</w:t>
      </w:r>
      <w:r>
        <w:rPr>
          <w:rFonts w:cs="Arial"/>
          <w:i/>
          <w:iCs/>
          <w:spacing w:val="-4"/>
          <w:sz w:val="20"/>
          <w:szCs w:val="20"/>
        </w:rPr>
        <w:t xml:space="preserve"> </w:t>
      </w:r>
      <w:r>
        <w:rPr>
          <w:rFonts w:cs="Arial"/>
          <w:i/>
          <w:iCs/>
          <w:sz w:val="20"/>
          <w:szCs w:val="20"/>
        </w:rPr>
        <w:t>those</w:t>
      </w:r>
      <w:r>
        <w:rPr>
          <w:rFonts w:cs="Arial"/>
          <w:i/>
          <w:iCs/>
          <w:spacing w:val="-59"/>
          <w:sz w:val="20"/>
          <w:szCs w:val="20"/>
        </w:rPr>
        <w:t xml:space="preserve"> </w:t>
      </w:r>
      <w:r>
        <w:rPr>
          <w:rFonts w:cs="Arial"/>
          <w:i/>
          <w:iCs/>
          <w:sz w:val="20"/>
          <w:szCs w:val="20"/>
        </w:rPr>
        <w:t>affected by</w:t>
      </w:r>
      <w:r>
        <w:rPr>
          <w:rFonts w:cs="Arial"/>
          <w:i/>
          <w:iCs/>
          <w:spacing w:val="-4"/>
          <w:sz w:val="20"/>
          <w:szCs w:val="20"/>
        </w:rPr>
        <w:t xml:space="preserve"> </w:t>
      </w:r>
      <w:r>
        <w:rPr>
          <w:rFonts w:cs="Arial"/>
          <w:i/>
          <w:iCs/>
          <w:sz w:val="20"/>
          <w:szCs w:val="20"/>
        </w:rPr>
        <w:t>the Service’s</w:t>
      </w:r>
      <w:r>
        <w:rPr>
          <w:rFonts w:cs="Arial"/>
          <w:i/>
          <w:iCs/>
          <w:spacing w:val="2"/>
          <w:sz w:val="20"/>
          <w:szCs w:val="20"/>
        </w:rPr>
        <w:t xml:space="preserve"> </w:t>
      </w:r>
      <w:r>
        <w:rPr>
          <w:rFonts w:cs="Arial"/>
          <w:i/>
          <w:iCs/>
          <w:sz w:val="20"/>
          <w:szCs w:val="20"/>
        </w:rPr>
        <w:t>undertakings.</w:t>
      </w:r>
    </w:p>
    <w:p>
      <w:pPr>
        <w:pStyle w:val="Normal"/>
        <w:rPr/>
      </w:pPr>
      <w:r>
        <w:rPr>
          <w:rFonts w:cs="Arial"/>
          <w:b/>
          <w:bCs/>
          <w:i/>
          <w:iCs/>
          <w:sz w:val="20"/>
          <w:szCs w:val="20"/>
        </w:rPr>
        <w:t>Service Policies</w:t>
      </w:r>
      <w:r>
        <w:rPr>
          <w:rFonts w:cs="Arial"/>
          <w:i/>
          <w:iCs/>
          <w:sz w:val="20"/>
          <w:szCs w:val="20"/>
        </w:rPr>
        <w:t xml:space="preserve"> - All GMCA employees must observe and adhere to the provisions outlined</w:t>
      </w:r>
      <w:r>
        <w:rPr>
          <w:rFonts w:cs="Arial"/>
          <w:i/>
          <w:iCs/>
          <w:spacing w:val="-59"/>
          <w:sz w:val="20"/>
          <w:szCs w:val="20"/>
        </w:rPr>
        <w:t xml:space="preserve"> </w:t>
      </w:r>
      <w:r>
        <w:rPr>
          <w:rFonts w:cs="Arial"/>
          <w:i/>
          <w:iCs/>
          <w:sz w:val="20"/>
          <w:szCs w:val="20"/>
        </w:rPr>
        <w:t>in</w:t>
      </w:r>
      <w:r>
        <w:rPr>
          <w:rFonts w:cs="Arial"/>
          <w:i/>
          <w:iCs/>
          <w:spacing w:val="-1"/>
          <w:sz w:val="20"/>
          <w:szCs w:val="20"/>
        </w:rPr>
        <w:t xml:space="preserve"> </w:t>
      </w:r>
      <w:r>
        <w:rPr>
          <w:rFonts w:cs="Arial"/>
          <w:i/>
          <w:iCs/>
          <w:sz w:val="20"/>
          <w:szCs w:val="20"/>
        </w:rPr>
        <w:t>these policies.</w:t>
      </w:r>
    </w:p>
    <w:p>
      <w:pPr>
        <w:pStyle w:val="Normal"/>
        <w:widowControl w:val="false"/>
        <w:bidi w:val="0"/>
        <w:spacing w:lineRule="auto" w:line="360" w:before="0" w:after="240"/>
        <w:jc w:val="left"/>
        <w:rPr/>
      </w:pPr>
      <w:r>
        <w:rPr>
          <w:rFonts w:cs="Arial"/>
          <w:b/>
          <w:bCs/>
          <w:i/>
          <w:iCs/>
          <w:sz w:val="20"/>
          <w:szCs w:val="20"/>
        </w:rPr>
        <w:t>Equal Opportunities</w:t>
      </w:r>
      <w:r>
        <w:rPr>
          <w:rFonts w:cs="Arial"/>
          <w:i/>
          <w:iCs/>
          <w:sz w:val="20"/>
          <w:szCs w:val="20"/>
        </w:rPr>
        <w:t xml:space="preserve"> - GMCA provides a range of services and employment</w:t>
      </w:r>
      <w:r>
        <w:rPr>
          <w:rFonts w:cs="Arial"/>
          <w:i/>
          <w:iCs/>
          <w:spacing w:val="1"/>
          <w:sz w:val="20"/>
          <w:szCs w:val="20"/>
        </w:rPr>
        <w:t xml:space="preserve"> </w:t>
      </w:r>
      <w:r>
        <w:rPr>
          <w:rFonts w:cs="Arial"/>
          <w:i/>
          <w:iCs/>
          <w:sz w:val="20"/>
          <w:szCs w:val="20"/>
        </w:rPr>
        <w:t xml:space="preserve">opportunities for a diverse population. As a GMCA employee you are expected to treat all </w:t>
      </w:r>
      <w:r>
        <w:rPr>
          <w:rFonts w:cs="Arial"/>
          <w:i/>
          <w:iCs/>
          <w:spacing w:val="-59"/>
          <w:sz w:val="20"/>
          <w:szCs w:val="20"/>
        </w:rPr>
        <w:t xml:space="preserve"> </w:t>
      </w:r>
      <w:r>
        <w:rPr>
          <w:rFonts w:cs="Arial"/>
          <w:i/>
          <w:iCs/>
          <w:sz w:val="20"/>
          <w:szCs w:val="20"/>
        </w:rPr>
        <w:t>employees / partners / members of the public and work colleagues with dignity and</w:t>
      </w:r>
      <w:r>
        <w:rPr>
          <w:rFonts w:cs="Arial"/>
          <w:i/>
          <w:iCs/>
          <w:spacing w:val="1"/>
          <w:sz w:val="20"/>
          <w:szCs w:val="20"/>
        </w:rPr>
        <w:t xml:space="preserve"> </w:t>
      </w:r>
      <w:r>
        <w:rPr>
          <w:rFonts w:cs="Arial"/>
          <w:i/>
          <w:iCs/>
          <w:sz w:val="20"/>
          <w:szCs w:val="20"/>
        </w:rPr>
        <w:t>respect</w:t>
      </w:r>
      <w:r>
        <w:rPr>
          <w:rFonts w:cs="Arial"/>
          <w:i/>
          <w:iCs/>
          <w:spacing w:val="-2"/>
          <w:sz w:val="20"/>
          <w:szCs w:val="20"/>
        </w:rPr>
        <w:t xml:space="preserve"> </w:t>
      </w:r>
      <w:r>
        <w:rPr>
          <w:rFonts w:cs="Arial"/>
          <w:i/>
          <w:iCs/>
          <w:sz w:val="20"/>
          <w:szCs w:val="20"/>
        </w:rPr>
        <w:t>irrespective</w:t>
      </w:r>
      <w:r>
        <w:rPr>
          <w:rFonts w:cs="Arial"/>
          <w:i/>
          <w:iCs/>
          <w:spacing w:val="1"/>
          <w:sz w:val="20"/>
          <w:szCs w:val="20"/>
        </w:rPr>
        <w:t xml:space="preserve"> </w:t>
      </w:r>
      <w:r>
        <w:rPr>
          <w:rFonts w:cs="Arial"/>
          <w:i/>
          <w:iCs/>
          <w:sz w:val="20"/>
          <w:szCs w:val="20"/>
        </w:rPr>
        <w:t>of</w:t>
      </w:r>
      <w:r>
        <w:rPr>
          <w:rFonts w:cs="Arial"/>
          <w:i/>
          <w:iCs/>
          <w:spacing w:val="2"/>
          <w:sz w:val="20"/>
          <w:szCs w:val="20"/>
        </w:rPr>
        <w:t xml:space="preserve"> </w:t>
      </w:r>
      <w:r>
        <w:rPr>
          <w:rFonts w:cs="Arial"/>
          <w:i/>
          <w:iCs/>
          <w:sz w:val="20"/>
          <w:szCs w:val="20"/>
        </w:rPr>
        <w:t>their</w:t>
      </w:r>
      <w:r>
        <w:rPr>
          <w:rFonts w:cs="Arial"/>
          <w:i/>
          <w:iCs/>
          <w:spacing w:val="2"/>
          <w:sz w:val="20"/>
          <w:szCs w:val="20"/>
        </w:rPr>
        <w:t xml:space="preserve"> </w:t>
      </w:r>
      <w:r>
        <w:rPr>
          <w:rFonts w:cs="Arial"/>
          <w:i/>
          <w:iCs/>
          <w:sz w:val="20"/>
          <w:szCs w:val="20"/>
        </w:rPr>
        <w:t>background.</w:t>
      </w:r>
    </w:p>
    <w:sectPr>
      <w:headerReference w:type="default" r:id="rId2"/>
      <w:headerReference w:type="first" r:id="rId3"/>
      <w:type w:val="nextPage"/>
      <w:pgSz w:w="11906" w:h="16850"/>
      <w:pgMar w:left="720" w:right="720" w:header="709" w:top="766" w:footer="0" w:bottom="720" w:gutter="0"/>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Arial">
    <w:charset w:val="01"/>
    <w:family w:val="swiss"/>
    <w:pitch w:val="variable"/>
  </w:font>
  <w:font w:name="Calibri">
    <w:charset w:val="00"/>
    <w:family w:val="roman"/>
    <w:pitch w:val="variable"/>
  </w:font>
  <w:font w:name="Liberation Sans">
    <w:altName w:val="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spacing w:before="0" w:after="24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spacing w:before="0" w:after="240"/>
      <w:rPr/>
    </w:pPr>
    <w:r>
      <w:rPr/>
      <w:drawing>
        <wp:anchor behindDoc="1" distT="0" distB="0" distL="0" distR="0" simplePos="0" locked="0" layoutInCell="1" allowOverlap="1" relativeHeight="2">
          <wp:simplePos x="0" y="0"/>
          <wp:positionH relativeFrom="column">
            <wp:posOffset>4718050</wp:posOffset>
          </wp:positionH>
          <wp:positionV relativeFrom="paragraph">
            <wp:posOffset>-343535</wp:posOffset>
          </wp:positionV>
          <wp:extent cx="2190115" cy="68643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1"/>
                  <a:srcRect l="-5" t="-15" r="-5" b="-15"/>
                  <a:stretch>
                    <a:fillRect/>
                  </a:stretch>
                </pic:blipFill>
                <pic:spPr bwMode="auto">
                  <a:xfrm>
                    <a:off x="0" y="0"/>
                    <a:ext cx="2190115" cy="686435"/>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szCs w:val="24"/>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szCs w:val="24"/>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szCs w:val="24"/>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Arial" w:hAnsi="Arial" w:cs="Arial" w:hint="default"/>
        <w:rFonts w:cs="Aria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bullet"/>
      <w:lvlText w:val=""/>
      <w:lvlJc w:val="left"/>
      <w:pPr>
        <w:ind w:left="458" w:hanging="360"/>
      </w:pPr>
      <w:rPr>
        <w:rFonts w:ascii="Symbol" w:hAnsi="Symbol" w:cs="Symbol" w:hint="default"/>
        <w:rFonts w:cs="Symbol"/>
      </w:rPr>
    </w:lvl>
    <w:lvl w:ilvl="1">
      <w:start w:val="1"/>
      <w:numFmt w:val="bullet"/>
      <w:lvlText w:val="o"/>
      <w:lvlJc w:val="left"/>
      <w:pPr>
        <w:ind w:left="1178" w:hanging="360"/>
      </w:pPr>
      <w:rPr>
        <w:rFonts w:ascii="Courier New" w:hAnsi="Courier New" w:cs="Courier New" w:hint="default"/>
        <w:rFonts w:cs="Courier New"/>
      </w:rPr>
    </w:lvl>
    <w:lvl w:ilvl="2">
      <w:start w:val="1"/>
      <w:numFmt w:val="bullet"/>
      <w:lvlText w:val=""/>
      <w:lvlJc w:val="left"/>
      <w:pPr>
        <w:ind w:left="1898" w:hanging="360"/>
      </w:pPr>
      <w:rPr>
        <w:rFonts w:ascii="Wingdings" w:hAnsi="Wingdings" w:cs="Wingdings" w:hint="default"/>
        <w:rFonts w:cs="Wingdings"/>
      </w:rPr>
    </w:lvl>
    <w:lvl w:ilvl="3">
      <w:start w:val="1"/>
      <w:numFmt w:val="bullet"/>
      <w:lvlText w:val=""/>
      <w:lvlJc w:val="left"/>
      <w:pPr>
        <w:ind w:left="2618" w:hanging="360"/>
      </w:pPr>
      <w:rPr>
        <w:rFonts w:ascii="Symbol" w:hAnsi="Symbol" w:cs="Symbol" w:hint="default"/>
        <w:rFonts w:cs="Symbol"/>
      </w:rPr>
    </w:lvl>
    <w:lvl w:ilvl="4">
      <w:start w:val="1"/>
      <w:numFmt w:val="bullet"/>
      <w:lvlText w:val="o"/>
      <w:lvlJc w:val="left"/>
      <w:pPr>
        <w:ind w:left="3338" w:hanging="360"/>
      </w:pPr>
      <w:rPr>
        <w:rFonts w:ascii="Courier New" w:hAnsi="Courier New" w:cs="Courier New" w:hint="default"/>
        <w:rFonts w:cs="Courier New"/>
      </w:rPr>
    </w:lvl>
    <w:lvl w:ilvl="5">
      <w:start w:val="1"/>
      <w:numFmt w:val="bullet"/>
      <w:lvlText w:val=""/>
      <w:lvlJc w:val="left"/>
      <w:pPr>
        <w:ind w:left="4058" w:hanging="360"/>
      </w:pPr>
      <w:rPr>
        <w:rFonts w:ascii="Wingdings" w:hAnsi="Wingdings" w:cs="Wingdings" w:hint="default"/>
        <w:rFonts w:cs="Wingdings"/>
      </w:rPr>
    </w:lvl>
    <w:lvl w:ilvl="6">
      <w:start w:val="1"/>
      <w:numFmt w:val="bullet"/>
      <w:lvlText w:val=""/>
      <w:lvlJc w:val="left"/>
      <w:pPr>
        <w:ind w:left="4778" w:hanging="360"/>
      </w:pPr>
      <w:rPr>
        <w:rFonts w:ascii="Symbol" w:hAnsi="Symbol" w:cs="Symbol" w:hint="default"/>
        <w:rFonts w:cs="Symbol"/>
      </w:rPr>
    </w:lvl>
    <w:lvl w:ilvl="7">
      <w:start w:val="1"/>
      <w:numFmt w:val="bullet"/>
      <w:lvlText w:val="o"/>
      <w:lvlJc w:val="left"/>
      <w:pPr>
        <w:ind w:left="5498" w:hanging="360"/>
      </w:pPr>
      <w:rPr>
        <w:rFonts w:ascii="Courier New" w:hAnsi="Courier New" w:cs="Courier New" w:hint="default"/>
        <w:rFonts w:cs="Courier New"/>
      </w:rPr>
    </w:lvl>
    <w:lvl w:ilvl="8">
      <w:start w:val="1"/>
      <w:numFmt w:val="bullet"/>
      <w:lvlText w:val=""/>
      <w:lvlJc w:val="left"/>
      <w:pPr>
        <w:ind w:left="6218" w:hanging="360"/>
      </w:pPr>
      <w:rPr>
        <w:rFonts w:ascii="Wingdings" w:hAnsi="Wingdings" w:cs="Wingdings" w:hint="default"/>
        <w:rFonts w:cs="Wingdings"/>
      </w:rPr>
    </w:lvl>
  </w:abstractNum>
  <w:abstractNum w:abstractNumId="5">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6">
    <w:lvl w:ilvl="0">
      <w:start w:val="1"/>
      <w:numFmt w:val="bullet"/>
      <w:lvlText w:val=""/>
      <w:lvlJc w:val="left"/>
      <w:pPr>
        <w:ind w:left="927" w:hanging="360"/>
      </w:pPr>
      <w:rPr>
        <w:rFonts w:ascii="Symbol" w:hAnsi="Symbol" w:cs="Symbol" w:hint="default"/>
        <w:rFonts w:cs="Symbol"/>
        <w:color w:val="auto"/>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val="false"/>
      <w:suppressAutoHyphens w:val="true"/>
      <w:bidi w:val="0"/>
      <w:spacing w:lineRule="auto" w:line="360" w:before="0" w:after="240"/>
      <w:jc w:val="left"/>
    </w:pPr>
    <w:rPr>
      <w:rFonts w:ascii="Arial" w:hAnsi="Arial" w:eastAsia="Calibri" w:cs="Calibri"/>
      <w:color w:val="262626"/>
      <w:kern w:val="0"/>
      <w:sz w:val="24"/>
      <w:szCs w:val="22"/>
      <w:lang w:val="en-GB" w:eastAsia="en-US" w:bidi="ar-SA"/>
    </w:rPr>
  </w:style>
  <w:style w:type="paragraph" w:styleId="Heading1">
    <w:name w:val="Heading 1"/>
    <w:basedOn w:val="Normal"/>
    <w:next w:val="TextBody"/>
    <w:qFormat/>
    <w:pPr>
      <w:numPr>
        <w:ilvl w:val="0"/>
        <w:numId w:val="1"/>
      </w:numPr>
      <w:pBdr>
        <w:top w:val="single" w:sz="4" w:space="10" w:color="000000"/>
        <w:left w:val="single" w:sz="4" w:space="10" w:color="000000"/>
        <w:bottom w:val="single" w:sz="4" w:space="10" w:color="000000"/>
        <w:right w:val="single" w:sz="4" w:space="10" w:color="000000"/>
      </w:pBdr>
      <w:shd w:fill="004F6E" w:val="clear"/>
      <w:spacing w:lineRule="auto" w:line="240"/>
      <w:jc w:val="center"/>
      <w:outlineLvl w:val="0"/>
    </w:pPr>
    <w:rPr>
      <w:b/>
      <w:bCs/>
      <w:color w:val="FFFFFF"/>
      <w:sz w:val="44"/>
      <w:szCs w:val="40"/>
    </w:rPr>
  </w:style>
  <w:style w:type="paragraph" w:styleId="Heading2">
    <w:name w:val="Heading 2"/>
    <w:basedOn w:val="Normal"/>
    <w:next w:val="Normal"/>
    <w:qFormat/>
    <w:pPr>
      <w:numPr>
        <w:ilvl w:val="1"/>
        <w:numId w:val="1"/>
      </w:numPr>
      <w:pBdr>
        <w:top w:val="single" w:sz="4" w:space="10" w:color="000000"/>
        <w:left w:val="single" w:sz="4" w:space="10" w:color="000000"/>
        <w:bottom w:val="single" w:sz="4" w:space="10" w:color="000000"/>
        <w:right w:val="single" w:sz="4" w:space="10" w:color="000000"/>
      </w:pBdr>
      <w:shd w:fill="004F6E" w:val="clear"/>
      <w:spacing w:before="480" w:after="240"/>
      <w:outlineLvl w:val="1"/>
    </w:pPr>
    <w:rPr>
      <w:b/>
      <w:bCs/>
      <w:color w:val="FFFFFF"/>
      <w:sz w:val="36"/>
      <w:szCs w:val="32"/>
    </w:rPr>
  </w:style>
  <w:style w:type="paragraph" w:styleId="Heading3">
    <w:name w:val="Heading 3"/>
    <w:basedOn w:val="Normal"/>
    <w:next w:val="Normal"/>
    <w:qFormat/>
    <w:pPr>
      <w:numPr>
        <w:ilvl w:val="2"/>
        <w:numId w:val="1"/>
      </w:numPr>
      <w:outlineLvl w:val="2"/>
    </w:pPr>
    <w:rPr>
      <w:sz w:val="28"/>
      <w:szCs w:val="24"/>
    </w:rPr>
  </w:style>
  <w:style w:type="character" w:styleId="WW8Num1z0">
    <w:name w:val="WW8Num1z0"/>
    <w:qFormat/>
    <w:rPr>
      <w:rFonts w:ascii="Symbol" w:hAnsi="Symbol" w:cs="Symbol"/>
      <w:szCs w:val="24"/>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Arial" w:hAnsi="Arial" w:cs="Aria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2z3">
    <w:name w:val="WW8Num2z3"/>
    <w:qFormat/>
    <w:rPr>
      <w:rFonts w:ascii="Symbol" w:hAnsi="Symbol" w:cs="Symbol"/>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ascii="Symbol" w:hAnsi="Symbol" w:cs="Symbol"/>
      <w:color w:val="auto"/>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5z3">
    <w:name w:val="WW8Num5z3"/>
    <w:qFormat/>
    <w:rPr>
      <w:rFonts w:ascii="Symbol" w:hAnsi="Symbol" w:cs="Symbol"/>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DefaultParagraphFont">
    <w:name w:val="Default Paragraph Font"/>
    <w:qFormat/>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Calibri" w:hAnsi="Calibri" w:eastAsia="Calibri" w:cs="Calibri"/>
      <w:sz w:val="20"/>
      <w:szCs w:val="20"/>
      <w:lang w:val="en-GB"/>
    </w:rPr>
  </w:style>
  <w:style w:type="character" w:styleId="CommentSubjectChar">
    <w:name w:val="Comment Subject Char"/>
    <w:basedOn w:val="CommentTextChar"/>
    <w:qFormat/>
    <w:rPr>
      <w:rFonts w:ascii="Calibri" w:hAnsi="Calibri" w:eastAsia="Calibri" w:cs="Calibri"/>
      <w:b/>
      <w:bCs/>
      <w:sz w:val="20"/>
      <w:szCs w:val="20"/>
      <w:lang w:val="en-GB"/>
    </w:rPr>
  </w:style>
  <w:style w:type="character" w:styleId="HeaderChar">
    <w:name w:val="Header Char"/>
    <w:basedOn w:val="DefaultParagraphFont"/>
    <w:qFormat/>
    <w:rPr>
      <w:rFonts w:ascii="Calibri" w:hAnsi="Calibri" w:eastAsia="Calibri" w:cs="Calibri"/>
      <w:lang w:val="en-GB"/>
    </w:rPr>
  </w:style>
  <w:style w:type="character" w:styleId="FooterChar">
    <w:name w:val="Footer Char"/>
    <w:basedOn w:val="DefaultParagraphFont"/>
    <w:qFormat/>
    <w:rPr>
      <w:rFonts w:ascii="Calibri" w:hAnsi="Calibri" w:eastAsia="Calibri" w:cs="Calibri"/>
      <w:lang w:val="en-GB"/>
    </w:rPr>
  </w:style>
  <w:style w:type="character" w:styleId="Heading2Char">
    <w:name w:val="Heading 2 Char"/>
    <w:basedOn w:val="DefaultParagraphFont"/>
    <w:qFormat/>
    <w:rPr>
      <w:rFonts w:ascii="Arial" w:hAnsi="Arial" w:eastAsia="Calibri" w:cs="Calibri"/>
      <w:color w:val="FFFFFF"/>
      <w:sz w:val="36"/>
      <w:szCs w:val="32"/>
      <w:shd w:fill="004F6E" w:val="clear"/>
      <w:lang w:val="en-GB"/>
    </w:rPr>
  </w:style>
  <w:style w:type="character" w:styleId="Heading3Char">
    <w:name w:val="Heading 3 Char"/>
    <w:basedOn w:val="DefaultParagraphFont"/>
    <w:qFormat/>
    <w:rPr>
      <w:rFonts w:ascii="Arial" w:hAnsi="Arial" w:eastAsia="Calibri" w:cs="Calibri"/>
      <w:sz w:val="28"/>
      <w:szCs w:val="24"/>
      <w:lang w:val="en-GB"/>
    </w:rPr>
  </w:style>
  <w:style w:type="character" w:styleId="Strong">
    <w:name w:val="Strong"/>
    <w:basedOn w:val="DefaultParagraphFont"/>
    <w:qFormat/>
    <w:rPr>
      <w:b/>
      <w:bCs/>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rFonts w:eastAsia="Arial" w:cs="Arial"/>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TextBody"/>
    <w:qFormat/>
    <w:pPr>
      <w:spacing w:before="92" w:after="240"/>
      <w:ind w:left="4012" w:right="4328" w:hanging="0"/>
      <w:jc w:val="center"/>
    </w:pPr>
    <w:rPr>
      <w:rFonts w:eastAsia="Arial" w:cs="Arial"/>
      <w:b/>
      <w:bCs/>
      <w:sz w:val="28"/>
      <w:szCs w:val="28"/>
    </w:rPr>
  </w:style>
  <w:style w:type="paragraph" w:styleId="ListParagraph">
    <w:name w:val="List Paragraph"/>
    <w:basedOn w:val="Normal"/>
    <w:qFormat/>
    <w:pPr>
      <w:spacing w:before="60" w:after="240"/>
    </w:pPr>
    <w:rPr/>
  </w:style>
  <w:style w:type="paragraph" w:styleId="TableParagraph">
    <w:name w:val="Table Paragraph"/>
    <w:basedOn w:val="Normal"/>
    <w:qFormat/>
    <w:pPr>
      <w:ind w:left="107" w:right="0" w:hanging="0"/>
    </w:pPr>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Default">
    <w:name w:val="Default"/>
    <w:qFormat/>
    <w:pPr>
      <w:widowControl w:val="false"/>
      <w:suppressAutoHyphens w:val="true"/>
      <w:bidi w:val="0"/>
      <w:spacing w:before="0" w:after="0"/>
      <w:jc w:val="left"/>
    </w:pPr>
    <w:rPr>
      <w:rFonts w:ascii="Arial" w:hAnsi="Arial" w:eastAsia="Times New Roman" w:cs="Arial"/>
      <w:color w:val="000000"/>
      <w:kern w:val="0"/>
      <w:sz w:val="24"/>
      <w:szCs w:val="24"/>
      <w:lang w:val="en-GB" w:eastAsia="en-GB" w:bidi="ar-SA"/>
    </w:rPr>
  </w:style>
  <w:style w:type="paragraph" w:styleId="NormalWeb">
    <w:name w:val="Normal (Web)"/>
    <w:basedOn w:val="Normal"/>
    <w:qFormat/>
    <w:pPr>
      <w:widowControl/>
      <w:spacing w:lineRule="auto" w:line="240" w:before="280" w:after="280"/>
    </w:pPr>
    <w:rPr>
      <w:rFonts w:ascii="Times New Roman" w:hAnsi="Times New Roman" w:eastAsia="Times New Roman" w:cs="Times New Roman"/>
      <w:color w:val="auto"/>
      <w:szCs w:val="24"/>
      <w:lang w:eastAsia="en-GB"/>
    </w:rPr>
  </w:style>
  <w:style w:type="paragraph" w:styleId="Revision">
    <w:name w:val="Revision"/>
    <w:qFormat/>
    <w:pPr>
      <w:widowControl/>
      <w:suppressAutoHyphens w:val="true"/>
      <w:bidi w:val="0"/>
      <w:spacing w:before="0" w:after="0"/>
      <w:jc w:val="left"/>
    </w:pPr>
    <w:rPr>
      <w:rFonts w:ascii="Arial" w:hAnsi="Arial" w:eastAsia="Calibri" w:cs="Calibri"/>
      <w:color w:val="262626"/>
      <w:kern w:val="0"/>
      <w:sz w:val="24"/>
      <w:szCs w:val="22"/>
      <w:lang w:val="en-GB" w:eastAsia="en-US" w:bidi="ar-SA"/>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Normal.dotm</Template>
  <TotalTime>26</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2</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