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spacing w:lineRule="auto" w:line="360" w:before="60" w:after="240"/>
        <w:contextualSpacing/>
        <w:rPr>
          <w:rFonts w:cs="Arial"/>
          <w:sz w:val="24"/>
          <w:szCs w:val="24"/>
        </w:rPr>
      </w:pPr>
      <w:r>
        <w:rPr>
          <w:rFonts w:cs="Arial"/>
          <w:sz w:val="24"/>
          <w:szCs w:val="24"/>
        </w:rPr>
        <w:t>Role profile</w:t>
        <w:br/>
        <w:t>Senior Lawyer</w:t>
      </w:r>
    </w:p>
    <w:p>
      <w:pPr>
        <w:pStyle w:val="ListParagraph"/>
        <w:numPr>
          <w:ilvl w:val="0"/>
          <w:numId w:val="2"/>
        </w:numPr>
        <w:spacing w:before="60" w:after="240"/>
        <w:contextualSpacing/>
        <w:rPr/>
      </w:pPr>
      <w:r>
        <w:rPr>
          <w:rFonts w:cs="Arial"/>
          <w:b/>
          <w:bCs/>
          <w:color w:val="000000"/>
          <w:szCs w:val="24"/>
        </w:rPr>
        <w:t>Grade:</w:t>
      </w:r>
      <w:r>
        <w:rPr>
          <w:rFonts w:cs="Arial"/>
          <w:color w:val="000000"/>
          <w:szCs w:val="24"/>
        </w:rPr>
        <w:t xml:space="preserve">  10</w:t>
      </w:r>
    </w:p>
    <w:p>
      <w:pPr>
        <w:pStyle w:val="ListParagraph"/>
        <w:numPr>
          <w:ilvl w:val="0"/>
          <w:numId w:val="2"/>
        </w:numPr>
        <w:spacing w:before="60" w:after="240"/>
        <w:contextualSpacing/>
        <w:rPr/>
      </w:pPr>
      <w:r>
        <w:rPr>
          <w:rFonts w:cs="Arial"/>
          <w:b/>
          <w:bCs/>
          <w:color w:val="000000"/>
          <w:szCs w:val="24"/>
        </w:rPr>
        <w:t>Business area:</w:t>
      </w:r>
      <w:r>
        <w:rPr>
          <w:rFonts w:cs="Arial"/>
          <w:color w:val="000000"/>
          <w:szCs w:val="24"/>
        </w:rPr>
        <w:t xml:space="preserve">  Legal, Governance, Audit and Information and Data Governance</w:t>
      </w:r>
    </w:p>
    <w:p>
      <w:pPr>
        <w:pStyle w:val="ListParagraph"/>
        <w:numPr>
          <w:ilvl w:val="0"/>
          <w:numId w:val="2"/>
        </w:numPr>
        <w:spacing w:before="60" w:after="240"/>
        <w:contextualSpacing/>
        <w:rPr/>
      </w:pPr>
      <w:r>
        <w:rPr>
          <w:rFonts w:cs="Arial"/>
          <w:b/>
          <w:bCs/>
          <w:color w:val="000000"/>
          <w:szCs w:val="24"/>
        </w:rPr>
        <w:t>Job title</w:t>
      </w:r>
      <w:r>
        <w:rPr>
          <w:rFonts w:cs="Arial"/>
          <w:color w:val="000000"/>
          <w:szCs w:val="24"/>
        </w:rPr>
        <w:t>:  Senior Lawyer</w:t>
      </w:r>
    </w:p>
    <w:p>
      <w:pPr>
        <w:pStyle w:val="ListParagraph"/>
        <w:numPr>
          <w:ilvl w:val="0"/>
          <w:numId w:val="2"/>
        </w:numPr>
        <w:spacing w:before="60" w:after="240"/>
        <w:contextualSpacing/>
        <w:rPr/>
      </w:pPr>
      <w:r>
        <w:rPr>
          <w:rFonts w:cs="Arial"/>
          <w:b/>
          <w:bCs/>
          <w:color w:val="000000"/>
          <w:szCs w:val="24"/>
        </w:rPr>
        <w:t>Reporting line:</w:t>
      </w:r>
      <w:r>
        <w:rPr>
          <w:rFonts w:cs="Arial"/>
          <w:color w:val="000000"/>
          <w:szCs w:val="24"/>
        </w:rPr>
        <w:t xml:space="preserve"> Deputy Monitoring Officer</w:t>
      </w:r>
    </w:p>
    <w:p>
      <w:pPr>
        <w:pStyle w:val="ListParagraph"/>
        <w:numPr>
          <w:ilvl w:val="0"/>
          <w:numId w:val="2"/>
        </w:numPr>
        <w:spacing w:before="60" w:after="240"/>
        <w:contextualSpacing/>
        <w:rPr/>
      </w:pPr>
      <w:r>
        <w:rPr>
          <w:rFonts w:cs="Arial"/>
          <w:b/>
          <w:bCs/>
          <w:color w:val="000000"/>
          <w:szCs w:val="24"/>
        </w:rPr>
        <w:t>Team:</w:t>
      </w:r>
      <w:r>
        <w:rPr>
          <w:rFonts w:cs="Arial"/>
          <w:color w:val="000000"/>
          <w:szCs w:val="24"/>
        </w:rPr>
        <w:t xml:space="preserve"> Legal</w:t>
      </w:r>
    </w:p>
    <w:p>
      <w:pPr>
        <w:pStyle w:val="Heading2"/>
        <w:shd w:fill="004F6E" w:val="clear"/>
        <w:spacing w:before="60" w:after="240"/>
        <w:contextualSpacing/>
        <w:rPr>
          <w:rFonts w:cs="Arial"/>
          <w:sz w:val="24"/>
          <w:szCs w:val="24"/>
        </w:rPr>
      </w:pPr>
      <w:r>
        <w:rPr>
          <w:rFonts w:cs="Arial"/>
          <w:sz w:val="24"/>
          <w:szCs w:val="24"/>
        </w:rPr>
        <w:t>Job Purpose</w:t>
      </w:r>
    </w:p>
    <w:p>
      <w:pPr>
        <w:pStyle w:val="Normal"/>
        <w:spacing w:before="60" w:after="240"/>
        <w:contextualSpacing/>
        <w:rPr>
          <w:rFonts w:cs="Arial"/>
          <w:color w:val="000000"/>
          <w:szCs w:val="24"/>
        </w:rPr>
      </w:pPr>
      <w:r>
        <w:rPr>
          <w:rFonts w:cs="Arial"/>
          <w:color w:val="000000"/>
          <w:szCs w:val="24"/>
        </w:rPr>
        <w:t>Greater Manchester is a city region with a global reach. At our heart is a vibrant central city, surrounded by unique places which together are home to nearly three million people. We’ve forged a partnership that’s stronger than the sum of its parts, spanning the public, private, voluntary, community, faith, social enterprise and academic sectors. Our hyper-collaborative approach has put Greater Manchester at the forefront of progress in the arenas of devolution, transport, regeneration, health, education and public service reform and the Greater Manchester Strategy sets out a 10 -year blueprint for a thriving city region where everyone can live a good life.</w:t>
      </w:r>
    </w:p>
    <w:p>
      <w:pPr>
        <w:pStyle w:val="Normal"/>
        <w:spacing w:before="60" w:after="240"/>
        <w:contextualSpacing/>
        <w:rPr>
          <w:rFonts w:cs="Arial"/>
          <w:color w:val="000000"/>
          <w:szCs w:val="24"/>
        </w:rPr>
      </w:pPr>
      <w:r>
        <w:rPr>
          <w:rFonts w:cs="Arial"/>
          <w:color w:val="000000"/>
          <w:szCs w:val="24"/>
        </w:rPr>
      </w:r>
    </w:p>
    <w:p>
      <w:pPr>
        <w:pStyle w:val="Normal"/>
        <w:spacing w:before="60" w:after="240"/>
        <w:contextualSpacing/>
        <w:rPr>
          <w:rFonts w:cs="Arial"/>
          <w:color w:val="000000"/>
          <w:szCs w:val="24"/>
        </w:rPr>
      </w:pPr>
      <w:r>
        <w:rPr>
          <w:rFonts w:cs="Arial"/>
          <w:color w:val="000000"/>
          <w:szCs w:val="24"/>
        </w:rPr>
        <w:t>This senior role involves independently managing a complex caseload with minimal supervision, as well as assisting the Group Solicitor &amp; Monitoring Officer and Deputy Monitoring Officers in delivering effective legal advice on a range of Combined Authority matters.  The role supports all aspects of the GMCA’s work but is primarily focused on support for the Fire and Rescue Service.</w:t>
      </w:r>
    </w:p>
    <w:p>
      <w:pPr>
        <w:pStyle w:val="Normal"/>
        <w:spacing w:lineRule="auto" w:line="240" w:before="0" w:after="0"/>
        <w:rPr>
          <w:rFonts w:cs="Arial"/>
          <w:color w:val="000000"/>
          <w:szCs w:val="24"/>
        </w:rPr>
      </w:pPr>
      <w:r>
        <w:rPr>
          <w:rFonts w:cs="Arial"/>
          <w:color w:val="000000"/>
          <w:szCs w:val="24"/>
        </w:rPr>
      </w:r>
      <w:r>
        <w:br w:type="page"/>
      </w:r>
    </w:p>
    <w:p>
      <w:pPr>
        <w:pStyle w:val="Heading2"/>
        <w:shd w:fill="004F6E" w:val="clear"/>
        <w:spacing w:before="60" w:after="240"/>
        <w:contextualSpacing/>
        <w:rPr>
          <w:rFonts w:cs="Arial"/>
          <w:sz w:val="24"/>
          <w:szCs w:val="24"/>
        </w:rPr>
      </w:pPr>
      <w:r>
        <w:rPr>
          <w:rFonts w:cs="Arial"/>
          <w:sz w:val="24"/>
          <w:szCs w:val="24"/>
        </w:rPr>
        <w:t>Key working relationships</w:t>
      </w:r>
    </w:p>
    <w:p>
      <w:pPr>
        <w:pStyle w:val="ListParagraph"/>
        <w:numPr>
          <w:ilvl w:val="0"/>
          <w:numId w:val="3"/>
        </w:numPr>
        <w:spacing w:before="60" w:after="240"/>
        <w:contextualSpacing/>
        <w:rPr>
          <w:rFonts w:cs="Arial"/>
          <w:color w:val="000000"/>
          <w:szCs w:val="24"/>
        </w:rPr>
      </w:pPr>
      <w:r>
        <w:rPr>
          <w:rFonts w:cs="Arial"/>
          <w:color w:val="000000"/>
          <w:szCs w:val="24"/>
        </w:rPr>
        <w:t xml:space="preserve">Legal, Governance, Audit and Information and Data Governance teams and senior officers. </w:t>
      </w:r>
    </w:p>
    <w:p>
      <w:pPr>
        <w:pStyle w:val="ListParagraph"/>
        <w:numPr>
          <w:ilvl w:val="0"/>
          <w:numId w:val="3"/>
        </w:numPr>
        <w:spacing w:before="60" w:after="240"/>
        <w:contextualSpacing/>
        <w:rPr>
          <w:rFonts w:cs="Arial"/>
          <w:color w:val="000000"/>
          <w:szCs w:val="24"/>
        </w:rPr>
      </w:pPr>
      <w:r>
        <w:rPr>
          <w:rFonts w:cs="Arial"/>
          <w:color w:val="000000"/>
          <w:szCs w:val="24"/>
        </w:rPr>
        <w:t>Colleagues at all levels across GMCA, including where appropriate elected members.</w:t>
      </w:r>
    </w:p>
    <w:p>
      <w:pPr>
        <w:pStyle w:val="ListParagraph"/>
        <w:numPr>
          <w:ilvl w:val="0"/>
          <w:numId w:val="3"/>
        </w:numPr>
        <w:spacing w:before="60" w:after="240"/>
        <w:contextualSpacing/>
        <w:rPr>
          <w:rFonts w:cs="Arial"/>
          <w:color w:val="000000"/>
          <w:szCs w:val="24"/>
        </w:rPr>
      </w:pPr>
      <w:r>
        <w:rPr>
          <w:rFonts w:cs="Arial"/>
          <w:color w:val="000000"/>
          <w:szCs w:val="24"/>
        </w:rPr>
        <w:t xml:space="preserve">Shared Local Authority Legal Service and Transport for Greater Manchester Legal teams. </w:t>
      </w:r>
    </w:p>
    <w:p>
      <w:pPr>
        <w:pStyle w:val="ListParagraph"/>
        <w:numPr>
          <w:ilvl w:val="0"/>
          <w:numId w:val="3"/>
        </w:numPr>
        <w:spacing w:before="60" w:after="240"/>
        <w:contextualSpacing/>
        <w:rPr>
          <w:rFonts w:cs="Arial"/>
          <w:color w:val="000000"/>
          <w:szCs w:val="24"/>
        </w:rPr>
      </w:pPr>
      <w:r>
        <w:rPr>
          <w:rFonts w:cs="Arial"/>
          <w:color w:val="000000"/>
          <w:szCs w:val="24"/>
        </w:rPr>
        <w:t>External lawyers and counsel as instructed by the Combined Authority</w:t>
      </w:r>
    </w:p>
    <w:p>
      <w:pPr>
        <w:pStyle w:val="Heading2"/>
        <w:shd w:fill="004F6E" w:val="clear"/>
        <w:spacing w:before="60" w:after="240"/>
        <w:contextualSpacing/>
        <w:rPr>
          <w:rFonts w:cs="Arial"/>
          <w:sz w:val="24"/>
          <w:szCs w:val="24"/>
        </w:rPr>
      </w:pPr>
      <w:r>
        <w:rPr>
          <w:rFonts w:cs="Arial"/>
          <w:sz w:val="24"/>
          <w:szCs w:val="24"/>
        </w:rPr>
        <w:t>Key Responsibilities</w:t>
      </w:r>
    </w:p>
    <w:p>
      <w:pPr>
        <w:pStyle w:val="ListParagraph"/>
        <w:numPr>
          <w:ilvl w:val="0"/>
          <w:numId w:val="11"/>
        </w:numPr>
        <w:tabs>
          <w:tab w:val="clear" w:pos="720"/>
          <w:tab w:val="left" w:pos="426" w:leader="none"/>
        </w:tabs>
        <w:spacing w:before="60" w:after="120"/>
        <w:ind w:left="426" w:right="0" w:hanging="426"/>
        <w:contextualSpacing/>
        <w:rPr>
          <w:rFonts w:cs="Arial"/>
          <w:b/>
          <w:b/>
          <w:bCs/>
          <w:color w:val="000000"/>
          <w:szCs w:val="24"/>
        </w:rPr>
      </w:pPr>
      <w:r>
        <w:rPr>
          <w:rFonts w:cs="Arial"/>
          <w:b/>
          <w:bCs/>
          <w:color w:val="000000"/>
          <w:szCs w:val="24"/>
        </w:rPr>
        <w:t>Provision of Legal Services</w:t>
      </w:r>
    </w:p>
    <w:p>
      <w:pPr>
        <w:pStyle w:val="Normal"/>
        <w:numPr>
          <w:ilvl w:val="0"/>
          <w:numId w:val="6"/>
        </w:numPr>
        <w:tabs>
          <w:tab w:val="clear" w:pos="720"/>
          <w:tab w:val="left" w:pos="851" w:leader="none"/>
        </w:tabs>
        <w:spacing w:before="60" w:after="240"/>
        <w:ind w:left="851" w:right="0" w:hanging="425"/>
        <w:contextualSpacing/>
        <w:rPr/>
      </w:pPr>
      <w:r>
        <w:rPr>
          <w:rFonts w:cs="Arial"/>
          <w:color w:val="000000"/>
          <w:szCs w:val="24"/>
        </w:rPr>
        <w:t xml:space="preserve">Provide </w:t>
      </w:r>
      <w:r>
        <w:rPr/>
        <w:t>commercially and professionally robust legal advice, applying sound judgement to support and influence high</w:t>
        <w:noBreakHyphen/>
        <w:t>quality decision</w:t>
        <w:noBreakHyphen/>
        <w:t>making by a wide range of internal and external stakeholders at all levels</w:t>
      </w:r>
      <w:r>
        <w:rPr>
          <w:rFonts w:cs="Arial"/>
          <w:color w:val="000000"/>
          <w:szCs w:val="24"/>
        </w:rPr>
        <w:t xml:space="preserve"> across relevant areas including: </w:t>
      </w:r>
    </w:p>
    <w:p>
      <w:pPr>
        <w:pStyle w:val="Normal"/>
        <w:numPr>
          <w:ilvl w:val="1"/>
          <w:numId w:val="6"/>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Fire and Rescue Authority/Service functions</w:t>
      </w:r>
    </w:p>
    <w:p>
      <w:pPr>
        <w:pStyle w:val="Normal"/>
        <w:numPr>
          <w:ilvl w:val="1"/>
          <w:numId w:val="6"/>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Police and Crime Commissioner / policing matters</w:t>
      </w:r>
    </w:p>
    <w:p>
      <w:pPr>
        <w:pStyle w:val="Normal"/>
        <w:numPr>
          <w:ilvl w:val="1"/>
          <w:numId w:val="6"/>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Public and administrative law</w:t>
      </w:r>
    </w:p>
    <w:p>
      <w:pPr>
        <w:pStyle w:val="Normal"/>
        <w:numPr>
          <w:ilvl w:val="1"/>
          <w:numId w:val="6"/>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Freedom of Information, Environmental Information and Data Protection</w:t>
      </w:r>
    </w:p>
    <w:p>
      <w:pPr>
        <w:pStyle w:val="Normal"/>
        <w:numPr>
          <w:ilvl w:val="1"/>
          <w:numId w:val="6"/>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Commercial, contract, projects, procurement and subsidy control</w:t>
      </w:r>
    </w:p>
    <w:p>
      <w:pPr>
        <w:pStyle w:val="Normal"/>
        <w:numPr>
          <w:ilvl w:val="1"/>
          <w:numId w:val="6"/>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Litigation (including personal injury and judicial review)</w:t>
      </w:r>
    </w:p>
    <w:p>
      <w:pPr>
        <w:pStyle w:val="Normal"/>
        <w:numPr>
          <w:ilvl w:val="1"/>
          <w:numId w:val="6"/>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Land and property law</w:t>
      </w:r>
    </w:p>
    <w:p>
      <w:pPr>
        <w:pStyle w:val="ListParagraph"/>
        <w:numPr>
          <w:ilvl w:val="0"/>
          <w:numId w:val="11"/>
        </w:numPr>
        <w:tabs>
          <w:tab w:val="clear" w:pos="720"/>
          <w:tab w:val="left" w:pos="426" w:leader="none"/>
        </w:tabs>
        <w:spacing w:before="60" w:after="120"/>
        <w:ind w:left="426" w:right="0" w:hanging="426"/>
        <w:contextualSpacing/>
        <w:rPr>
          <w:rFonts w:cs="Arial"/>
          <w:b/>
          <w:b/>
          <w:bCs/>
          <w:color w:val="000000"/>
          <w:szCs w:val="24"/>
        </w:rPr>
      </w:pPr>
      <w:r>
        <w:rPr>
          <w:rFonts w:cs="Arial"/>
          <w:b/>
          <w:bCs/>
          <w:color w:val="000000"/>
          <w:szCs w:val="24"/>
        </w:rPr>
        <w:t>Casework Management</w:t>
      </w:r>
    </w:p>
    <w:p>
      <w:pPr>
        <w:pStyle w:val="Normal"/>
        <w:numPr>
          <w:ilvl w:val="0"/>
          <w:numId w:val="7"/>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Manage a complex and varied caseload (including matters of significant financial, operational and reputational importance) with minimal supervision and a wide discretion (whist still operating within appropriate professional frameworks), providing timely, high</w:t>
        <w:noBreakHyphen/>
        <w:t>quality legal advice, representation and documentation including:</w:t>
      </w:r>
    </w:p>
    <w:p>
      <w:pPr>
        <w:pStyle w:val="Normal"/>
        <w:numPr>
          <w:ilvl w:val="1"/>
          <w:numId w:val="7"/>
        </w:numPr>
        <w:tabs>
          <w:tab w:val="clear" w:pos="720"/>
          <w:tab w:val="left" w:pos="1276" w:leader="none"/>
        </w:tabs>
        <w:spacing w:before="60" w:after="240"/>
        <w:ind w:left="1276" w:right="0" w:hanging="425"/>
        <w:contextualSpacing/>
        <w:rPr/>
      </w:pPr>
      <w:r>
        <w:rPr>
          <w:rFonts w:cs="Arial"/>
          <w:color w:val="000000"/>
          <w:szCs w:val="24"/>
        </w:rPr>
        <w:t xml:space="preserve">Research, analyse and apply the law, </w:t>
      </w:r>
      <w:r>
        <w:rPr/>
        <w:t>including on novel, sensitive, complex and evolving/precedent-setting legal issues</w:t>
      </w:r>
      <w:r>
        <w:rPr>
          <w:rFonts w:cs="Arial"/>
          <w:color w:val="000000"/>
          <w:szCs w:val="24"/>
        </w:rPr>
        <w:t xml:space="preserve">, delivering clear written and verbal advice with recommendations and risk assessments </w:t>
      </w:r>
      <w:r>
        <w:rPr/>
        <w:t>demonstrating sound judgement, resilience and assurance</w:t>
      </w:r>
      <w:r>
        <w:rPr>
          <w:rFonts w:cs="Arial"/>
          <w:color w:val="000000"/>
          <w:szCs w:val="24"/>
        </w:rPr>
        <w:t>.</w:t>
      </w:r>
    </w:p>
    <w:p>
      <w:pPr>
        <w:pStyle w:val="Normal"/>
        <w:numPr>
          <w:ilvl w:val="1"/>
          <w:numId w:val="7"/>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Advise on and contribute to the development of organisational policy and procedures including ensuring statutory compliance</w:t>
      </w:r>
    </w:p>
    <w:p>
      <w:pPr>
        <w:pStyle w:val="Normal"/>
        <w:numPr>
          <w:ilvl w:val="1"/>
          <w:numId w:val="7"/>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Draft legal correspondence, CPR documents and Instructions to Counsel.</w:t>
      </w:r>
    </w:p>
    <w:p>
      <w:pPr>
        <w:pStyle w:val="Normal"/>
        <w:numPr>
          <w:ilvl w:val="1"/>
          <w:numId w:val="7"/>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Summarise legal documents for senior officers.</w:t>
      </w:r>
    </w:p>
    <w:p>
      <w:pPr>
        <w:pStyle w:val="Normal"/>
        <w:numPr>
          <w:ilvl w:val="1"/>
          <w:numId w:val="7"/>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Attend internal and external meetings/conference calls, providing authoritative legal input.</w:t>
      </w:r>
    </w:p>
    <w:p>
      <w:pPr>
        <w:pStyle w:val="Normal"/>
        <w:numPr>
          <w:ilvl w:val="1"/>
          <w:numId w:val="7"/>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Prepare and deliver presentations and training.</w:t>
      </w:r>
    </w:p>
    <w:p>
      <w:pPr>
        <w:pStyle w:val="Normal"/>
        <w:numPr>
          <w:ilvl w:val="1"/>
          <w:numId w:val="7"/>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Advise elected members and officers on governance, constitutional issues, vires and decision</w:t>
        <w:noBreakHyphen/>
        <w:t>making processes.</w:t>
      </w:r>
    </w:p>
    <w:p>
      <w:pPr>
        <w:pStyle w:val="Normal"/>
        <w:numPr>
          <w:ilvl w:val="1"/>
          <w:numId w:val="7"/>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Prepare/review reports for Boards/Committees and attend meetings as required.</w:t>
      </w:r>
    </w:p>
    <w:p>
      <w:pPr>
        <w:pStyle w:val="Normal"/>
        <w:numPr>
          <w:ilvl w:val="1"/>
          <w:numId w:val="7"/>
        </w:numPr>
        <w:tabs>
          <w:tab w:val="clear" w:pos="720"/>
          <w:tab w:val="left" w:pos="1276" w:leader="none"/>
        </w:tabs>
        <w:spacing w:before="60" w:after="240"/>
        <w:ind w:left="1276" w:right="0" w:hanging="425"/>
        <w:contextualSpacing/>
        <w:rPr>
          <w:rFonts w:cs="Arial"/>
          <w:color w:val="000000"/>
          <w:szCs w:val="24"/>
        </w:rPr>
      </w:pPr>
      <w:r>
        <w:rPr>
          <w:rFonts w:cs="Arial"/>
          <w:color w:val="000000"/>
          <w:szCs w:val="24"/>
        </w:rPr>
        <w:t>Influencing senior stakeholders across partner agencies</w:t>
      </w:r>
    </w:p>
    <w:p>
      <w:pPr>
        <w:pStyle w:val="Normal"/>
        <w:numPr>
          <w:ilvl w:val="0"/>
          <w:numId w:val="7"/>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Assist the Group Solicitor &amp; Monitoring Officer and Deputy Monitoring Officers with matters within their statutory and corporate responsibilities.</w:t>
      </w:r>
    </w:p>
    <w:p>
      <w:pPr>
        <w:pStyle w:val="ListParagraph"/>
        <w:numPr>
          <w:ilvl w:val="0"/>
          <w:numId w:val="11"/>
        </w:numPr>
        <w:tabs>
          <w:tab w:val="clear" w:pos="720"/>
          <w:tab w:val="left" w:pos="426" w:leader="none"/>
        </w:tabs>
        <w:spacing w:before="60" w:after="120"/>
        <w:ind w:left="426" w:right="0" w:hanging="426"/>
        <w:contextualSpacing/>
        <w:rPr>
          <w:rFonts w:cs="Arial"/>
          <w:b/>
          <w:b/>
          <w:bCs/>
          <w:color w:val="000000"/>
          <w:szCs w:val="24"/>
        </w:rPr>
      </w:pPr>
      <w:r>
        <w:rPr>
          <w:rFonts w:cs="Arial"/>
          <w:b/>
          <w:bCs/>
          <w:color w:val="000000"/>
          <w:szCs w:val="24"/>
        </w:rPr>
        <w:t>Corporate Compliance &amp; Governance</w:t>
      </w:r>
    </w:p>
    <w:p>
      <w:pPr>
        <w:pStyle w:val="Normal"/>
        <w:numPr>
          <w:ilvl w:val="0"/>
          <w:numId w:val="8"/>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Maintain an up</w:t>
        <w:noBreakHyphen/>
        <w:t>to</w:t>
        <w:noBreakHyphen/>
        <w:t>date understanding of GMCA’s statutory powers, constitutional framework, decision</w:t>
        <w:noBreakHyphen/>
        <w:t>making processes, policies and procedures.</w:t>
      </w:r>
    </w:p>
    <w:p>
      <w:pPr>
        <w:pStyle w:val="Normal"/>
        <w:numPr>
          <w:ilvl w:val="0"/>
          <w:numId w:val="8"/>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Ensure compliance with lawful execution of contracts and deeds.</w:t>
      </w:r>
    </w:p>
    <w:p>
      <w:pPr>
        <w:pStyle w:val="Normal"/>
        <w:numPr>
          <w:ilvl w:val="0"/>
          <w:numId w:val="8"/>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Review Decision Reports.</w:t>
      </w:r>
    </w:p>
    <w:p>
      <w:pPr>
        <w:pStyle w:val="ListParagraph"/>
        <w:numPr>
          <w:ilvl w:val="0"/>
          <w:numId w:val="11"/>
        </w:numPr>
        <w:tabs>
          <w:tab w:val="clear" w:pos="720"/>
          <w:tab w:val="left" w:pos="426" w:leader="none"/>
        </w:tabs>
        <w:spacing w:before="60" w:after="120"/>
        <w:ind w:left="426" w:right="0" w:hanging="426"/>
        <w:contextualSpacing/>
        <w:rPr>
          <w:rFonts w:cs="Arial"/>
          <w:b/>
          <w:b/>
          <w:bCs/>
          <w:color w:val="000000"/>
          <w:szCs w:val="24"/>
        </w:rPr>
      </w:pPr>
      <w:r>
        <w:rPr>
          <w:rFonts w:cs="Arial"/>
          <w:b/>
          <w:bCs/>
          <w:color w:val="000000"/>
          <w:szCs w:val="24"/>
        </w:rPr>
        <w:t>Professional Standards &amp; Knowledge</w:t>
      </w:r>
    </w:p>
    <w:p>
      <w:pPr>
        <w:pStyle w:val="Normal"/>
        <w:numPr>
          <w:ilvl w:val="0"/>
          <w:numId w:val="9"/>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Maintain up</w:t>
        <w:noBreakHyphen/>
        <w:t>to</w:t>
        <w:noBreakHyphen/>
        <w:t>date knowledge of relevant law and practice, in line with relevant professional body competence requirements.</w:t>
      </w:r>
    </w:p>
    <w:p>
      <w:pPr>
        <w:pStyle w:val="Normal"/>
        <w:numPr>
          <w:ilvl w:val="0"/>
          <w:numId w:val="9"/>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Share training materials proactively and provide legal training and guidance to colleagues and client teams.</w:t>
      </w:r>
    </w:p>
    <w:p>
      <w:pPr>
        <w:pStyle w:val="ListParagraph"/>
        <w:numPr>
          <w:ilvl w:val="0"/>
          <w:numId w:val="11"/>
        </w:numPr>
        <w:tabs>
          <w:tab w:val="clear" w:pos="720"/>
          <w:tab w:val="left" w:pos="426" w:leader="none"/>
        </w:tabs>
        <w:spacing w:before="60" w:after="120"/>
        <w:ind w:left="426" w:right="0" w:hanging="426"/>
        <w:contextualSpacing/>
        <w:rPr>
          <w:rFonts w:cs="Arial"/>
          <w:b/>
          <w:b/>
          <w:bCs/>
          <w:color w:val="000000"/>
          <w:szCs w:val="24"/>
        </w:rPr>
      </w:pPr>
      <w:r>
        <w:rPr>
          <w:rFonts w:cs="Arial"/>
          <w:b/>
          <w:bCs/>
          <w:color w:val="000000"/>
          <w:szCs w:val="24"/>
        </w:rPr>
        <w:t>Risk Management</w:t>
      </w:r>
    </w:p>
    <w:p>
      <w:pPr>
        <w:pStyle w:val="Normal"/>
        <w:numPr>
          <w:ilvl w:val="0"/>
          <w:numId w:val="10"/>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Identify legal and commercial risks and provide clear advice on likelihood and impact.</w:t>
      </w:r>
    </w:p>
    <w:p>
      <w:pPr>
        <w:pStyle w:val="Normal"/>
        <w:numPr>
          <w:ilvl w:val="0"/>
          <w:numId w:val="10"/>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Escalate issues appropriately and propose proportionate mitigation strategies.</w:t>
      </w:r>
    </w:p>
    <w:p>
      <w:pPr>
        <w:pStyle w:val="Normal"/>
        <w:numPr>
          <w:ilvl w:val="0"/>
          <w:numId w:val="10"/>
        </w:numPr>
        <w:tabs>
          <w:tab w:val="clear" w:pos="720"/>
          <w:tab w:val="left" w:pos="851" w:leader="none"/>
        </w:tabs>
        <w:spacing w:before="60" w:after="240"/>
        <w:ind w:left="851" w:right="0" w:hanging="425"/>
        <w:contextualSpacing/>
        <w:rPr>
          <w:rFonts w:cs="Arial"/>
          <w:color w:val="000000"/>
          <w:szCs w:val="24"/>
        </w:rPr>
      </w:pPr>
      <w:r>
        <w:rPr>
          <w:rFonts w:cs="Arial"/>
          <w:color w:val="000000"/>
          <w:szCs w:val="24"/>
        </w:rPr>
        <w:t>Take ownership of agreed risk</w:t>
        <w:noBreakHyphen/>
        <w:t>mitigation actions where appropriate.</w:t>
      </w:r>
    </w:p>
    <w:p>
      <w:pPr>
        <w:pStyle w:val="Normal"/>
        <w:spacing w:before="60" w:after="240"/>
        <w:contextualSpacing/>
        <w:rPr>
          <w:rFonts w:cs="Arial"/>
          <w:color w:val="000000"/>
          <w:szCs w:val="24"/>
        </w:rPr>
      </w:pPr>
      <w:r>
        <w:rPr>
          <w:rFonts w:cs="Arial"/>
          <w:color w:val="000000"/>
          <w:szCs w:val="24"/>
        </w:rPr>
      </w:r>
    </w:p>
    <w:p>
      <w:pPr>
        <w:pStyle w:val="Normal"/>
        <w:spacing w:before="60" w:after="240"/>
        <w:contextualSpacing/>
        <w:rPr>
          <w:rFonts w:cs="Arial"/>
          <w:b/>
          <w:b/>
          <w:color w:val="000000"/>
          <w:szCs w:val="24"/>
        </w:rPr>
      </w:pPr>
      <w:r>
        <w:rPr>
          <w:rFonts w:cs="Arial"/>
          <w:b/>
          <w:color w:val="000000"/>
          <w:szCs w:val="24"/>
        </w:rPr>
        <w:t>NB: This list of duties and responsibilities is by no means exhaustive, and the post holder may be required to undertake other relevant and appropriate duties as required.</w:t>
      </w:r>
    </w:p>
    <w:p>
      <w:pPr>
        <w:sectPr>
          <w:headerReference w:type="default" r:id="rId2"/>
          <w:footerReference w:type="default" r:id="rId3"/>
          <w:type w:val="nextPage"/>
          <w:pgSz w:w="11906" w:h="16850"/>
          <w:pgMar w:left="1304" w:right="1304" w:header="709" w:top="1304" w:footer="442" w:bottom="1418" w:gutter="0"/>
          <w:pgNumType w:fmt="decimal"/>
          <w:formProt w:val="false"/>
          <w:textDirection w:val="lrTb"/>
          <w:docGrid w:type="default" w:linePitch="600" w:charSpace="32768"/>
        </w:sectPr>
      </w:pPr>
    </w:p>
    <w:p>
      <w:pPr>
        <w:pStyle w:val="Heading2"/>
        <w:shd w:fill="004F6E" w:val="clear"/>
        <w:spacing w:before="60" w:after="240"/>
        <w:contextualSpacing/>
        <w:rPr>
          <w:rFonts w:cs="Arial"/>
          <w:sz w:val="24"/>
          <w:szCs w:val="24"/>
        </w:rPr>
      </w:pPr>
      <w:r>
        <w:rPr>
          <w:rFonts w:cs="Arial"/>
          <w:sz w:val="24"/>
          <w:szCs w:val="24"/>
        </w:rPr>
        <w:t>General</w:t>
      </w:r>
    </w:p>
    <w:p>
      <w:pPr>
        <w:pStyle w:val="ListParagraph"/>
        <w:numPr>
          <w:ilvl w:val="0"/>
          <w:numId w:val="4"/>
        </w:numPr>
        <w:spacing w:before="60" w:after="240"/>
        <w:ind w:left="992" w:right="0" w:hanging="635"/>
        <w:contextualSpacing/>
        <w:rPr/>
      </w:pPr>
      <w:r>
        <w:rPr>
          <w:color w:val="000000"/>
        </w:rPr>
        <w:t>Work effectively within a fast</w:t>
        <w:noBreakHyphen/>
        <w:t>paced, multidisciplinary team; l</w:t>
      </w:r>
      <w:r>
        <w:rPr/>
        <w:t>eading confidently on the provision of legal advice, including on novel, complex or evolving areas of law, demonstrating sound judgement, resilience and assurance in professional decision</w:t>
        <w:noBreakHyphen/>
        <w:t>making and</w:t>
      </w:r>
      <w:r>
        <w:rPr>
          <w:color w:val="000000"/>
        </w:rPr>
        <w:t xml:space="preserve"> upholding professional integrity and confidentiality</w:t>
      </w:r>
      <w:r>
        <w:rPr/>
        <w:t>.</w:t>
      </w:r>
    </w:p>
    <w:p>
      <w:pPr>
        <w:pStyle w:val="ListParagraph"/>
        <w:numPr>
          <w:ilvl w:val="0"/>
          <w:numId w:val="4"/>
        </w:numPr>
        <w:spacing w:before="60" w:after="240"/>
        <w:ind w:left="992" w:right="0" w:hanging="635"/>
        <w:contextualSpacing/>
        <w:rPr>
          <w:color w:val="000000"/>
        </w:rPr>
      </w:pPr>
      <w:r>
        <w:rPr>
          <w:color w:val="000000"/>
        </w:rPr>
        <w:t>Procure/commission and manage external legal support from a variety of providers including external solicitors and counsel.</w:t>
      </w:r>
    </w:p>
    <w:p>
      <w:pPr>
        <w:pStyle w:val="ListParagraph"/>
        <w:numPr>
          <w:ilvl w:val="0"/>
          <w:numId w:val="4"/>
        </w:numPr>
        <w:spacing w:before="60" w:after="240"/>
        <w:ind w:left="992" w:right="0" w:hanging="635"/>
        <w:contextualSpacing/>
        <w:rPr>
          <w:color w:val="000000"/>
        </w:rPr>
      </w:pPr>
      <w:r>
        <w:rPr>
          <w:color w:val="000000"/>
        </w:rPr>
        <w:t>Support colleagues with the procurement/commissioning of external support.</w:t>
      </w:r>
    </w:p>
    <w:p>
      <w:pPr>
        <w:pStyle w:val="ListParagraph"/>
        <w:numPr>
          <w:ilvl w:val="0"/>
          <w:numId w:val="4"/>
        </w:numPr>
        <w:spacing w:before="60" w:after="240"/>
        <w:ind w:left="992" w:right="0" w:hanging="635"/>
        <w:contextualSpacing/>
        <w:rPr>
          <w:color w:val="000000"/>
        </w:rPr>
      </w:pPr>
      <w:r>
        <w:rPr>
          <w:color w:val="000000"/>
        </w:rPr>
        <w:t>Prioritise workload to meet organisational needs and comply with team procedures and customer service standards.</w:t>
      </w:r>
    </w:p>
    <w:p>
      <w:pPr>
        <w:pStyle w:val="ListParagraph"/>
        <w:numPr>
          <w:ilvl w:val="0"/>
          <w:numId w:val="4"/>
        </w:numPr>
        <w:spacing w:before="60" w:after="240"/>
        <w:ind w:left="992" w:right="0" w:hanging="635"/>
        <w:contextualSpacing/>
        <w:rPr>
          <w:lang w:eastAsia="en-GB"/>
        </w:rPr>
      </w:pPr>
      <w:r>
        <w:rPr>
          <w:lang w:eastAsia="en-GB"/>
        </w:rPr>
        <w:t>Demonstrate the emotional resilience and professional judgement required to handle sensitive and potentially distressing matters, including engaging appropriately with individuals who may be experiencing heightened emotions or difficult circumstances.</w:t>
      </w:r>
    </w:p>
    <w:p>
      <w:pPr>
        <w:pStyle w:val="ListParagraph"/>
        <w:numPr>
          <w:ilvl w:val="0"/>
          <w:numId w:val="4"/>
        </w:numPr>
        <w:spacing w:before="60" w:after="240"/>
        <w:ind w:left="992" w:right="0" w:hanging="635"/>
        <w:contextualSpacing/>
        <w:rPr>
          <w:rFonts w:cs="Arial"/>
          <w:color w:val="000000"/>
          <w:szCs w:val="24"/>
        </w:rPr>
      </w:pPr>
      <w:r>
        <w:rPr>
          <w:rFonts w:cs="Arial"/>
          <w:color w:val="000000"/>
          <w:szCs w:val="24"/>
        </w:rPr>
        <w:t>To hold yourself and others to a high standard of professionalism at all times, demonstrating your commitment to our values and behaviours as well as ensuring service confidentiality is maintained throughout all we do.</w:t>
      </w:r>
    </w:p>
    <w:p>
      <w:pPr>
        <w:pStyle w:val="ListParagraph"/>
        <w:numPr>
          <w:ilvl w:val="0"/>
          <w:numId w:val="4"/>
        </w:numPr>
        <w:spacing w:before="60" w:after="240"/>
        <w:ind w:left="992" w:right="0" w:hanging="635"/>
        <w:contextualSpacing/>
        <w:rPr>
          <w:rFonts w:eastAsia="Arial" w:cs="Arial"/>
          <w:color w:val="000000"/>
          <w:szCs w:val="24"/>
        </w:rPr>
      </w:pPr>
      <w:r>
        <w:rPr>
          <w:rFonts w:eastAsia="Arial" w:cs="Arial"/>
          <w:color w:val="000000"/>
          <w:szCs w:val="24"/>
        </w:rPr>
        <w:t>Working with other teams internally and externally, collaboration is maximised and supporting on activity where appropriate</w:t>
      </w:r>
    </w:p>
    <w:p>
      <w:pPr>
        <w:pStyle w:val="ListParagraph"/>
        <w:numPr>
          <w:ilvl w:val="0"/>
          <w:numId w:val="4"/>
        </w:numPr>
        <w:spacing w:before="60" w:after="240"/>
        <w:ind w:left="992" w:right="0" w:hanging="635"/>
        <w:contextualSpacing/>
        <w:rPr>
          <w:rFonts w:cs="Arial"/>
          <w:color w:val="000000"/>
          <w:szCs w:val="24"/>
        </w:rPr>
      </w:pPr>
      <w:r>
        <w:rPr>
          <w:rFonts w:cs="Arial"/>
          <w:color w:val="000000"/>
          <w:szCs w:val="24"/>
        </w:rPr>
        <w:t xml:space="preserve">Ensure the services delivered internally and externally are inclusive and accessible, integrated with the service </w:t>
      </w:r>
    </w:p>
    <w:p>
      <w:pPr>
        <w:pStyle w:val="ListParagraph"/>
        <w:numPr>
          <w:ilvl w:val="0"/>
          <w:numId w:val="4"/>
        </w:numPr>
        <w:spacing w:before="60" w:after="240"/>
        <w:ind w:left="992" w:right="0" w:hanging="635"/>
        <w:contextualSpacing/>
        <w:rPr>
          <w:rFonts w:cs="Arial"/>
          <w:color w:val="000000"/>
          <w:szCs w:val="24"/>
        </w:rPr>
      </w:pPr>
      <w:r>
        <w:rPr>
          <w:rFonts w:cs="Arial"/>
          <w:color w:val="000000"/>
          <w:szCs w:val="24"/>
        </w:rPr>
        <w:t xml:space="preserve">To align work area to the Sustainability Strategy and ensure work practices are inclusive of this values &amp; strategic intent </w:t>
      </w:r>
    </w:p>
    <w:p>
      <w:pPr>
        <w:pStyle w:val="Normal"/>
        <w:spacing w:before="60" w:after="240"/>
        <w:contextualSpacing/>
        <w:rPr>
          <w:rFonts w:cs="Arial"/>
          <w:b/>
          <w:b/>
          <w:color w:val="000000"/>
          <w:szCs w:val="24"/>
        </w:rPr>
      </w:pPr>
      <w:r>
        <w:rPr>
          <w:rFonts w:cs="Arial"/>
          <w:b/>
          <w:color w:val="000000"/>
          <w:szCs w:val="24"/>
        </w:rPr>
        <w:t>NB: This list of duties and responsibilities is by no means exhaustive, and the post holder may be required to undertake other relevant and appropriate duties as required.</w:t>
      </w:r>
    </w:p>
    <w:p>
      <w:pPr>
        <w:pStyle w:val="Heading2"/>
        <w:shd w:fill="004F6E" w:val="clear"/>
        <w:spacing w:before="60" w:after="240"/>
        <w:contextualSpacing/>
        <w:rPr>
          <w:rFonts w:cs="Arial"/>
          <w:sz w:val="24"/>
          <w:szCs w:val="24"/>
        </w:rPr>
      </w:pPr>
      <w:r>
        <w:rPr>
          <w:rFonts w:cs="Arial"/>
          <w:sz w:val="24"/>
          <w:szCs w:val="24"/>
        </w:rPr>
        <w:t>Knowledge, Skills, and Experience</w:t>
      </w:r>
    </w:p>
    <w:p>
      <w:pPr>
        <w:pStyle w:val="Heading3"/>
        <w:spacing w:before="60" w:after="240"/>
        <w:contextualSpacing/>
        <w:rPr>
          <w:rFonts w:cs="Arial"/>
          <w:b/>
          <w:b/>
          <w:bCs/>
          <w:color w:val="000000"/>
          <w:sz w:val="24"/>
        </w:rPr>
      </w:pPr>
      <w:r>
        <w:rPr>
          <w:rFonts w:cs="Arial"/>
          <w:b/>
          <w:bCs/>
          <w:color w:val="000000"/>
          <w:sz w:val="24"/>
        </w:rPr>
        <w:t>Knowledge &amp; Experience</w:t>
      </w:r>
    </w:p>
    <w:p>
      <w:pPr>
        <w:pStyle w:val="Normal"/>
        <w:spacing w:before="60" w:after="0"/>
        <w:contextualSpacing/>
        <w:rPr>
          <w:rFonts w:cs="Arial"/>
          <w:color w:val="000000"/>
          <w:szCs w:val="24"/>
        </w:rPr>
      </w:pPr>
      <w:r>
        <w:rPr>
          <w:rFonts w:cs="Arial"/>
          <w:color w:val="000000"/>
          <w:szCs w:val="24"/>
        </w:rPr>
        <w:t xml:space="preserve">Essential </w:t>
      </w:r>
    </w:p>
    <w:p>
      <w:pPr>
        <w:pStyle w:val="Heading3"/>
        <w:numPr>
          <w:ilvl w:val="0"/>
          <w:numId w:val="3"/>
        </w:numPr>
        <w:spacing w:before="60" w:after="240"/>
        <w:contextualSpacing/>
        <w:rPr>
          <w:rFonts w:cs="Arial"/>
          <w:color w:val="000000"/>
          <w:sz w:val="24"/>
        </w:rPr>
      </w:pPr>
      <w:r>
        <w:rPr>
          <w:rFonts w:cs="Arial"/>
          <w:color w:val="000000"/>
          <w:sz w:val="24"/>
        </w:rPr>
        <w:t>A Solicitor’s Regulation Authority registered qualified solicitor with current practicing certificate permitting them to practice in England, a qualified barrister permitted to practice in England or Fellow of the Institute of Legal Executives/CILEX Lawyer with the necessary practice rights to undertake the responsibilities of the role as outlined above.</w:t>
      </w:r>
    </w:p>
    <w:p>
      <w:pPr>
        <w:pStyle w:val="Heading3"/>
        <w:numPr>
          <w:ilvl w:val="0"/>
          <w:numId w:val="3"/>
        </w:numPr>
        <w:spacing w:before="60" w:after="240"/>
        <w:contextualSpacing/>
        <w:rPr>
          <w:rFonts w:cs="Arial"/>
          <w:color w:val="000000"/>
          <w:sz w:val="24"/>
        </w:rPr>
      </w:pPr>
      <w:r>
        <w:rPr>
          <w:rFonts w:cs="Arial"/>
          <w:color w:val="000000"/>
          <w:sz w:val="24"/>
        </w:rPr>
        <w:t>4 years post qualification experience or able to demonstrate extensive experience.</w:t>
      </w:r>
    </w:p>
    <w:p>
      <w:pPr>
        <w:pStyle w:val="Heading3"/>
        <w:numPr>
          <w:ilvl w:val="0"/>
          <w:numId w:val="3"/>
        </w:numPr>
        <w:spacing w:before="60" w:after="240"/>
        <w:contextualSpacing/>
        <w:rPr>
          <w:rFonts w:cs="Arial"/>
          <w:color w:val="000000"/>
          <w:sz w:val="24"/>
        </w:rPr>
      </w:pPr>
      <w:r>
        <w:rPr>
          <w:rFonts w:cs="Arial"/>
          <w:color w:val="000000"/>
          <w:sz w:val="24"/>
        </w:rPr>
        <w:t>Experience of dealing with legal matters in some of the subject areas described above in a public sector context.</w:t>
      </w:r>
    </w:p>
    <w:p>
      <w:pPr>
        <w:pStyle w:val="Heading3"/>
        <w:numPr>
          <w:ilvl w:val="0"/>
          <w:numId w:val="3"/>
        </w:numPr>
        <w:spacing w:before="60" w:after="240"/>
        <w:contextualSpacing/>
        <w:rPr>
          <w:rFonts w:cs="Arial"/>
          <w:color w:val="000000"/>
          <w:sz w:val="24"/>
        </w:rPr>
      </w:pPr>
      <w:r>
        <w:rPr>
          <w:rFonts w:cs="Arial"/>
          <w:color w:val="000000"/>
          <w:sz w:val="24"/>
        </w:rPr>
        <w:t>A knowledge of public sector, the political environment and statutory obligations across the organisation.</w:t>
      </w:r>
    </w:p>
    <w:p>
      <w:pPr>
        <w:pStyle w:val="Heading3"/>
        <w:numPr>
          <w:ilvl w:val="0"/>
          <w:numId w:val="3"/>
        </w:numPr>
        <w:spacing w:before="60" w:after="240"/>
        <w:contextualSpacing/>
        <w:rPr>
          <w:rFonts w:cs="Arial"/>
          <w:color w:val="000000"/>
          <w:sz w:val="24"/>
        </w:rPr>
      </w:pPr>
      <w:r>
        <w:rPr>
          <w:rFonts w:cs="Arial"/>
          <w:color w:val="000000"/>
          <w:sz w:val="24"/>
        </w:rPr>
        <w:t xml:space="preserve">An understanding of the financial framework governing local authority activities. </w:t>
      </w:r>
    </w:p>
    <w:p>
      <w:pPr>
        <w:pStyle w:val="Heading3"/>
        <w:numPr>
          <w:ilvl w:val="0"/>
          <w:numId w:val="3"/>
        </w:numPr>
        <w:spacing w:before="60" w:after="240"/>
        <w:contextualSpacing/>
        <w:rPr>
          <w:rFonts w:cs="Arial"/>
          <w:color w:val="000000"/>
          <w:sz w:val="24"/>
        </w:rPr>
      </w:pPr>
      <w:r>
        <w:rPr>
          <w:rFonts w:cs="Arial"/>
          <w:color w:val="000000"/>
          <w:sz w:val="24"/>
        </w:rPr>
        <w:t>A working knowledge of the statutory and regulatory framework within which a Mayoral Combined Authority operates.</w:t>
      </w:r>
    </w:p>
    <w:p>
      <w:pPr>
        <w:pStyle w:val="Heading3"/>
        <w:numPr>
          <w:ilvl w:val="0"/>
          <w:numId w:val="3"/>
        </w:numPr>
        <w:spacing w:before="60" w:after="240"/>
        <w:contextualSpacing/>
        <w:rPr>
          <w:rFonts w:cs="Arial"/>
          <w:color w:val="000000"/>
          <w:sz w:val="24"/>
        </w:rPr>
      </w:pPr>
      <w:r>
        <w:rPr>
          <w:rFonts w:cs="Arial"/>
          <w:color w:val="000000"/>
          <w:sz w:val="24"/>
        </w:rPr>
        <w:t>A good understanding of the type of legal issues that affect the organisation as a public authority.</w:t>
      </w:r>
    </w:p>
    <w:p>
      <w:pPr>
        <w:pStyle w:val="Heading3"/>
        <w:numPr>
          <w:ilvl w:val="0"/>
          <w:numId w:val="3"/>
        </w:numPr>
        <w:spacing w:before="60" w:after="240"/>
        <w:contextualSpacing/>
        <w:rPr>
          <w:rFonts w:cs="Arial"/>
          <w:color w:val="000000"/>
          <w:sz w:val="24"/>
        </w:rPr>
      </w:pPr>
      <w:r>
        <w:rPr>
          <w:rFonts w:cs="Arial"/>
          <w:color w:val="000000"/>
          <w:sz w:val="24"/>
        </w:rPr>
        <w:t xml:space="preserve">Demonstrable continuous development and improvement of own professional practise. </w:t>
      </w:r>
    </w:p>
    <w:p>
      <w:pPr>
        <w:pStyle w:val="Heading3"/>
        <w:spacing w:before="60" w:after="240"/>
        <w:contextualSpacing/>
        <w:rPr>
          <w:rFonts w:cs="Arial"/>
          <w:color w:val="000000"/>
          <w:sz w:val="24"/>
        </w:rPr>
      </w:pPr>
      <w:r>
        <w:rPr>
          <w:rFonts w:cs="Arial"/>
          <w:color w:val="000000"/>
          <w:sz w:val="24"/>
        </w:rPr>
        <w:t>Desirable</w:t>
      </w:r>
    </w:p>
    <w:p>
      <w:pPr>
        <w:pStyle w:val="Heading3"/>
        <w:numPr>
          <w:ilvl w:val="0"/>
          <w:numId w:val="3"/>
        </w:numPr>
        <w:spacing w:before="60" w:after="240"/>
        <w:ind w:left="714" w:right="0" w:hanging="357"/>
        <w:contextualSpacing/>
        <w:rPr>
          <w:rFonts w:cs="Arial"/>
          <w:color w:val="000000"/>
          <w:sz w:val="24"/>
        </w:rPr>
      </w:pPr>
      <w:r>
        <w:rPr>
          <w:rFonts w:cs="Arial"/>
          <w:color w:val="000000"/>
          <w:sz w:val="24"/>
        </w:rPr>
        <w:t>Able to demonstrate a working knowledge of the law relating to Fire and Rescue Authorities and Fire and Rescue Services with at least 2 years’ experience in this area.</w:t>
      </w:r>
    </w:p>
    <w:p>
      <w:pPr>
        <w:pStyle w:val="Heading3"/>
        <w:numPr>
          <w:ilvl w:val="0"/>
          <w:numId w:val="3"/>
        </w:numPr>
        <w:spacing w:before="60" w:after="240"/>
        <w:ind w:left="714" w:right="0" w:hanging="357"/>
        <w:contextualSpacing/>
        <w:rPr>
          <w:color w:val="000000"/>
          <w:sz w:val="24"/>
        </w:rPr>
      </w:pPr>
      <w:r>
        <w:rPr>
          <w:color w:val="000000"/>
          <w:sz w:val="24"/>
        </w:rPr>
        <w:t>Experience of advising police and crime commissioners or police forces.</w:t>
      </w:r>
    </w:p>
    <w:p>
      <w:pPr>
        <w:pStyle w:val="Heading3"/>
        <w:spacing w:before="60" w:after="240"/>
        <w:contextualSpacing/>
        <w:rPr/>
      </w:pPr>
      <w:r>
        <w:rPr>
          <w:rFonts w:cs="Arial"/>
          <w:b/>
          <w:bCs/>
          <w:color w:val="000000"/>
          <w:sz w:val="24"/>
        </w:rPr>
        <w:t>Skills, Values</w:t>
      </w:r>
      <w:r>
        <w:rPr>
          <w:rFonts w:cs="Arial"/>
          <w:b/>
          <w:bCs/>
          <w:color w:val="000000"/>
          <w:spacing w:val="-3"/>
          <w:sz w:val="24"/>
        </w:rPr>
        <w:t xml:space="preserve"> </w:t>
      </w:r>
      <w:r>
        <w:rPr>
          <w:rFonts w:cs="Arial"/>
          <w:b/>
          <w:bCs/>
          <w:color w:val="000000"/>
          <w:sz w:val="24"/>
        </w:rPr>
        <w:t>&amp;</w:t>
      </w:r>
      <w:r>
        <w:rPr>
          <w:rFonts w:cs="Arial"/>
          <w:b/>
          <w:bCs/>
          <w:color w:val="000000"/>
          <w:spacing w:val="-3"/>
          <w:sz w:val="24"/>
        </w:rPr>
        <w:t xml:space="preserve"> </w:t>
      </w:r>
      <w:r>
        <w:rPr>
          <w:rFonts w:cs="Arial"/>
          <w:b/>
          <w:bCs/>
          <w:color w:val="000000"/>
          <w:sz w:val="24"/>
        </w:rPr>
        <w:t>Behaviours</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Works autonomously and manages competing priorities effectively, maintaining performance and professionalism under pressure.</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Exercises sound commercial judgement and professional acumen to inform and influence high</w:t>
        <w:noBreakHyphen/>
        <w:t>quality decision</w:t>
        <w:noBreakHyphen/>
        <w:t>making on behalf of the organisation.</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Communicates effectively, both verbally and in writing, producing clear, accurate and professional outputs appropriate to the role.</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Displays a positive attitude with a commitment to ongoing learning, development and continuous improvement.</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Demonstrates resilience and confidence when leading on legal advice, including in areas involving novel, complex or evolving legal issues.</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Thinks strategically and works constructively to facilitate the translation of political vision and policy objectives into deliverable operational programmes.</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Adopts a facilitative, solution</w:t>
        <w:noBreakHyphen/>
        <w:t>focused approach and develops innovative responses to significant and complex legal challenges.</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Engages confidently with a wide range of internal and external stakeholders, including Directors, Senior Officers and, where appropriate, elected politicians.</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Applies highly developed negotiation and influencing skills, exercising tact, persuasion and professional judgement to secure positive outcomes.</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Demonstrates high levels of intellectual and analytical ability, assimilating complex information quickly and identifying key issues, risks and solutions.</w:t>
      </w:r>
    </w:p>
    <w:p>
      <w:pPr>
        <w:pStyle w:val="NormalWeb"/>
        <w:numPr>
          <w:ilvl w:val="0"/>
          <w:numId w:val="3"/>
        </w:numPr>
        <w:spacing w:lineRule="auto" w:line="360" w:before="60" w:after="0"/>
        <w:contextualSpacing/>
        <w:rPr>
          <w:rFonts w:ascii="Arial" w:hAnsi="Arial" w:cs="Arial"/>
          <w:color w:val="000000"/>
        </w:rPr>
      </w:pPr>
      <w:r>
        <w:rPr>
          <w:rFonts w:cs="Arial" w:ascii="Arial" w:hAnsi="Arial"/>
          <w:color w:val="000000"/>
        </w:rPr>
        <w:t xml:space="preserve">Utilises information technology effectively to enhance service delivery, drive efficiency and support continuous improvement. </w:t>
      </w:r>
    </w:p>
    <w:p>
      <w:pPr>
        <w:pStyle w:val="NormalWeb"/>
        <w:numPr>
          <w:ilvl w:val="0"/>
          <w:numId w:val="3"/>
        </w:numPr>
        <w:spacing w:lineRule="auto" w:line="360" w:before="60" w:after="240"/>
        <w:contextualSpacing/>
        <w:rPr>
          <w:rFonts w:ascii="Arial" w:hAnsi="Arial" w:cs="Arial"/>
          <w:color w:val="000000"/>
        </w:rPr>
      </w:pPr>
      <w:r>
        <w:rPr>
          <w:rFonts w:cs="Arial" w:ascii="Arial" w:hAnsi="Arial"/>
          <w:color w:val="000000"/>
        </w:rPr>
        <w:t>Demonstrates a strong understanding of the wider corporate responsibilities inherent in the role, with a commitment to collaborative working to support delivery of organisational objectives.</w:t>
      </w:r>
    </w:p>
    <w:p>
      <w:pPr>
        <w:pStyle w:val="Normal"/>
        <w:spacing w:before="60" w:after="240"/>
        <w:contextualSpacing/>
        <w:jc w:val="both"/>
        <w:rPr>
          <w:rFonts w:cs="Arial"/>
          <w:b/>
          <w:b/>
          <w:bCs/>
          <w:color w:val="000000"/>
          <w:szCs w:val="24"/>
        </w:rPr>
      </w:pPr>
      <w:r>
        <w:rPr>
          <w:rFonts w:cs="Arial"/>
          <w:b/>
          <w:bCs/>
          <w:color w:val="000000"/>
          <w:szCs w:val="24"/>
        </w:rPr>
        <w:t>Politically restricted post</w:t>
      </w:r>
    </w:p>
    <w:p>
      <w:pPr>
        <w:pStyle w:val="Normal"/>
        <w:spacing w:before="60" w:after="240"/>
        <w:contextualSpacing/>
        <w:jc w:val="both"/>
        <w:rPr>
          <w:rFonts w:cs="Arial"/>
          <w:color w:val="000000"/>
          <w:szCs w:val="24"/>
        </w:rPr>
      </w:pPr>
      <w:r>
        <w:rPr>
          <w:rFonts w:cs="Arial"/>
          <w:color w:val="000000"/>
          <w:szCs w:val="24"/>
        </w:rPr>
        <w:t>This post is a politically restricted post, as defined by the Local Government and Housing Act 1989 (as amended by Section 30 of the Local Democracy, Economic Development and Construction Act 2009) on one of the following grounds:</w:t>
      </w:r>
    </w:p>
    <w:p>
      <w:pPr>
        <w:pStyle w:val="ListParagraph"/>
        <w:widowControl/>
        <w:numPr>
          <w:ilvl w:val="0"/>
          <w:numId w:val="5"/>
        </w:numPr>
        <w:spacing w:before="60" w:after="240"/>
        <w:contextualSpacing/>
        <w:jc w:val="both"/>
        <w:rPr>
          <w:rFonts w:cs="Arial"/>
          <w:color w:val="000000"/>
          <w:szCs w:val="24"/>
        </w:rPr>
      </w:pPr>
      <w:r>
        <w:rPr>
          <w:rFonts w:cs="Arial"/>
          <w:color w:val="000000"/>
          <w:szCs w:val="24"/>
        </w:rPr>
        <w:t>the post is that of a Chief Officer or Deputy Chief Officer or</w:t>
      </w:r>
    </w:p>
    <w:p>
      <w:pPr>
        <w:pStyle w:val="ListParagraph"/>
        <w:widowControl/>
        <w:numPr>
          <w:ilvl w:val="0"/>
          <w:numId w:val="5"/>
        </w:numPr>
        <w:spacing w:before="60" w:after="240"/>
        <w:contextualSpacing/>
        <w:jc w:val="both"/>
        <w:rPr>
          <w:rFonts w:cs="Arial"/>
          <w:color w:val="000000"/>
          <w:szCs w:val="24"/>
        </w:rPr>
      </w:pPr>
      <w:r>
        <w:rPr>
          <w:rFonts w:cs="Arial"/>
          <w:color w:val="000000"/>
          <w:szCs w:val="24"/>
        </w:rPr>
        <w:t>the post has delegated powers to discharge the functions of the Authority; or</w:t>
      </w:r>
    </w:p>
    <w:p>
      <w:pPr>
        <w:pStyle w:val="ListParagraph"/>
        <w:widowControl/>
        <w:numPr>
          <w:ilvl w:val="0"/>
          <w:numId w:val="5"/>
        </w:numPr>
        <w:spacing w:before="60" w:after="240"/>
        <w:contextualSpacing/>
        <w:jc w:val="both"/>
        <w:rPr>
          <w:rFonts w:cs="Arial"/>
          <w:color w:val="000000"/>
          <w:szCs w:val="24"/>
        </w:rPr>
      </w:pPr>
      <w:r>
        <w:rPr>
          <w:rFonts w:cs="Arial"/>
          <w:color w:val="000000"/>
          <w:szCs w:val="24"/>
        </w:rPr>
        <w:t>the duties associated with the post include giving advice on a regular basis to the Authority, to Committees or Sub-Committees of the Authority (including member panels, Sub-Committees etc.) or to joint committees on which the Authority is represented or give advice to Executive Members, Committees or speak to the media.</w:t>
      </w:r>
    </w:p>
    <w:p>
      <w:pPr>
        <w:pStyle w:val="Normal"/>
        <w:spacing w:before="60" w:after="240"/>
        <w:contextualSpacing/>
        <w:rPr>
          <w:rFonts w:cs="Arial"/>
          <w:color w:val="000000"/>
          <w:szCs w:val="24"/>
        </w:rPr>
      </w:pPr>
      <w:r>
        <w:rPr>
          <w:rFonts w:cs="Arial"/>
          <w:color w:val="000000"/>
          <w:szCs w:val="24"/>
        </w:rPr>
        <w:t>The post holder has a right to appeal to the GMCA Chief Executive against the classification of their post as politically restricted.</w:t>
      </w:r>
    </w:p>
    <w:p>
      <w:pPr>
        <w:pStyle w:val="Normal"/>
        <w:spacing w:before="60" w:after="240"/>
        <w:ind w:left="993" w:right="0" w:hanging="633"/>
        <w:contextualSpacing/>
        <w:rPr>
          <w:rFonts w:cs="Arial"/>
          <w:color w:val="000000"/>
          <w:szCs w:val="24"/>
        </w:rPr>
      </w:pPr>
      <w:r>
        <w:rPr>
          <w:rFonts w:cs="Arial"/>
          <w:color w:val="000000"/>
          <w:szCs w:val="24"/>
        </w:rPr>
      </w:r>
    </w:p>
    <w:p>
      <w:pPr>
        <w:pStyle w:val="Heading2"/>
        <w:shd w:fill="004F6E" w:val="clear"/>
        <w:spacing w:before="60" w:after="240"/>
        <w:contextualSpacing/>
        <w:rPr>
          <w:rFonts w:cs="Arial"/>
          <w:sz w:val="24"/>
          <w:szCs w:val="24"/>
        </w:rPr>
      </w:pPr>
      <w:r>
        <w:rPr>
          <w:rFonts w:cs="Arial"/>
          <w:sz w:val="24"/>
          <w:szCs w:val="24"/>
        </w:rPr>
        <w:t>Corporate Duties</w:t>
      </w:r>
    </w:p>
    <w:p>
      <w:pPr>
        <w:pStyle w:val="Normal"/>
        <w:spacing w:before="60" w:after="240"/>
        <w:rPr/>
      </w:pPr>
      <w:r>
        <w:rPr>
          <w:rFonts w:cs="Arial"/>
          <w:i/>
          <w:iCs/>
          <w:color w:val="000000"/>
          <w:sz w:val="22"/>
        </w:rPr>
        <w:t>Do not behave in way which discriminates against your fellow employees, or potential</w:t>
      </w:r>
      <w:r>
        <w:rPr>
          <w:rFonts w:cs="Arial"/>
          <w:i/>
          <w:iCs/>
          <w:color w:val="000000"/>
          <w:spacing w:val="1"/>
          <w:sz w:val="22"/>
        </w:rPr>
        <w:t xml:space="preserve"> </w:t>
      </w:r>
      <w:r>
        <w:rPr>
          <w:rFonts w:cs="Arial"/>
          <w:i/>
          <w:iCs/>
          <w:color w:val="000000"/>
          <w:sz w:val="22"/>
        </w:rPr>
        <w:t>employees on the grounds of their sex, sexual orientation, marital status, race, religion,</w:t>
      </w:r>
      <w:r>
        <w:rPr>
          <w:rFonts w:cs="Arial"/>
          <w:i/>
          <w:iCs/>
          <w:color w:val="000000"/>
          <w:spacing w:val="-59"/>
          <w:sz w:val="22"/>
        </w:rPr>
        <w:t xml:space="preserve"> </w:t>
      </w:r>
      <w:r>
        <w:rPr>
          <w:rFonts w:cs="Arial"/>
          <w:i/>
          <w:iCs/>
          <w:color w:val="000000"/>
          <w:sz w:val="22"/>
        </w:rPr>
        <w:t>creed,</w:t>
      </w:r>
      <w:r>
        <w:rPr>
          <w:rFonts w:cs="Arial"/>
          <w:i/>
          <w:iCs/>
          <w:color w:val="000000"/>
          <w:spacing w:val="-2"/>
          <w:sz w:val="22"/>
        </w:rPr>
        <w:t xml:space="preserve"> </w:t>
      </w:r>
      <w:r>
        <w:rPr>
          <w:rFonts w:cs="Arial"/>
          <w:i/>
          <w:iCs/>
          <w:color w:val="000000"/>
          <w:sz w:val="22"/>
        </w:rPr>
        <w:t>colour,</w:t>
      </w:r>
      <w:r>
        <w:rPr>
          <w:rFonts w:cs="Arial"/>
          <w:i/>
          <w:iCs/>
          <w:color w:val="000000"/>
          <w:spacing w:val="2"/>
          <w:sz w:val="22"/>
        </w:rPr>
        <w:t xml:space="preserve"> </w:t>
      </w:r>
      <w:r>
        <w:rPr>
          <w:rFonts w:cs="Arial"/>
          <w:i/>
          <w:iCs/>
          <w:color w:val="000000"/>
          <w:sz w:val="22"/>
        </w:rPr>
        <w:t>nationality,</w:t>
      </w:r>
      <w:r>
        <w:rPr>
          <w:rFonts w:cs="Arial"/>
          <w:i/>
          <w:iCs/>
          <w:color w:val="000000"/>
          <w:spacing w:val="2"/>
          <w:sz w:val="22"/>
        </w:rPr>
        <w:t xml:space="preserve"> </w:t>
      </w:r>
      <w:r>
        <w:rPr>
          <w:rFonts w:cs="Arial"/>
          <w:i/>
          <w:iCs/>
          <w:color w:val="000000"/>
          <w:sz w:val="22"/>
        </w:rPr>
        <w:t>ethnic</w:t>
      </w:r>
      <w:r>
        <w:rPr>
          <w:rFonts w:cs="Arial"/>
          <w:i/>
          <w:iCs/>
          <w:color w:val="000000"/>
          <w:spacing w:val="1"/>
          <w:sz w:val="22"/>
        </w:rPr>
        <w:t xml:space="preserve"> </w:t>
      </w:r>
      <w:r>
        <w:rPr>
          <w:rFonts w:cs="Arial"/>
          <w:i/>
          <w:iCs/>
          <w:color w:val="000000"/>
          <w:sz w:val="22"/>
        </w:rPr>
        <w:t>origin</w:t>
      </w:r>
      <w:r>
        <w:rPr>
          <w:rFonts w:cs="Arial"/>
          <w:i/>
          <w:iCs/>
          <w:color w:val="000000"/>
          <w:spacing w:val="1"/>
          <w:sz w:val="22"/>
        </w:rPr>
        <w:t xml:space="preserve"> </w:t>
      </w:r>
      <w:r>
        <w:rPr>
          <w:rFonts w:cs="Arial"/>
          <w:i/>
          <w:iCs/>
          <w:color w:val="000000"/>
          <w:sz w:val="22"/>
        </w:rPr>
        <w:t>or</w:t>
      </w:r>
      <w:r>
        <w:rPr>
          <w:rFonts w:cs="Arial"/>
          <w:i/>
          <w:iCs/>
          <w:color w:val="000000"/>
          <w:spacing w:val="-2"/>
          <w:sz w:val="22"/>
        </w:rPr>
        <w:t xml:space="preserve"> </w:t>
      </w:r>
      <w:r>
        <w:rPr>
          <w:rFonts w:cs="Arial"/>
          <w:i/>
          <w:iCs/>
          <w:color w:val="000000"/>
          <w:sz w:val="22"/>
        </w:rPr>
        <w:t>disability.</w:t>
      </w:r>
    </w:p>
    <w:p>
      <w:pPr>
        <w:pStyle w:val="Normal"/>
        <w:spacing w:before="60" w:after="240"/>
        <w:rPr/>
      </w:pPr>
      <w:r>
        <w:rPr>
          <w:rFonts w:cs="Arial"/>
          <w:i/>
          <w:iCs/>
          <w:color w:val="000000"/>
          <w:sz w:val="22"/>
        </w:rPr>
        <w:t xml:space="preserve">Safeguard at all times confidentiality of information relating to staff and pensioners. </w:t>
      </w:r>
      <w:r>
        <w:rPr>
          <w:rFonts w:cs="Arial"/>
          <w:i/>
          <w:iCs/>
          <w:color w:val="000000"/>
          <w:spacing w:val="-59"/>
          <w:sz w:val="22"/>
        </w:rPr>
        <w:t xml:space="preserve"> </w:t>
      </w:r>
      <w:r>
        <w:rPr>
          <w:rFonts w:cs="Arial"/>
          <w:i/>
          <w:iCs/>
          <w:color w:val="000000"/>
          <w:sz w:val="22"/>
        </w:rPr>
        <w:t>Refrain</w:t>
      </w:r>
      <w:r>
        <w:rPr>
          <w:rFonts w:cs="Arial"/>
          <w:i/>
          <w:iCs/>
          <w:color w:val="000000"/>
          <w:spacing w:val="-3"/>
          <w:sz w:val="22"/>
        </w:rPr>
        <w:t xml:space="preserve"> </w:t>
      </w:r>
      <w:r>
        <w:rPr>
          <w:rFonts w:cs="Arial"/>
          <w:i/>
          <w:iCs/>
          <w:color w:val="000000"/>
          <w:sz w:val="22"/>
        </w:rPr>
        <w:t>from</w:t>
      </w:r>
      <w:r>
        <w:rPr>
          <w:rFonts w:cs="Arial"/>
          <w:i/>
          <w:iCs/>
          <w:color w:val="000000"/>
          <w:spacing w:val="2"/>
          <w:sz w:val="22"/>
        </w:rPr>
        <w:t xml:space="preserve"> </w:t>
      </w:r>
      <w:r>
        <w:rPr>
          <w:rFonts w:cs="Arial"/>
          <w:i/>
          <w:iCs/>
          <w:color w:val="000000"/>
          <w:sz w:val="22"/>
        </w:rPr>
        <w:t>smoking</w:t>
      </w:r>
      <w:r>
        <w:rPr>
          <w:rFonts w:cs="Arial"/>
          <w:i/>
          <w:iCs/>
          <w:color w:val="000000"/>
          <w:spacing w:val="4"/>
          <w:sz w:val="22"/>
        </w:rPr>
        <w:t xml:space="preserve"> </w:t>
      </w:r>
      <w:r>
        <w:rPr>
          <w:rFonts w:cs="Arial"/>
          <w:i/>
          <w:iCs/>
          <w:color w:val="000000"/>
          <w:sz w:val="22"/>
        </w:rPr>
        <w:t>in</w:t>
      </w:r>
      <w:r>
        <w:rPr>
          <w:rFonts w:cs="Arial"/>
          <w:i/>
          <w:iCs/>
          <w:color w:val="000000"/>
          <w:spacing w:val="-5"/>
          <w:sz w:val="22"/>
        </w:rPr>
        <w:t xml:space="preserve"> </w:t>
      </w:r>
      <w:r>
        <w:rPr>
          <w:rFonts w:cs="Arial"/>
          <w:i/>
          <w:iCs/>
          <w:color w:val="000000"/>
          <w:sz w:val="22"/>
        </w:rPr>
        <w:t>any</w:t>
      </w:r>
      <w:r>
        <w:rPr>
          <w:rFonts w:cs="Arial"/>
          <w:i/>
          <w:iCs/>
          <w:color w:val="000000"/>
          <w:spacing w:val="-1"/>
          <w:sz w:val="22"/>
        </w:rPr>
        <w:t xml:space="preserve"> </w:t>
      </w:r>
      <w:r>
        <w:rPr>
          <w:rFonts w:cs="Arial"/>
          <w:i/>
          <w:iCs/>
          <w:color w:val="000000"/>
          <w:sz w:val="22"/>
        </w:rPr>
        <w:t>areas</w:t>
      </w:r>
      <w:r>
        <w:rPr>
          <w:rFonts w:cs="Arial"/>
          <w:i/>
          <w:iCs/>
          <w:color w:val="000000"/>
          <w:spacing w:val="1"/>
          <w:sz w:val="22"/>
        </w:rPr>
        <w:t xml:space="preserve"> </w:t>
      </w:r>
      <w:r>
        <w:rPr>
          <w:rFonts w:cs="Arial"/>
          <w:i/>
          <w:iCs/>
          <w:color w:val="000000"/>
          <w:sz w:val="22"/>
        </w:rPr>
        <w:t>of</w:t>
      </w:r>
      <w:r>
        <w:rPr>
          <w:rFonts w:cs="Arial"/>
          <w:i/>
          <w:iCs/>
          <w:color w:val="000000"/>
          <w:spacing w:val="1"/>
          <w:sz w:val="22"/>
        </w:rPr>
        <w:t xml:space="preserve"> </w:t>
      </w:r>
      <w:r>
        <w:rPr>
          <w:rFonts w:cs="Arial"/>
          <w:i/>
          <w:iCs/>
          <w:color w:val="000000"/>
          <w:sz w:val="22"/>
        </w:rPr>
        <w:t>Service</w:t>
      </w:r>
      <w:r>
        <w:rPr>
          <w:rFonts w:cs="Arial"/>
          <w:i/>
          <w:iCs/>
          <w:color w:val="000000"/>
          <w:spacing w:val="1"/>
          <w:sz w:val="22"/>
        </w:rPr>
        <w:t xml:space="preserve"> </w:t>
      </w:r>
      <w:r>
        <w:rPr>
          <w:rFonts w:cs="Arial"/>
          <w:i/>
          <w:iCs/>
          <w:color w:val="000000"/>
          <w:sz w:val="22"/>
        </w:rPr>
        <w:t>premises. Behave in a manner that ensures the security of property and resources.</w:t>
      </w:r>
      <w:r>
        <w:rPr>
          <w:rFonts w:cs="Arial"/>
          <w:i/>
          <w:iCs/>
          <w:color w:val="000000"/>
          <w:spacing w:val="-59"/>
          <w:sz w:val="22"/>
        </w:rPr>
        <w:t xml:space="preserve">   </w:t>
      </w:r>
      <w:r>
        <w:rPr>
          <w:rFonts w:cs="Arial"/>
          <w:i/>
          <w:iCs/>
          <w:color w:val="000000"/>
          <w:sz w:val="22"/>
        </w:rPr>
        <w:t>Abide</w:t>
      </w:r>
      <w:r>
        <w:rPr>
          <w:rFonts w:cs="Arial"/>
          <w:i/>
          <w:iCs/>
          <w:color w:val="000000"/>
          <w:spacing w:val="-1"/>
          <w:sz w:val="22"/>
        </w:rPr>
        <w:t xml:space="preserve"> </w:t>
      </w:r>
      <w:r>
        <w:rPr>
          <w:rFonts w:cs="Arial"/>
          <w:i/>
          <w:iCs/>
          <w:color w:val="000000"/>
          <w:sz w:val="22"/>
        </w:rPr>
        <w:t>by</w:t>
      </w:r>
      <w:r>
        <w:rPr>
          <w:rFonts w:cs="Arial"/>
          <w:i/>
          <w:iCs/>
          <w:color w:val="000000"/>
          <w:spacing w:val="-2"/>
          <w:sz w:val="22"/>
        </w:rPr>
        <w:t xml:space="preserve"> </w:t>
      </w:r>
      <w:r>
        <w:rPr>
          <w:rFonts w:cs="Arial"/>
          <w:i/>
          <w:iCs/>
          <w:color w:val="000000"/>
          <w:sz w:val="22"/>
        </w:rPr>
        <w:t>all relevant</w:t>
      </w:r>
      <w:r>
        <w:rPr>
          <w:rFonts w:cs="Arial"/>
          <w:i/>
          <w:iCs/>
          <w:color w:val="000000"/>
          <w:spacing w:val="1"/>
          <w:sz w:val="22"/>
        </w:rPr>
        <w:t xml:space="preserve"> </w:t>
      </w:r>
      <w:r>
        <w:rPr>
          <w:rFonts w:cs="Arial"/>
          <w:i/>
          <w:iCs/>
          <w:color w:val="000000"/>
          <w:sz w:val="22"/>
        </w:rPr>
        <w:t>Service</w:t>
      </w:r>
      <w:r>
        <w:rPr>
          <w:rFonts w:cs="Arial"/>
          <w:i/>
          <w:iCs/>
          <w:color w:val="000000"/>
          <w:spacing w:val="1"/>
          <w:sz w:val="22"/>
        </w:rPr>
        <w:t xml:space="preserve"> </w:t>
      </w:r>
      <w:r>
        <w:rPr>
          <w:rFonts w:cs="Arial"/>
          <w:i/>
          <w:iCs/>
          <w:color w:val="000000"/>
          <w:sz w:val="22"/>
        </w:rPr>
        <w:t>Policies and Procedures.</w:t>
      </w:r>
    </w:p>
    <w:p>
      <w:pPr>
        <w:pStyle w:val="Normal"/>
        <w:spacing w:before="60" w:after="240"/>
        <w:rPr/>
      </w:pPr>
      <w:r>
        <w:rPr>
          <w:rFonts w:cs="Arial"/>
          <w:b/>
          <w:bCs/>
          <w:i/>
          <w:iCs/>
          <w:color w:val="000000"/>
          <w:sz w:val="22"/>
        </w:rPr>
        <w:t>Records Management / Data Protection</w:t>
      </w:r>
      <w:r>
        <w:rPr>
          <w:rFonts w:cs="Arial"/>
          <w:i/>
          <w:iCs/>
          <w:color w:val="000000"/>
          <w:sz w:val="22"/>
        </w:rPr>
        <w:t xml:space="preserve"> - As an employee of the GMCA, you have a legal</w:t>
      </w:r>
      <w:r>
        <w:rPr>
          <w:rFonts w:cs="Arial"/>
          <w:i/>
          <w:iCs/>
          <w:color w:val="000000"/>
          <w:spacing w:val="1"/>
          <w:sz w:val="22"/>
        </w:rPr>
        <w:t xml:space="preserve"> </w:t>
      </w:r>
      <w:r>
        <w:rPr>
          <w:rFonts w:cs="Arial"/>
          <w:i/>
          <w:iCs/>
          <w:color w:val="000000"/>
          <w:spacing w:val="-1"/>
          <w:sz w:val="22"/>
        </w:rPr>
        <w:t>responsibility</w:t>
      </w:r>
      <w:r>
        <w:rPr>
          <w:rFonts w:cs="Arial"/>
          <w:i/>
          <w:iCs/>
          <w:color w:val="000000"/>
          <w:spacing w:val="-16"/>
          <w:sz w:val="22"/>
        </w:rPr>
        <w:t xml:space="preserve"> </w:t>
      </w:r>
      <w:r>
        <w:rPr>
          <w:rFonts w:cs="Arial"/>
          <w:i/>
          <w:iCs/>
          <w:color w:val="000000"/>
          <w:spacing w:val="-1"/>
          <w:sz w:val="22"/>
        </w:rPr>
        <w:t>for</w:t>
      </w:r>
      <w:r>
        <w:rPr>
          <w:rFonts w:cs="Arial"/>
          <w:i/>
          <w:iCs/>
          <w:color w:val="000000"/>
          <w:spacing w:val="-15"/>
          <w:sz w:val="22"/>
        </w:rPr>
        <w:t xml:space="preserve"> </w:t>
      </w:r>
      <w:r>
        <w:rPr>
          <w:rFonts w:cs="Arial"/>
          <w:i/>
          <w:iCs/>
          <w:color w:val="000000"/>
          <w:spacing w:val="-1"/>
          <w:sz w:val="22"/>
        </w:rPr>
        <w:t>all</w:t>
      </w:r>
      <w:r>
        <w:rPr>
          <w:rFonts w:cs="Arial"/>
          <w:i/>
          <w:iCs/>
          <w:color w:val="000000"/>
          <w:spacing w:val="-14"/>
          <w:sz w:val="22"/>
        </w:rPr>
        <w:t xml:space="preserve"> </w:t>
      </w:r>
      <w:r>
        <w:rPr>
          <w:rFonts w:cs="Arial"/>
          <w:i/>
          <w:iCs/>
          <w:color w:val="000000"/>
          <w:spacing w:val="-1"/>
          <w:sz w:val="22"/>
        </w:rPr>
        <w:t>records</w:t>
      </w:r>
      <w:r>
        <w:rPr>
          <w:rFonts w:cs="Arial"/>
          <w:i/>
          <w:iCs/>
          <w:color w:val="000000"/>
          <w:spacing w:val="-13"/>
          <w:sz w:val="22"/>
        </w:rPr>
        <w:t xml:space="preserve"> </w:t>
      </w:r>
      <w:r>
        <w:rPr>
          <w:rFonts w:cs="Arial"/>
          <w:i/>
          <w:iCs/>
          <w:color w:val="000000"/>
          <w:sz w:val="22"/>
        </w:rPr>
        <w:t>(including</w:t>
      </w:r>
      <w:r>
        <w:rPr>
          <w:rFonts w:cs="Arial"/>
          <w:i/>
          <w:iCs/>
          <w:color w:val="000000"/>
          <w:spacing w:val="-11"/>
          <w:sz w:val="22"/>
        </w:rPr>
        <w:t xml:space="preserve"> </w:t>
      </w:r>
      <w:r>
        <w:rPr>
          <w:rFonts w:cs="Arial"/>
          <w:i/>
          <w:iCs/>
          <w:color w:val="000000"/>
          <w:sz w:val="22"/>
        </w:rPr>
        <w:t>employee</w:t>
      </w:r>
      <w:r>
        <w:rPr>
          <w:rFonts w:cs="Arial"/>
          <w:i/>
          <w:iCs/>
          <w:color w:val="000000"/>
          <w:spacing w:val="-13"/>
          <w:sz w:val="22"/>
        </w:rPr>
        <w:t xml:space="preserve"> </w:t>
      </w:r>
      <w:r>
        <w:rPr>
          <w:rFonts w:cs="Arial"/>
          <w:i/>
          <w:iCs/>
          <w:color w:val="000000"/>
          <w:sz w:val="22"/>
        </w:rPr>
        <w:t>health,</w:t>
      </w:r>
      <w:r>
        <w:rPr>
          <w:rFonts w:cs="Arial"/>
          <w:i/>
          <w:iCs/>
          <w:color w:val="000000"/>
          <w:spacing w:val="-15"/>
          <w:sz w:val="22"/>
        </w:rPr>
        <w:t xml:space="preserve"> </w:t>
      </w:r>
      <w:r>
        <w:rPr>
          <w:rFonts w:cs="Arial"/>
          <w:i/>
          <w:iCs/>
          <w:color w:val="000000"/>
          <w:sz w:val="22"/>
        </w:rPr>
        <w:t>financial,</w:t>
      </w:r>
      <w:r>
        <w:rPr>
          <w:rFonts w:cs="Arial"/>
          <w:i/>
          <w:iCs/>
          <w:color w:val="000000"/>
          <w:spacing w:val="-14"/>
          <w:sz w:val="22"/>
        </w:rPr>
        <w:t xml:space="preserve"> </w:t>
      </w:r>
      <w:r>
        <w:rPr>
          <w:rFonts w:cs="Arial"/>
          <w:i/>
          <w:iCs/>
          <w:color w:val="000000"/>
          <w:sz w:val="22"/>
        </w:rPr>
        <w:t>personal</w:t>
      </w:r>
      <w:r>
        <w:rPr>
          <w:rFonts w:cs="Arial"/>
          <w:i/>
          <w:iCs/>
          <w:color w:val="000000"/>
          <w:spacing w:val="-17"/>
          <w:sz w:val="22"/>
        </w:rPr>
        <w:t xml:space="preserve"> </w:t>
      </w:r>
      <w:r>
        <w:rPr>
          <w:rFonts w:cs="Arial"/>
          <w:i/>
          <w:iCs/>
          <w:color w:val="000000"/>
          <w:sz w:val="22"/>
        </w:rPr>
        <w:t>and</w:t>
      </w:r>
      <w:r>
        <w:rPr>
          <w:rFonts w:cs="Arial"/>
          <w:i/>
          <w:iCs/>
          <w:color w:val="000000"/>
          <w:spacing w:val="-13"/>
          <w:sz w:val="22"/>
        </w:rPr>
        <w:t xml:space="preserve"> </w:t>
      </w:r>
      <w:r>
        <w:rPr>
          <w:rFonts w:cs="Arial"/>
          <w:i/>
          <w:iCs/>
          <w:color w:val="000000"/>
          <w:sz w:val="22"/>
        </w:rPr>
        <w:t>administrative)</w:t>
      </w:r>
      <w:r>
        <w:rPr>
          <w:rFonts w:cs="Arial"/>
          <w:i/>
          <w:iCs/>
          <w:color w:val="000000"/>
          <w:spacing w:val="-58"/>
          <w:sz w:val="22"/>
        </w:rPr>
        <w:t xml:space="preserve"> </w:t>
      </w:r>
      <w:r>
        <w:rPr>
          <w:rFonts w:cs="Arial"/>
          <w:i/>
          <w:iCs/>
          <w:color w:val="000000"/>
          <w:sz w:val="22"/>
        </w:rPr>
        <w:t>that you gather or use as part of your work with the Service. The records may be paper,</w:t>
      </w:r>
      <w:r>
        <w:rPr>
          <w:rFonts w:cs="Arial"/>
          <w:i/>
          <w:iCs/>
          <w:color w:val="000000"/>
          <w:spacing w:val="1"/>
          <w:sz w:val="22"/>
        </w:rPr>
        <w:t xml:space="preserve"> </w:t>
      </w:r>
      <w:r>
        <w:rPr>
          <w:rFonts w:cs="Arial"/>
          <w:i/>
          <w:iCs/>
          <w:color w:val="000000"/>
          <w:sz w:val="22"/>
        </w:rPr>
        <w:t>electronic, audio or videotapes. You must consult your manager if you have any doubt as to</w:t>
      </w:r>
      <w:r>
        <w:rPr>
          <w:rFonts w:cs="Arial"/>
          <w:i/>
          <w:iCs/>
          <w:color w:val="000000"/>
          <w:spacing w:val="1"/>
          <w:sz w:val="22"/>
        </w:rPr>
        <w:t xml:space="preserve"> </w:t>
      </w:r>
      <w:r>
        <w:rPr>
          <w:rFonts w:cs="Arial"/>
          <w:i/>
          <w:iCs/>
          <w:color w:val="000000"/>
          <w:sz w:val="22"/>
        </w:rPr>
        <w:t>the</w:t>
      </w:r>
      <w:r>
        <w:rPr>
          <w:rFonts w:cs="Arial"/>
          <w:i/>
          <w:iCs/>
          <w:color w:val="000000"/>
          <w:spacing w:val="-1"/>
          <w:sz w:val="22"/>
        </w:rPr>
        <w:t xml:space="preserve"> </w:t>
      </w:r>
      <w:r>
        <w:rPr>
          <w:rFonts w:cs="Arial"/>
          <w:i/>
          <w:iCs/>
          <w:color w:val="000000"/>
          <w:sz w:val="22"/>
        </w:rPr>
        <w:t>correct management</w:t>
      </w:r>
      <w:r>
        <w:rPr>
          <w:rFonts w:cs="Arial"/>
          <w:i/>
          <w:iCs/>
          <w:color w:val="000000"/>
          <w:spacing w:val="-2"/>
          <w:sz w:val="22"/>
        </w:rPr>
        <w:t xml:space="preserve"> </w:t>
      </w:r>
      <w:r>
        <w:rPr>
          <w:rFonts w:cs="Arial"/>
          <w:i/>
          <w:iCs/>
          <w:color w:val="000000"/>
          <w:sz w:val="22"/>
        </w:rPr>
        <w:t>of</w:t>
      </w:r>
      <w:r>
        <w:rPr>
          <w:rFonts w:cs="Arial"/>
          <w:i/>
          <w:iCs/>
          <w:color w:val="000000"/>
          <w:spacing w:val="2"/>
          <w:sz w:val="22"/>
        </w:rPr>
        <w:t xml:space="preserve"> </w:t>
      </w:r>
      <w:r>
        <w:rPr>
          <w:rFonts w:cs="Arial"/>
          <w:i/>
          <w:iCs/>
          <w:color w:val="000000"/>
          <w:sz w:val="22"/>
        </w:rPr>
        <w:t>the</w:t>
      </w:r>
      <w:r>
        <w:rPr>
          <w:rFonts w:cs="Arial"/>
          <w:i/>
          <w:iCs/>
          <w:color w:val="000000"/>
          <w:spacing w:val="-3"/>
          <w:sz w:val="22"/>
        </w:rPr>
        <w:t xml:space="preserve"> </w:t>
      </w:r>
      <w:r>
        <w:rPr>
          <w:rFonts w:cs="Arial"/>
          <w:i/>
          <w:iCs/>
          <w:color w:val="000000"/>
          <w:sz w:val="22"/>
        </w:rPr>
        <w:t>records</w:t>
      </w:r>
      <w:r>
        <w:rPr>
          <w:rFonts w:cs="Arial"/>
          <w:i/>
          <w:iCs/>
          <w:color w:val="000000"/>
          <w:spacing w:val="-2"/>
          <w:sz w:val="22"/>
        </w:rPr>
        <w:t xml:space="preserve"> </w:t>
      </w:r>
      <w:r>
        <w:rPr>
          <w:rFonts w:cs="Arial"/>
          <w:i/>
          <w:iCs/>
          <w:color w:val="000000"/>
          <w:sz w:val="22"/>
        </w:rPr>
        <w:t>with</w:t>
      </w:r>
      <w:r>
        <w:rPr>
          <w:rFonts w:cs="Arial"/>
          <w:i/>
          <w:iCs/>
          <w:color w:val="000000"/>
          <w:spacing w:val="1"/>
          <w:sz w:val="22"/>
        </w:rPr>
        <w:t xml:space="preserve"> </w:t>
      </w:r>
      <w:r>
        <w:rPr>
          <w:rFonts w:cs="Arial"/>
          <w:i/>
          <w:iCs/>
          <w:color w:val="000000"/>
          <w:sz w:val="22"/>
        </w:rPr>
        <w:t>which</w:t>
      </w:r>
      <w:r>
        <w:rPr>
          <w:rFonts w:cs="Arial"/>
          <w:i/>
          <w:iCs/>
          <w:color w:val="000000"/>
          <w:spacing w:val="2"/>
          <w:sz w:val="22"/>
        </w:rPr>
        <w:t xml:space="preserve"> </w:t>
      </w:r>
      <w:r>
        <w:rPr>
          <w:rFonts w:cs="Arial"/>
          <w:i/>
          <w:iCs/>
          <w:color w:val="000000"/>
          <w:sz w:val="22"/>
        </w:rPr>
        <w:t>you work.</w:t>
      </w:r>
    </w:p>
    <w:p>
      <w:pPr>
        <w:pStyle w:val="Normal"/>
        <w:spacing w:before="60" w:after="240"/>
        <w:rPr/>
      </w:pPr>
      <w:r>
        <w:rPr>
          <w:rFonts w:cs="Arial"/>
          <w:b/>
          <w:bCs/>
          <w:i/>
          <w:iCs/>
          <w:color w:val="000000"/>
          <w:spacing w:val="-1"/>
          <w:sz w:val="22"/>
        </w:rPr>
        <w:t>Confidentiality</w:t>
      </w:r>
      <w:r>
        <w:rPr>
          <w:rFonts w:cs="Arial"/>
          <w:b/>
          <w:bCs/>
          <w:i/>
          <w:iCs/>
          <w:color w:val="000000"/>
          <w:spacing w:val="-15"/>
          <w:sz w:val="22"/>
        </w:rPr>
        <w:t xml:space="preserve"> </w:t>
      </w:r>
      <w:r>
        <w:rPr>
          <w:rFonts w:cs="Arial"/>
          <w:b/>
          <w:bCs/>
          <w:i/>
          <w:iCs/>
          <w:color w:val="000000"/>
          <w:sz w:val="22"/>
        </w:rPr>
        <w:t>and</w:t>
      </w:r>
      <w:r>
        <w:rPr>
          <w:rFonts w:cs="Arial"/>
          <w:b/>
          <w:bCs/>
          <w:i/>
          <w:iCs/>
          <w:color w:val="000000"/>
          <w:spacing w:val="-12"/>
          <w:sz w:val="22"/>
        </w:rPr>
        <w:t xml:space="preserve"> </w:t>
      </w:r>
      <w:r>
        <w:rPr>
          <w:rFonts w:cs="Arial"/>
          <w:b/>
          <w:bCs/>
          <w:i/>
          <w:iCs/>
          <w:color w:val="000000"/>
          <w:sz w:val="22"/>
        </w:rPr>
        <w:t>Information</w:t>
      </w:r>
      <w:r>
        <w:rPr>
          <w:rFonts w:cs="Arial"/>
          <w:b/>
          <w:bCs/>
          <w:i/>
          <w:iCs/>
          <w:color w:val="000000"/>
          <w:spacing w:val="-13"/>
          <w:sz w:val="22"/>
        </w:rPr>
        <w:t xml:space="preserve"> </w:t>
      </w:r>
      <w:r>
        <w:rPr>
          <w:rFonts w:cs="Arial"/>
          <w:b/>
          <w:bCs/>
          <w:i/>
          <w:iCs/>
          <w:color w:val="000000"/>
          <w:sz w:val="22"/>
        </w:rPr>
        <w:t>Security</w:t>
      </w:r>
      <w:r>
        <w:rPr>
          <w:rFonts w:cs="Arial"/>
          <w:i/>
          <w:iCs/>
          <w:color w:val="000000"/>
          <w:spacing w:val="-16"/>
          <w:sz w:val="22"/>
        </w:rPr>
        <w:t xml:space="preserve"> </w:t>
      </w:r>
      <w:r>
        <w:rPr>
          <w:rFonts w:cs="Arial"/>
          <w:i/>
          <w:iCs/>
          <w:color w:val="000000"/>
          <w:sz w:val="22"/>
        </w:rPr>
        <w:t>-</w:t>
      </w:r>
      <w:r>
        <w:rPr>
          <w:rFonts w:cs="Arial"/>
          <w:i/>
          <w:iCs/>
          <w:color w:val="000000"/>
          <w:spacing w:val="-10"/>
          <w:sz w:val="22"/>
        </w:rPr>
        <w:t xml:space="preserve"> </w:t>
      </w:r>
      <w:r>
        <w:rPr>
          <w:rFonts w:cs="Arial"/>
          <w:i/>
          <w:iCs/>
          <w:color w:val="000000"/>
          <w:sz w:val="22"/>
        </w:rPr>
        <w:t>As</w:t>
      </w:r>
      <w:r>
        <w:rPr>
          <w:rFonts w:cs="Arial"/>
          <w:i/>
          <w:iCs/>
          <w:color w:val="000000"/>
          <w:spacing w:val="-11"/>
          <w:sz w:val="22"/>
        </w:rPr>
        <w:t xml:space="preserve"> </w:t>
      </w:r>
      <w:r>
        <w:rPr>
          <w:rFonts w:cs="Arial"/>
          <w:i/>
          <w:iCs/>
          <w:color w:val="000000"/>
          <w:sz w:val="22"/>
        </w:rPr>
        <w:t>a</w:t>
      </w:r>
      <w:r>
        <w:rPr>
          <w:rFonts w:cs="Arial"/>
          <w:i/>
          <w:iCs/>
          <w:color w:val="000000"/>
          <w:spacing w:val="-16"/>
          <w:sz w:val="22"/>
        </w:rPr>
        <w:t xml:space="preserve"> </w:t>
      </w:r>
      <w:r>
        <w:rPr>
          <w:rFonts w:cs="Arial"/>
          <w:i/>
          <w:iCs/>
          <w:color w:val="000000"/>
          <w:sz w:val="22"/>
        </w:rPr>
        <w:t>GMCA</w:t>
      </w:r>
      <w:r>
        <w:rPr>
          <w:rFonts w:cs="Arial"/>
          <w:i/>
          <w:iCs/>
          <w:color w:val="000000"/>
          <w:spacing w:val="-11"/>
          <w:sz w:val="22"/>
        </w:rPr>
        <w:t xml:space="preserve"> </w:t>
      </w:r>
      <w:r>
        <w:rPr>
          <w:rFonts w:cs="Arial"/>
          <w:i/>
          <w:iCs/>
          <w:color w:val="000000"/>
          <w:sz w:val="22"/>
        </w:rPr>
        <w:t>employee</w:t>
      </w:r>
      <w:r>
        <w:rPr>
          <w:rFonts w:cs="Arial"/>
          <w:i/>
          <w:iCs/>
          <w:color w:val="000000"/>
          <w:spacing w:val="-12"/>
          <w:sz w:val="22"/>
        </w:rPr>
        <w:t xml:space="preserve"> </w:t>
      </w:r>
      <w:r>
        <w:rPr>
          <w:rFonts w:cs="Arial"/>
          <w:i/>
          <w:iCs/>
          <w:color w:val="000000"/>
          <w:sz w:val="22"/>
        </w:rPr>
        <w:t>you</w:t>
      </w:r>
      <w:r>
        <w:rPr>
          <w:rFonts w:cs="Arial"/>
          <w:i/>
          <w:iCs/>
          <w:color w:val="000000"/>
          <w:spacing w:val="-12"/>
          <w:sz w:val="22"/>
        </w:rPr>
        <w:t xml:space="preserve"> </w:t>
      </w:r>
      <w:r>
        <w:rPr>
          <w:rFonts w:cs="Arial"/>
          <w:i/>
          <w:iCs/>
          <w:color w:val="000000"/>
          <w:sz w:val="22"/>
        </w:rPr>
        <w:t>are</w:t>
      </w:r>
      <w:r>
        <w:rPr>
          <w:rFonts w:cs="Arial"/>
          <w:i/>
          <w:iCs/>
          <w:color w:val="000000"/>
          <w:spacing w:val="-11"/>
          <w:sz w:val="22"/>
        </w:rPr>
        <w:t xml:space="preserve"> </w:t>
      </w:r>
      <w:r>
        <w:rPr>
          <w:rFonts w:cs="Arial"/>
          <w:i/>
          <w:iCs/>
          <w:color w:val="000000"/>
          <w:sz w:val="22"/>
        </w:rPr>
        <w:t>required</w:t>
      </w:r>
      <w:r>
        <w:rPr>
          <w:rFonts w:cs="Arial"/>
          <w:i/>
          <w:iCs/>
          <w:color w:val="000000"/>
          <w:spacing w:val="-15"/>
          <w:sz w:val="22"/>
        </w:rPr>
        <w:t xml:space="preserve"> </w:t>
      </w:r>
      <w:r>
        <w:rPr>
          <w:rFonts w:cs="Arial"/>
          <w:i/>
          <w:iCs/>
          <w:color w:val="000000"/>
          <w:sz w:val="22"/>
        </w:rPr>
        <w:t>to</w:t>
      </w:r>
      <w:r>
        <w:rPr>
          <w:rFonts w:cs="Arial"/>
          <w:i/>
          <w:iCs/>
          <w:color w:val="000000"/>
          <w:spacing w:val="-12"/>
          <w:sz w:val="22"/>
        </w:rPr>
        <w:t xml:space="preserve"> </w:t>
      </w:r>
      <w:r>
        <w:rPr>
          <w:rFonts w:cs="Arial"/>
          <w:i/>
          <w:iCs/>
          <w:color w:val="000000"/>
          <w:sz w:val="22"/>
        </w:rPr>
        <w:t>uphold</w:t>
      </w:r>
      <w:r>
        <w:rPr>
          <w:rFonts w:cs="Arial"/>
          <w:i/>
          <w:iCs/>
          <w:color w:val="000000"/>
          <w:spacing w:val="-58"/>
          <w:sz w:val="22"/>
        </w:rPr>
        <w:t xml:space="preserve"> </w:t>
      </w:r>
      <w:r>
        <w:rPr>
          <w:rFonts w:cs="Arial"/>
          <w:i/>
          <w:iCs/>
          <w:color w:val="000000"/>
          <w:sz w:val="22"/>
        </w:rPr>
        <w:t>the confidentiality of all records held by the GMCA, whether employee records or GMCA</w:t>
      </w:r>
      <w:r>
        <w:rPr>
          <w:rFonts w:cs="Arial"/>
          <w:i/>
          <w:iCs/>
          <w:color w:val="000000"/>
          <w:spacing w:val="1"/>
          <w:sz w:val="22"/>
        </w:rPr>
        <w:t xml:space="preserve"> </w:t>
      </w:r>
      <w:r>
        <w:rPr>
          <w:rFonts w:cs="Arial"/>
          <w:i/>
          <w:iCs/>
          <w:color w:val="000000"/>
          <w:sz w:val="22"/>
        </w:rPr>
        <w:t>information.</w:t>
      </w:r>
      <w:r>
        <w:rPr>
          <w:rFonts w:cs="Arial"/>
          <w:i/>
          <w:iCs/>
          <w:color w:val="000000"/>
          <w:spacing w:val="1"/>
          <w:sz w:val="22"/>
        </w:rPr>
        <w:t xml:space="preserve"> </w:t>
      </w:r>
      <w:r>
        <w:rPr>
          <w:rFonts w:cs="Arial"/>
          <w:i/>
          <w:iCs/>
          <w:color w:val="000000"/>
          <w:sz w:val="22"/>
        </w:rPr>
        <w:t>This</w:t>
      </w:r>
      <w:r>
        <w:rPr>
          <w:rFonts w:cs="Arial"/>
          <w:i/>
          <w:iCs/>
          <w:color w:val="000000"/>
          <w:spacing w:val="1"/>
          <w:sz w:val="22"/>
        </w:rPr>
        <w:t xml:space="preserve"> </w:t>
      </w:r>
      <w:r>
        <w:rPr>
          <w:rFonts w:cs="Arial"/>
          <w:i/>
          <w:iCs/>
          <w:color w:val="000000"/>
          <w:sz w:val="22"/>
        </w:rPr>
        <w:t>duty</w:t>
      </w:r>
      <w:r>
        <w:rPr>
          <w:rFonts w:cs="Arial"/>
          <w:i/>
          <w:iCs/>
          <w:color w:val="000000"/>
          <w:spacing w:val="1"/>
          <w:sz w:val="22"/>
        </w:rPr>
        <w:t xml:space="preserve"> </w:t>
      </w:r>
      <w:r>
        <w:rPr>
          <w:rFonts w:cs="Arial"/>
          <w:i/>
          <w:iCs/>
          <w:color w:val="000000"/>
          <w:sz w:val="22"/>
        </w:rPr>
        <w:t>lasts</w:t>
      </w:r>
      <w:r>
        <w:rPr>
          <w:rFonts w:cs="Arial"/>
          <w:i/>
          <w:iCs/>
          <w:color w:val="000000"/>
          <w:spacing w:val="1"/>
          <w:sz w:val="22"/>
        </w:rPr>
        <w:t xml:space="preserve"> </w:t>
      </w:r>
      <w:r>
        <w:rPr>
          <w:rFonts w:cs="Arial"/>
          <w:i/>
          <w:iCs/>
          <w:color w:val="000000"/>
          <w:sz w:val="22"/>
        </w:rPr>
        <w:t>indefinitely</w:t>
      </w:r>
      <w:r>
        <w:rPr>
          <w:rFonts w:cs="Arial"/>
          <w:i/>
          <w:iCs/>
          <w:color w:val="000000"/>
          <w:spacing w:val="1"/>
          <w:sz w:val="22"/>
        </w:rPr>
        <w:t xml:space="preserve"> </w:t>
      </w:r>
      <w:r>
        <w:rPr>
          <w:rFonts w:cs="Arial"/>
          <w:i/>
          <w:iCs/>
          <w:color w:val="000000"/>
          <w:sz w:val="22"/>
        </w:rPr>
        <w:t>and</w:t>
      </w:r>
      <w:r>
        <w:rPr>
          <w:rFonts w:cs="Arial"/>
          <w:i/>
          <w:iCs/>
          <w:color w:val="000000"/>
          <w:spacing w:val="1"/>
          <w:sz w:val="22"/>
        </w:rPr>
        <w:t xml:space="preserve"> </w:t>
      </w:r>
      <w:r>
        <w:rPr>
          <w:rFonts w:cs="Arial"/>
          <w:i/>
          <w:iCs/>
          <w:color w:val="000000"/>
          <w:sz w:val="22"/>
        </w:rPr>
        <w:t>will</w:t>
      </w:r>
      <w:r>
        <w:rPr>
          <w:rFonts w:cs="Arial"/>
          <w:i/>
          <w:iCs/>
          <w:color w:val="000000"/>
          <w:spacing w:val="1"/>
          <w:sz w:val="22"/>
        </w:rPr>
        <w:t xml:space="preserve"> </w:t>
      </w:r>
      <w:r>
        <w:rPr>
          <w:rFonts w:cs="Arial"/>
          <w:i/>
          <w:iCs/>
          <w:color w:val="000000"/>
          <w:sz w:val="22"/>
        </w:rPr>
        <w:t>continue</w:t>
      </w:r>
      <w:r>
        <w:rPr>
          <w:rFonts w:cs="Arial"/>
          <w:i/>
          <w:iCs/>
          <w:color w:val="000000"/>
          <w:spacing w:val="1"/>
          <w:sz w:val="22"/>
        </w:rPr>
        <w:t xml:space="preserve"> </w:t>
      </w:r>
      <w:r>
        <w:rPr>
          <w:rFonts w:cs="Arial"/>
          <w:i/>
          <w:iCs/>
          <w:color w:val="000000"/>
          <w:sz w:val="22"/>
        </w:rPr>
        <w:t>after</w:t>
      </w:r>
      <w:r>
        <w:rPr>
          <w:rFonts w:cs="Arial"/>
          <w:i/>
          <w:iCs/>
          <w:color w:val="000000"/>
          <w:spacing w:val="1"/>
          <w:sz w:val="22"/>
        </w:rPr>
        <w:t xml:space="preserve"> </w:t>
      </w:r>
      <w:r>
        <w:rPr>
          <w:rFonts w:cs="Arial"/>
          <w:i/>
          <w:iCs/>
          <w:color w:val="000000"/>
          <w:sz w:val="22"/>
        </w:rPr>
        <w:t>you</w:t>
      </w:r>
      <w:r>
        <w:rPr>
          <w:rFonts w:cs="Arial"/>
          <w:i/>
          <w:iCs/>
          <w:color w:val="000000"/>
          <w:spacing w:val="1"/>
          <w:sz w:val="22"/>
        </w:rPr>
        <w:t xml:space="preserve"> </w:t>
      </w:r>
      <w:r>
        <w:rPr>
          <w:rFonts w:cs="Arial"/>
          <w:i/>
          <w:iCs/>
          <w:color w:val="000000"/>
          <w:sz w:val="22"/>
        </w:rPr>
        <w:t>leave</w:t>
      </w:r>
      <w:r>
        <w:rPr>
          <w:rFonts w:cs="Arial"/>
          <w:i/>
          <w:iCs/>
          <w:color w:val="000000"/>
          <w:spacing w:val="1"/>
          <w:sz w:val="22"/>
        </w:rPr>
        <w:t xml:space="preserve"> </w:t>
      </w:r>
      <w:r>
        <w:rPr>
          <w:rFonts w:cs="Arial"/>
          <w:i/>
          <w:iCs/>
          <w:color w:val="000000"/>
          <w:sz w:val="22"/>
        </w:rPr>
        <w:t>the</w:t>
      </w:r>
      <w:r>
        <w:rPr>
          <w:rFonts w:cs="Arial"/>
          <w:i/>
          <w:iCs/>
          <w:color w:val="000000"/>
          <w:spacing w:val="1"/>
          <w:sz w:val="22"/>
        </w:rPr>
        <w:t xml:space="preserve"> </w:t>
      </w:r>
      <w:r>
        <w:rPr>
          <w:rFonts w:cs="Arial"/>
          <w:i/>
          <w:iCs/>
          <w:color w:val="000000"/>
          <w:sz w:val="22"/>
        </w:rPr>
        <w:t>GMCA</w:t>
      </w:r>
      <w:r>
        <w:rPr>
          <w:rFonts w:cs="Arial"/>
          <w:i/>
          <w:iCs/>
          <w:color w:val="000000"/>
          <w:spacing w:val="1"/>
          <w:sz w:val="22"/>
        </w:rPr>
        <w:t xml:space="preserve"> </w:t>
      </w:r>
      <w:r>
        <w:rPr>
          <w:rFonts w:cs="Arial"/>
          <w:i/>
          <w:iCs/>
          <w:color w:val="000000"/>
          <w:sz w:val="22"/>
        </w:rPr>
        <w:t>employment. All employees must maintain confidentiality and abide by the Data Protection</w:t>
      </w:r>
      <w:r>
        <w:rPr>
          <w:rFonts w:cs="Arial"/>
          <w:i/>
          <w:iCs/>
          <w:color w:val="000000"/>
          <w:spacing w:val="1"/>
          <w:sz w:val="22"/>
        </w:rPr>
        <w:t xml:space="preserve"> </w:t>
      </w:r>
      <w:r>
        <w:rPr>
          <w:rFonts w:cs="Arial"/>
          <w:i/>
          <w:iCs/>
          <w:color w:val="000000"/>
          <w:sz w:val="22"/>
        </w:rPr>
        <w:t>Act.</w:t>
      </w:r>
    </w:p>
    <w:p>
      <w:pPr>
        <w:pStyle w:val="Normal"/>
        <w:spacing w:before="60" w:after="240"/>
        <w:rPr/>
      </w:pPr>
      <w:r>
        <w:rPr>
          <w:rFonts w:cs="Arial"/>
          <w:b/>
          <w:bCs/>
          <w:i/>
          <w:iCs/>
          <w:color w:val="000000"/>
          <w:sz w:val="22"/>
        </w:rPr>
        <w:t>Data</w:t>
      </w:r>
      <w:r>
        <w:rPr>
          <w:rFonts w:cs="Arial"/>
          <w:b/>
          <w:bCs/>
          <w:i/>
          <w:iCs/>
          <w:color w:val="000000"/>
          <w:spacing w:val="1"/>
          <w:sz w:val="22"/>
        </w:rPr>
        <w:t xml:space="preserve"> </w:t>
      </w:r>
      <w:r>
        <w:rPr>
          <w:rFonts w:cs="Arial"/>
          <w:b/>
          <w:bCs/>
          <w:i/>
          <w:iCs/>
          <w:color w:val="000000"/>
          <w:sz w:val="22"/>
        </w:rPr>
        <w:t>Quality</w:t>
      </w:r>
      <w:r>
        <w:rPr>
          <w:rFonts w:cs="Arial"/>
          <w:i/>
          <w:iCs/>
          <w:color w:val="000000"/>
          <w:spacing w:val="1"/>
          <w:sz w:val="22"/>
        </w:rPr>
        <w:t xml:space="preserve"> </w:t>
      </w:r>
      <w:r>
        <w:rPr>
          <w:rFonts w:cs="Arial"/>
          <w:i/>
          <w:iCs/>
          <w:color w:val="000000"/>
          <w:sz w:val="22"/>
        </w:rPr>
        <w:t>-</w:t>
      </w:r>
      <w:r>
        <w:rPr>
          <w:rFonts w:cs="Arial"/>
          <w:i/>
          <w:iCs/>
          <w:color w:val="000000"/>
          <w:spacing w:val="1"/>
          <w:sz w:val="22"/>
        </w:rPr>
        <w:t xml:space="preserve"> </w:t>
      </w:r>
      <w:r>
        <w:rPr>
          <w:rFonts w:cs="Arial"/>
          <w:i/>
          <w:iCs/>
          <w:color w:val="000000"/>
          <w:sz w:val="22"/>
        </w:rPr>
        <w:t>All</w:t>
      </w:r>
      <w:r>
        <w:rPr>
          <w:rFonts w:cs="Arial"/>
          <w:i/>
          <w:iCs/>
          <w:color w:val="000000"/>
          <w:spacing w:val="1"/>
          <w:sz w:val="22"/>
        </w:rPr>
        <w:t xml:space="preserve"> </w:t>
      </w:r>
      <w:r>
        <w:rPr>
          <w:rFonts w:cs="Arial"/>
          <w:i/>
          <w:iCs/>
          <w:color w:val="000000"/>
          <w:sz w:val="22"/>
        </w:rPr>
        <w:t>staff</w:t>
      </w:r>
      <w:r>
        <w:rPr>
          <w:rFonts w:cs="Arial"/>
          <w:i/>
          <w:iCs/>
          <w:color w:val="000000"/>
          <w:spacing w:val="1"/>
          <w:sz w:val="22"/>
        </w:rPr>
        <w:t xml:space="preserve"> </w:t>
      </w:r>
      <w:r>
        <w:rPr>
          <w:rFonts w:cs="Arial"/>
          <w:i/>
          <w:iCs/>
          <w:color w:val="000000"/>
          <w:sz w:val="22"/>
        </w:rPr>
        <w:t>are</w:t>
      </w:r>
      <w:r>
        <w:rPr>
          <w:rFonts w:cs="Arial"/>
          <w:i/>
          <w:iCs/>
          <w:color w:val="000000"/>
          <w:spacing w:val="1"/>
          <w:sz w:val="22"/>
        </w:rPr>
        <w:t xml:space="preserve"> </w:t>
      </w:r>
      <w:r>
        <w:rPr>
          <w:rFonts w:cs="Arial"/>
          <w:i/>
          <w:iCs/>
          <w:color w:val="000000"/>
          <w:sz w:val="22"/>
        </w:rPr>
        <w:t>personally</w:t>
      </w:r>
      <w:r>
        <w:rPr>
          <w:rFonts w:cs="Arial"/>
          <w:i/>
          <w:iCs/>
          <w:color w:val="000000"/>
          <w:spacing w:val="1"/>
          <w:sz w:val="22"/>
        </w:rPr>
        <w:t xml:space="preserve"> </w:t>
      </w:r>
      <w:r>
        <w:rPr>
          <w:rFonts w:cs="Arial"/>
          <w:i/>
          <w:iCs/>
          <w:color w:val="000000"/>
          <w:sz w:val="22"/>
        </w:rPr>
        <w:t>responsible</w:t>
      </w:r>
      <w:r>
        <w:rPr>
          <w:rFonts w:cs="Arial"/>
          <w:i/>
          <w:iCs/>
          <w:color w:val="000000"/>
          <w:spacing w:val="1"/>
          <w:sz w:val="22"/>
        </w:rPr>
        <w:t xml:space="preserve"> </w:t>
      </w:r>
      <w:r>
        <w:rPr>
          <w:rFonts w:cs="Arial"/>
          <w:i/>
          <w:iCs/>
          <w:color w:val="000000"/>
          <w:sz w:val="22"/>
        </w:rPr>
        <w:t>for</w:t>
      </w:r>
      <w:r>
        <w:rPr>
          <w:rFonts w:cs="Arial"/>
          <w:i/>
          <w:iCs/>
          <w:color w:val="000000"/>
          <w:spacing w:val="1"/>
          <w:sz w:val="22"/>
        </w:rPr>
        <w:t xml:space="preserve"> </w:t>
      </w:r>
      <w:r>
        <w:rPr>
          <w:rFonts w:cs="Arial"/>
          <w:i/>
          <w:iCs/>
          <w:color w:val="000000"/>
          <w:sz w:val="22"/>
        </w:rPr>
        <w:t>the</w:t>
      </w:r>
      <w:r>
        <w:rPr>
          <w:rFonts w:cs="Arial"/>
          <w:i/>
          <w:iCs/>
          <w:color w:val="000000"/>
          <w:spacing w:val="1"/>
          <w:sz w:val="22"/>
        </w:rPr>
        <w:t xml:space="preserve"> </w:t>
      </w:r>
      <w:r>
        <w:rPr>
          <w:rFonts w:cs="Arial"/>
          <w:i/>
          <w:iCs/>
          <w:color w:val="000000"/>
          <w:sz w:val="22"/>
        </w:rPr>
        <w:t>quality</w:t>
      </w:r>
      <w:r>
        <w:rPr>
          <w:rFonts w:cs="Arial"/>
          <w:i/>
          <w:iCs/>
          <w:color w:val="000000"/>
          <w:spacing w:val="1"/>
          <w:sz w:val="22"/>
        </w:rPr>
        <w:t xml:space="preserve"> </w:t>
      </w:r>
      <w:r>
        <w:rPr>
          <w:rFonts w:cs="Arial"/>
          <w:i/>
          <w:iCs/>
          <w:color w:val="000000"/>
          <w:sz w:val="22"/>
        </w:rPr>
        <w:t>of</w:t>
      </w:r>
      <w:r>
        <w:rPr>
          <w:rFonts w:cs="Arial"/>
          <w:i/>
          <w:iCs/>
          <w:color w:val="000000"/>
          <w:spacing w:val="1"/>
          <w:sz w:val="22"/>
        </w:rPr>
        <w:t xml:space="preserve"> </w:t>
      </w:r>
      <w:r>
        <w:rPr>
          <w:rFonts w:cs="Arial"/>
          <w:i/>
          <w:iCs/>
          <w:color w:val="000000"/>
          <w:sz w:val="22"/>
        </w:rPr>
        <w:t>data</w:t>
      </w:r>
      <w:r>
        <w:rPr>
          <w:rFonts w:cs="Arial"/>
          <w:i/>
          <w:iCs/>
          <w:color w:val="000000"/>
          <w:spacing w:val="1"/>
          <w:sz w:val="22"/>
        </w:rPr>
        <w:t xml:space="preserve"> </w:t>
      </w:r>
      <w:r>
        <w:rPr>
          <w:rFonts w:cs="Arial"/>
          <w:i/>
          <w:iCs/>
          <w:color w:val="000000"/>
          <w:sz w:val="22"/>
        </w:rPr>
        <w:t>entered</w:t>
      </w:r>
      <w:r>
        <w:rPr>
          <w:rFonts w:cs="Arial"/>
          <w:i/>
          <w:iCs/>
          <w:color w:val="000000"/>
          <w:spacing w:val="1"/>
          <w:sz w:val="22"/>
        </w:rPr>
        <w:t xml:space="preserve"> </w:t>
      </w:r>
      <w:r>
        <w:rPr>
          <w:rFonts w:cs="Arial"/>
          <w:i/>
          <w:iCs/>
          <w:color w:val="000000"/>
          <w:sz w:val="22"/>
        </w:rPr>
        <w:t>by</w:t>
      </w:r>
      <w:r>
        <w:rPr>
          <w:rFonts w:cs="Arial"/>
          <w:i/>
          <w:iCs/>
          <w:color w:val="000000"/>
          <w:spacing w:val="1"/>
          <w:sz w:val="22"/>
        </w:rPr>
        <w:t xml:space="preserve"> </w:t>
      </w:r>
      <w:r>
        <w:rPr>
          <w:rFonts w:cs="Arial"/>
          <w:i/>
          <w:iCs/>
          <w:color w:val="000000"/>
          <w:sz w:val="22"/>
        </w:rPr>
        <w:t>themselves, or on their behalf, on GMCAs computerised systems or manual records (paper</w:t>
      </w:r>
      <w:r>
        <w:rPr>
          <w:rFonts w:cs="Arial"/>
          <w:i/>
          <w:iCs/>
          <w:color w:val="000000"/>
          <w:spacing w:val="1"/>
          <w:sz w:val="22"/>
        </w:rPr>
        <w:t xml:space="preserve"> </w:t>
      </w:r>
      <w:r>
        <w:rPr>
          <w:rFonts w:cs="Arial"/>
          <w:i/>
          <w:iCs/>
          <w:color w:val="000000"/>
          <w:sz w:val="22"/>
        </w:rPr>
        <w:t>records) and must ensure that such data is entered accurately and, in a timely manner, to</w:t>
      </w:r>
      <w:r>
        <w:rPr>
          <w:rFonts w:cs="Arial"/>
          <w:i/>
          <w:iCs/>
          <w:color w:val="000000"/>
          <w:spacing w:val="1"/>
          <w:sz w:val="22"/>
        </w:rPr>
        <w:t xml:space="preserve"> </w:t>
      </w:r>
      <w:r>
        <w:rPr>
          <w:rFonts w:cs="Arial"/>
          <w:i/>
          <w:iCs/>
          <w:color w:val="000000"/>
          <w:sz w:val="22"/>
        </w:rPr>
        <w:t>ensure high</w:t>
      </w:r>
      <w:r>
        <w:rPr>
          <w:rFonts w:cs="Arial"/>
          <w:i/>
          <w:iCs/>
          <w:color w:val="000000"/>
          <w:spacing w:val="-3"/>
          <w:sz w:val="22"/>
        </w:rPr>
        <w:t xml:space="preserve"> </w:t>
      </w:r>
      <w:r>
        <w:rPr>
          <w:rFonts w:cs="Arial"/>
          <w:i/>
          <w:iCs/>
          <w:color w:val="000000"/>
          <w:sz w:val="22"/>
        </w:rPr>
        <w:t>standards of data</w:t>
      </w:r>
      <w:r>
        <w:rPr>
          <w:rFonts w:cs="Arial"/>
          <w:i/>
          <w:iCs/>
          <w:color w:val="000000"/>
          <w:spacing w:val="-5"/>
          <w:sz w:val="22"/>
        </w:rPr>
        <w:t xml:space="preserve"> </w:t>
      </w:r>
      <w:r>
        <w:rPr>
          <w:rFonts w:cs="Arial"/>
          <w:i/>
          <w:iCs/>
          <w:color w:val="000000"/>
          <w:sz w:val="22"/>
        </w:rPr>
        <w:t>quality</w:t>
      </w:r>
      <w:r>
        <w:rPr>
          <w:rFonts w:cs="Arial"/>
          <w:i/>
          <w:iCs/>
          <w:color w:val="000000"/>
          <w:spacing w:val="-2"/>
          <w:sz w:val="22"/>
        </w:rPr>
        <w:t xml:space="preserve"> </w:t>
      </w:r>
      <w:r>
        <w:rPr>
          <w:rFonts w:cs="Arial"/>
          <w:i/>
          <w:iCs/>
          <w:color w:val="000000"/>
          <w:sz w:val="22"/>
        </w:rPr>
        <w:t>in accordance with Departmental protocols. To ensure data is handled in a secure manner protecting the confidentiality of any personal</w:t>
      </w:r>
      <w:r>
        <w:rPr>
          <w:rFonts w:cs="Arial"/>
          <w:i/>
          <w:iCs/>
          <w:color w:val="000000"/>
          <w:spacing w:val="1"/>
          <w:sz w:val="22"/>
        </w:rPr>
        <w:t xml:space="preserve"> </w:t>
      </w:r>
      <w:r>
        <w:rPr>
          <w:rFonts w:cs="Arial"/>
          <w:i/>
          <w:iCs/>
          <w:color w:val="000000"/>
          <w:sz w:val="22"/>
        </w:rPr>
        <w:t>data</w:t>
      </w:r>
      <w:r>
        <w:rPr>
          <w:rFonts w:cs="Arial"/>
          <w:i/>
          <w:iCs/>
          <w:color w:val="000000"/>
          <w:spacing w:val="-1"/>
          <w:sz w:val="22"/>
        </w:rPr>
        <w:t xml:space="preserve"> </w:t>
      </w:r>
      <w:r>
        <w:rPr>
          <w:rFonts w:cs="Arial"/>
          <w:i/>
          <w:iCs/>
          <w:color w:val="000000"/>
          <w:sz w:val="22"/>
        </w:rPr>
        <w:t>held in</w:t>
      </w:r>
      <w:r>
        <w:rPr>
          <w:rFonts w:cs="Arial"/>
          <w:i/>
          <w:iCs/>
          <w:color w:val="000000"/>
          <w:spacing w:val="-2"/>
          <w:sz w:val="22"/>
        </w:rPr>
        <w:t xml:space="preserve"> </w:t>
      </w:r>
      <w:r>
        <w:rPr>
          <w:rFonts w:cs="Arial"/>
          <w:i/>
          <w:iCs/>
          <w:color w:val="000000"/>
          <w:sz w:val="22"/>
        </w:rPr>
        <w:t>meeting</w:t>
      </w:r>
      <w:r>
        <w:rPr>
          <w:rFonts w:cs="Arial"/>
          <w:i/>
          <w:iCs/>
          <w:color w:val="000000"/>
          <w:spacing w:val="-1"/>
          <w:sz w:val="22"/>
        </w:rPr>
        <w:t xml:space="preserve"> </w:t>
      </w:r>
      <w:r>
        <w:rPr>
          <w:rFonts w:cs="Arial"/>
          <w:i/>
          <w:iCs/>
          <w:color w:val="000000"/>
          <w:sz w:val="22"/>
        </w:rPr>
        <w:t>the</w:t>
      </w:r>
      <w:r>
        <w:rPr>
          <w:rFonts w:cs="Arial"/>
          <w:i/>
          <w:iCs/>
          <w:color w:val="000000"/>
          <w:spacing w:val="-4"/>
          <w:sz w:val="22"/>
        </w:rPr>
        <w:t xml:space="preserve"> </w:t>
      </w:r>
      <w:r>
        <w:rPr>
          <w:rFonts w:cs="Arial"/>
          <w:i/>
          <w:iCs/>
          <w:color w:val="000000"/>
          <w:sz w:val="22"/>
        </w:rPr>
        <w:t>requirements</w:t>
      </w:r>
      <w:r>
        <w:rPr>
          <w:rFonts w:cs="Arial"/>
          <w:i/>
          <w:iCs/>
          <w:color w:val="000000"/>
          <w:spacing w:val="-1"/>
          <w:sz w:val="22"/>
        </w:rPr>
        <w:t xml:space="preserve"> </w:t>
      </w:r>
      <w:r>
        <w:rPr>
          <w:rFonts w:cs="Arial"/>
          <w:i/>
          <w:iCs/>
          <w:color w:val="000000"/>
          <w:sz w:val="22"/>
        </w:rPr>
        <w:t>of</w:t>
      </w:r>
      <w:r>
        <w:rPr>
          <w:rFonts w:cs="Arial"/>
          <w:i/>
          <w:iCs/>
          <w:color w:val="000000"/>
          <w:spacing w:val="2"/>
          <w:sz w:val="22"/>
        </w:rPr>
        <w:t xml:space="preserve"> </w:t>
      </w:r>
      <w:r>
        <w:rPr>
          <w:rFonts w:cs="Arial"/>
          <w:i/>
          <w:iCs/>
          <w:color w:val="000000"/>
          <w:sz w:val="22"/>
        </w:rPr>
        <w:t>the</w:t>
      </w:r>
      <w:r>
        <w:rPr>
          <w:rFonts w:cs="Arial"/>
          <w:i/>
          <w:iCs/>
          <w:color w:val="000000"/>
          <w:spacing w:val="-3"/>
          <w:sz w:val="22"/>
        </w:rPr>
        <w:t xml:space="preserve"> </w:t>
      </w:r>
      <w:r>
        <w:rPr>
          <w:rFonts w:cs="Arial"/>
          <w:i/>
          <w:iCs/>
          <w:color w:val="000000"/>
          <w:sz w:val="22"/>
        </w:rPr>
        <w:t>Data</w:t>
      </w:r>
      <w:r>
        <w:rPr>
          <w:rFonts w:cs="Arial"/>
          <w:i/>
          <w:iCs/>
          <w:color w:val="000000"/>
          <w:spacing w:val="-1"/>
          <w:sz w:val="22"/>
        </w:rPr>
        <w:t xml:space="preserve"> </w:t>
      </w:r>
      <w:r>
        <w:rPr>
          <w:rFonts w:cs="Arial"/>
          <w:i/>
          <w:iCs/>
          <w:color w:val="000000"/>
          <w:sz w:val="22"/>
        </w:rPr>
        <w:t>Protection</w:t>
      </w:r>
      <w:r>
        <w:rPr>
          <w:rFonts w:cs="Arial"/>
          <w:i/>
          <w:iCs/>
          <w:color w:val="000000"/>
          <w:spacing w:val="1"/>
          <w:sz w:val="22"/>
        </w:rPr>
        <w:t xml:space="preserve"> </w:t>
      </w:r>
      <w:r>
        <w:rPr>
          <w:rFonts w:cs="Arial"/>
          <w:i/>
          <w:iCs/>
          <w:color w:val="000000"/>
          <w:sz w:val="22"/>
        </w:rPr>
        <w:t>Act.</w:t>
      </w:r>
    </w:p>
    <w:p>
      <w:pPr>
        <w:pStyle w:val="Normal"/>
        <w:spacing w:before="60" w:after="240"/>
        <w:rPr/>
      </w:pPr>
      <w:r>
        <w:rPr>
          <w:rFonts w:cs="Arial"/>
          <w:b/>
          <w:bCs/>
          <w:i/>
          <w:iCs/>
          <w:color w:val="000000"/>
          <w:sz w:val="22"/>
        </w:rPr>
        <w:t>Health and Safety</w:t>
      </w:r>
      <w:r>
        <w:rPr>
          <w:rFonts w:cs="Arial"/>
          <w:i/>
          <w:iCs/>
          <w:color w:val="000000"/>
          <w:sz w:val="22"/>
        </w:rPr>
        <w:t xml:space="preserve"> - All employees of GMCA have a statutory duty of care for their own</w:t>
      </w:r>
      <w:r>
        <w:rPr>
          <w:rFonts w:cs="Arial"/>
          <w:i/>
          <w:iCs/>
          <w:color w:val="000000"/>
          <w:spacing w:val="1"/>
          <w:sz w:val="22"/>
        </w:rPr>
        <w:t xml:space="preserve"> </w:t>
      </w:r>
      <w:r>
        <w:rPr>
          <w:rFonts w:cs="Arial"/>
          <w:i/>
          <w:iCs/>
          <w:color w:val="000000"/>
          <w:sz w:val="22"/>
        </w:rPr>
        <w:t>personal</w:t>
      </w:r>
      <w:r>
        <w:rPr>
          <w:rFonts w:cs="Arial"/>
          <w:i/>
          <w:iCs/>
          <w:color w:val="000000"/>
          <w:spacing w:val="-9"/>
          <w:sz w:val="22"/>
        </w:rPr>
        <w:t xml:space="preserve"> </w:t>
      </w:r>
      <w:r>
        <w:rPr>
          <w:rFonts w:cs="Arial"/>
          <w:i/>
          <w:iCs/>
          <w:color w:val="000000"/>
          <w:sz w:val="22"/>
        </w:rPr>
        <w:t>safety</w:t>
      </w:r>
      <w:r>
        <w:rPr>
          <w:rFonts w:cs="Arial"/>
          <w:i/>
          <w:iCs/>
          <w:color w:val="000000"/>
          <w:spacing w:val="-9"/>
          <w:sz w:val="22"/>
        </w:rPr>
        <w:t xml:space="preserve"> </w:t>
      </w:r>
      <w:r>
        <w:rPr>
          <w:rFonts w:cs="Arial"/>
          <w:i/>
          <w:iCs/>
          <w:color w:val="000000"/>
          <w:sz w:val="22"/>
        </w:rPr>
        <w:t>and</w:t>
      </w:r>
      <w:r>
        <w:rPr>
          <w:rFonts w:cs="Arial"/>
          <w:i/>
          <w:iCs/>
          <w:color w:val="000000"/>
          <w:spacing w:val="-8"/>
          <w:sz w:val="22"/>
        </w:rPr>
        <w:t xml:space="preserve"> </w:t>
      </w:r>
      <w:r>
        <w:rPr>
          <w:rFonts w:cs="Arial"/>
          <w:i/>
          <w:iCs/>
          <w:color w:val="000000"/>
          <w:sz w:val="22"/>
        </w:rPr>
        <w:t>that</w:t>
      </w:r>
      <w:r>
        <w:rPr>
          <w:rFonts w:cs="Arial"/>
          <w:i/>
          <w:iCs/>
          <w:color w:val="000000"/>
          <w:spacing w:val="-9"/>
          <w:sz w:val="22"/>
        </w:rPr>
        <w:t xml:space="preserve"> </w:t>
      </w:r>
      <w:r>
        <w:rPr>
          <w:rFonts w:cs="Arial"/>
          <w:i/>
          <w:iCs/>
          <w:color w:val="000000"/>
          <w:sz w:val="22"/>
        </w:rPr>
        <w:t>of</w:t>
      </w:r>
      <w:r>
        <w:rPr>
          <w:rFonts w:cs="Arial"/>
          <w:i/>
          <w:iCs/>
          <w:color w:val="000000"/>
          <w:spacing w:val="-3"/>
          <w:sz w:val="22"/>
        </w:rPr>
        <w:t xml:space="preserve"> </w:t>
      </w:r>
      <w:r>
        <w:rPr>
          <w:rFonts w:cs="Arial"/>
          <w:i/>
          <w:iCs/>
          <w:color w:val="000000"/>
          <w:sz w:val="22"/>
        </w:rPr>
        <w:t>others</w:t>
      </w:r>
      <w:r>
        <w:rPr>
          <w:rFonts w:cs="Arial"/>
          <w:i/>
          <w:iCs/>
          <w:color w:val="000000"/>
          <w:spacing w:val="-7"/>
          <w:sz w:val="22"/>
        </w:rPr>
        <w:t xml:space="preserve"> </w:t>
      </w:r>
      <w:r>
        <w:rPr>
          <w:rFonts w:cs="Arial"/>
          <w:i/>
          <w:iCs/>
          <w:color w:val="000000"/>
          <w:sz w:val="22"/>
        </w:rPr>
        <w:t>who</w:t>
      </w:r>
      <w:r>
        <w:rPr>
          <w:rFonts w:cs="Arial"/>
          <w:i/>
          <w:iCs/>
          <w:color w:val="000000"/>
          <w:spacing w:val="-7"/>
          <w:sz w:val="22"/>
        </w:rPr>
        <w:t xml:space="preserve"> </w:t>
      </w:r>
      <w:r>
        <w:rPr>
          <w:rFonts w:cs="Arial"/>
          <w:i/>
          <w:iCs/>
          <w:color w:val="000000"/>
          <w:sz w:val="22"/>
        </w:rPr>
        <w:t>may</w:t>
      </w:r>
      <w:r>
        <w:rPr>
          <w:rFonts w:cs="Arial"/>
          <w:i/>
          <w:iCs/>
          <w:color w:val="000000"/>
          <w:spacing w:val="-10"/>
          <w:sz w:val="22"/>
        </w:rPr>
        <w:t xml:space="preserve"> </w:t>
      </w:r>
      <w:r>
        <w:rPr>
          <w:rFonts w:cs="Arial"/>
          <w:i/>
          <w:iCs/>
          <w:color w:val="000000"/>
          <w:sz w:val="22"/>
        </w:rPr>
        <w:t>be</w:t>
      </w:r>
      <w:r>
        <w:rPr>
          <w:rFonts w:cs="Arial"/>
          <w:i/>
          <w:iCs/>
          <w:color w:val="000000"/>
          <w:spacing w:val="-8"/>
          <w:sz w:val="22"/>
        </w:rPr>
        <w:t xml:space="preserve"> </w:t>
      </w:r>
      <w:r>
        <w:rPr>
          <w:rFonts w:cs="Arial"/>
          <w:i/>
          <w:iCs/>
          <w:color w:val="000000"/>
          <w:sz w:val="22"/>
        </w:rPr>
        <w:t>affected</w:t>
      </w:r>
      <w:r>
        <w:rPr>
          <w:rFonts w:cs="Arial"/>
          <w:i/>
          <w:iCs/>
          <w:color w:val="000000"/>
          <w:spacing w:val="-7"/>
          <w:sz w:val="22"/>
        </w:rPr>
        <w:t xml:space="preserve"> </w:t>
      </w:r>
      <w:r>
        <w:rPr>
          <w:rFonts w:cs="Arial"/>
          <w:i/>
          <w:iCs/>
          <w:color w:val="000000"/>
          <w:sz w:val="22"/>
        </w:rPr>
        <w:t>by</w:t>
      </w:r>
      <w:r>
        <w:rPr>
          <w:rFonts w:cs="Arial"/>
          <w:i/>
          <w:iCs/>
          <w:color w:val="000000"/>
          <w:spacing w:val="-10"/>
          <w:sz w:val="22"/>
        </w:rPr>
        <w:t xml:space="preserve"> </w:t>
      </w:r>
      <w:r>
        <w:rPr>
          <w:rFonts w:cs="Arial"/>
          <w:i/>
          <w:iCs/>
          <w:color w:val="000000"/>
          <w:sz w:val="22"/>
        </w:rPr>
        <w:t>their</w:t>
      </w:r>
      <w:r>
        <w:rPr>
          <w:rFonts w:cs="Arial"/>
          <w:i/>
          <w:iCs/>
          <w:color w:val="000000"/>
          <w:spacing w:val="-6"/>
          <w:sz w:val="22"/>
        </w:rPr>
        <w:t xml:space="preserve"> </w:t>
      </w:r>
      <w:r>
        <w:rPr>
          <w:rFonts w:cs="Arial"/>
          <w:i/>
          <w:iCs/>
          <w:color w:val="000000"/>
          <w:sz w:val="22"/>
        </w:rPr>
        <w:t>acts</w:t>
      </w:r>
      <w:r>
        <w:rPr>
          <w:rFonts w:cs="Arial"/>
          <w:i/>
          <w:iCs/>
          <w:color w:val="000000"/>
          <w:spacing w:val="-7"/>
          <w:sz w:val="22"/>
        </w:rPr>
        <w:t xml:space="preserve"> </w:t>
      </w:r>
      <w:r>
        <w:rPr>
          <w:rFonts w:cs="Arial"/>
          <w:i/>
          <w:iCs/>
          <w:color w:val="000000"/>
          <w:sz w:val="22"/>
        </w:rPr>
        <w:t>or</w:t>
      </w:r>
      <w:r>
        <w:rPr>
          <w:rFonts w:cs="Arial"/>
          <w:i/>
          <w:iCs/>
          <w:color w:val="000000"/>
          <w:spacing w:val="-6"/>
          <w:sz w:val="22"/>
        </w:rPr>
        <w:t xml:space="preserve"> </w:t>
      </w:r>
      <w:r>
        <w:rPr>
          <w:rFonts w:cs="Arial"/>
          <w:i/>
          <w:iCs/>
          <w:color w:val="000000"/>
          <w:sz w:val="22"/>
        </w:rPr>
        <w:t>omissions.</w:t>
      </w:r>
      <w:r>
        <w:rPr>
          <w:rFonts w:cs="Arial"/>
          <w:i/>
          <w:iCs/>
          <w:color w:val="000000"/>
          <w:spacing w:val="-5"/>
          <w:sz w:val="22"/>
        </w:rPr>
        <w:t xml:space="preserve"> </w:t>
      </w:r>
      <w:r>
        <w:rPr>
          <w:rFonts w:cs="Arial"/>
          <w:i/>
          <w:iCs/>
          <w:color w:val="000000"/>
          <w:sz w:val="22"/>
        </w:rPr>
        <w:t>Employees</w:t>
      </w:r>
      <w:r>
        <w:rPr>
          <w:rFonts w:cs="Arial"/>
          <w:i/>
          <w:iCs/>
          <w:color w:val="000000"/>
          <w:spacing w:val="-59"/>
          <w:sz w:val="22"/>
        </w:rPr>
        <w:t xml:space="preserve"> </w:t>
      </w:r>
      <w:r>
        <w:rPr>
          <w:rFonts w:cs="Arial"/>
          <w:i/>
          <w:iCs/>
          <w:color w:val="000000"/>
          <w:sz w:val="22"/>
        </w:rPr>
        <w:t>are required to co-operate with management to enable GMCA to meet its own legal duties</w:t>
      </w:r>
      <w:r>
        <w:rPr>
          <w:rFonts w:cs="Arial"/>
          <w:i/>
          <w:iCs/>
          <w:color w:val="000000"/>
          <w:spacing w:val="1"/>
          <w:sz w:val="22"/>
        </w:rPr>
        <w:t xml:space="preserve"> </w:t>
      </w:r>
      <w:r>
        <w:rPr>
          <w:rFonts w:cs="Arial"/>
          <w:i/>
          <w:iCs/>
          <w:color w:val="000000"/>
          <w:sz w:val="22"/>
        </w:rPr>
        <w:t>and</w:t>
      </w:r>
      <w:r>
        <w:rPr>
          <w:rFonts w:cs="Arial"/>
          <w:i/>
          <w:iCs/>
          <w:color w:val="000000"/>
          <w:spacing w:val="-5"/>
          <w:sz w:val="22"/>
        </w:rPr>
        <w:t xml:space="preserve"> </w:t>
      </w:r>
      <w:r>
        <w:rPr>
          <w:rFonts w:cs="Arial"/>
          <w:i/>
          <w:iCs/>
          <w:color w:val="000000"/>
          <w:sz w:val="22"/>
        </w:rPr>
        <w:t>to</w:t>
      </w:r>
      <w:r>
        <w:rPr>
          <w:rFonts w:cs="Arial"/>
          <w:i/>
          <w:iCs/>
          <w:color w:val="000000"/>
          <w:spacing w:val="-5"/>
          <w:sz w:val="22"/>
        </w:rPr>
        <w:t xml:space="preserve"> </w:t>
      </w:r>
      <w:r>
        <w:rPr>
          <w:rFonts w:cs="Arial"/>
          <w:i/>
          <w:iCs/>
          <w:color w:val="000000"/>
          <w:sz w:val="22"/>
        </w:rPr>
        <w:t>report</w:t>
      </w:r>
      <w:r>
        <w:rPr>
          <w:rFonts w:cs="Arial"/>
          <w:i/>
          <w:iCs/>
          <w:color w:val="000000"/>
          <w:spacing w:val="-4"/>
          <w:sz w:val="22"/>
        </w:rPr>
        <w:t xml:space="preserve"> </w:t>
      </w:r>
      <w:r>
        <w:rPr>
          <w:rFonts w:cs="Arial"/>
          <w:i/>
          <w:iCs/>
          <w:color w:val="000000"/>
          <w:sz w:val="22"/>
        </w:rPr>
        <w:t>any</w:t>
      </w:r>
      <w:r>
        <w:rPr>
          <w:rFonts w:cs="Arial"/>
          <w:i/>
          <w:iCs/>
          <w:color w:val="000000"/>
          <w:spacing w:val="-8"/>
          <w:sz w:val="22"/>
        </w:rPr>
        <w:t xml:space="preserve"> </w:t>
      </w:r>
      <w:r>
        <w:rPr>
          <w:rFonts w:cs="Arial"/>
          <w:i/>
          <w:iCs/>
          <w:color w:val="000000"/>
          <w:sz w:val="22"/>
        </w:rPr>
        <w:t>circumstances</w:t>
      </w:r>
      <w:r>
        <w:rPr>
          <w:rFonts w:cs="Arial"/>
          <w:i/>
          <w:iCs/>
          <w:color w:val="000000"/>
          <w:spacing w:val="-7"/>
          <w:sz w:val="22"/>
        </w:rPr>
        <w:t xml:space="preserve"> </w:t>
      </w:r>
      <w:r>
        <w:rPr>
          <w:rFonts w:cs="Arial"/>
          <w:i/>
          <w:iCs/>
          <w:color w:val="000000"/>
          <w:sz w:val="22"/>
        </w:rPr>
        <w:t>that</w:t>
      </w:r>
      <w:r>
        <w:rPr>
          <w:rFonts w:cs="Arial"/>
          <w:i/>
          <w:iCs/>
          <w:color w:val="000000"/>
          <w:spacing w:val="-5"/>
          <w:sz w:val="22"/>
        </w:rPr>
        <w:t xml:space="preserve"> </w:t>
      </w:r>
      <w:r>
        <w:rPr>
          <w:rFonts w:cs="Arial"/>
          <w:i/>
          <w:iCs/>
          <w:color w:val="000000"/>
          <w:sz w:val="22"/>
        </w:rPr>
        <w:t>may</w:t>
      </w:r>
      <w:r>
        <w:rPr>
          <w:rFonts w:cs="Arial"/>
          <w:i/>
          <w:iCs/>
          <w:color w:val="000000"/>
          <w:spacing w:val="-8"/>
          <w:sz w:val="22"/>
        </w:rPr>
        <w:t xml:space="preserve"> </w:t>
      </w:r>
      <w:r>
        <w:rPr>
          <w:rFonts w:cs="Arial"/>
          <w:i/>
          <w:iCs/>
          <w:color w:val="000000"/>
          <w:sz w:val="22"/>
        </w:rPr>
        <w:t>compromise</w:t>
      </w:r>
      <w:r>
        <w:rPr>
          <w:rFonts w:cs="Arial"/>
          <w:i/>
          <w:iCs/>
          <w:color w:val="000000"/>
          <w:spacing w:val="-4"/>
          <w:sz w:val="22"/>
        </w:rPr>
        <w:t xml:space="preserve"> </w:t>
      </w:r>
      <w:r>
        <w:rPr>
          <w:rFonts w:cs="Arial"/>
          <w:i/>
          <w:iCs/>
          <w:color w:val="000000"/>
          <w:sz w:val="22"/>
        </w:rPr>
        <w:t>the</w:t>
      </w:r>
      <w:r>
        <w:rPr>
          <w:rFonts w:cs="Arial"/>
          <w:i/>
          <w:iCs/>
          <w:color w:val="000000"/>
          <w:spacing w:val="-6"/>
          <w:sz w:val="22"/>
        </w:rPr>
        <w:t xml:space="preserve"> </w:t>
      </w:r>
      <w:r>
        <w:rPr>
          <w:rFonts w:cs="Arial"/>
          <w:i/>
          <w:iCs/>
          <w:color w:val="000000"/>
          <w:sz w:val="22"/>
        </w:rPr>
        <w:t>health,</w:t>
      </w:r>
      <w:r>
        <w:rPr>
          <w:rFonts w:cs="Arial"/>
          <w:i/>
          <w:iCs/>
          <w:color w:val="000000"/>
          <w:spacing w:val="-4"/>
          <w:sz w:val="22"/>
        </w:rPr>
        <w:t xml:space="preserve"> </w:t>
      </w:r>
      <w:r>
        <w:rPr>
          <w:rFonts w:cs="Arial"/>
          <w:i/>
          <w:iCs/>
          <w:color w:val="000000"/>
          <w:sz w:val="22"/>
        </w:rPr>
        <w:t>safety</w:t>
      </w:r>
      <w:r>
        <w:rPr>
          <w:rFonts w:cs="Arial"/>
          <w:i/>
          <w:iCs/>
          <w:color w:val="000000"/>
          <w:spacing w:val="-7"/>
          <w:sz w:val="22"/>
        </w:rPr>
        <w:t xml:space="preserve"> </w:t>
      </w:r>
      <w:r>
        <w:rPr>
          <w:rFonts w:cs="Arial"/>
          <w:i/>
          <w:iCs/>
          <w:color w:val="000000"/>
          <w:sz w:val="22"/>
        </w:rPr>
        <w:t>and</w:t>
      </w:r>
      <w:r>
        <w:rPr>
          <w:rFonts w:cs="Arial"/>
          <w:i/>
          <w:iCs/>
          <w:color w:val="000000"/>
          <w:spacing w:val="-5"/>
          <w:sz w:val="22"/>
        </w:rPr>
        <w:t xml:space="preserve"> </w:t>
      </w:r>
      <w:r>
        <w:rPr>
          <w:rFonts w:cs="Arial"/>
          <w:i/>
          <w:iCs/>
          <w:color w:val="000000"/>
          <w:sz w:val="22"/>
        </w:rPr>
        <w:t>welfare</w:t>
      </w:r>
      <w:r>
        <w:rPr>
          <w:rFonts w:cs="Arial"/>
          <w:i/>
          <w:iCs/>
          <w:color w:val="000000"/>
          <w:spacing w:val="-4"/>
          <w:sz w:val="22"/>
        </w:rPr>
        <w:t xml:space="preserve"> </w:t>
      </w:r>
      <w:r>
        <w:rPr>
          <w:rFonts w:cs="Arial"/>
          <w:i/>
          <w:iCs/>
          <w:color w:val="000000"/>
          <w:sz w:val="22"/>
        </w:rPr>
        <w:t>of</w:t>
      </w:r>
      <w:r>
        <w:rPr>
          <w:rFonts w:cs="Arial"/>
          <w:i/>
          <w:iCs/>
          <w:color w:val="000000"/>
          <w:spacing w:val="-4"/>
          <w:sz w:val="22"/>
        </w:rPr>
        <w:t xml:space="preserve"> </w:t>
      </w:r>
      <w:r>
        <w:rPr>
          <w:rFonts w:cs="Arial"/>
          <w:i/>
          <w:iCs/>
          <w:color w:val="000000"/>
          <w:sz w:val="22"/>
        </w:rPr>
        <w:t>those</w:t>
      </w:r>
      <w:r>
        <w:rPr>
          <w:rFonts w:cs="Arial"/>
          <w:i/>
          <w:iCs/>
          <w:color w:val="000000"/>
          <w:spacing w:val="-59"/>
          <w:sz w:val="22"/>
        </w:rPr>
        <w:t xml:space="preserve"> </w:t>
      </w:r>
      <w:r>
        <w:rPr>
          <w:rFonts w:cs="Arial"/>
          <w:i/>
          <w:iCs/>
          <w:color w:val="000000"/>
          <w:sz w:val="22"/>
        </w:rPr>
        <w:t>affected by</w:t>
      </w:r>
      <w:r>
        <w:rPr>
          <w:rFonts w:cs="Arial"/>
          <w:i/>
          <w:iCs/>
          <w:color w:val="000000"/>
          <w:spacing w:val="-4"/>
          <w:sz w:val="22"/>
        </w:rPr>
        <w:t xml:space="preserve"> </w:t>
      </w:r>
      <w:r>
        <w:rPr>
          <w:rFonts w:cs="Arial"/>
          <w:i/>
          <w:iCs/>
          <w:color w:val="000000"/>
          <w:sz w:val="22"/>
        </w:rPr>
        <w:t>the Service’s</w:t>
      </w:r>
      <w:r>
        <w:rPr>
          <w:rFonts w:cs="Arial"/>
          <w:i/>
          <w:iCs/>
          <w:color w:val="000000"/>
          <w:spacing w:val="2"/>
          <w:sz w:val="22"/>
        </w:rPr>
        <w:t xml:space="preserve"> </w:t>
      </w:r>
      <w:r>
        <w:rPr>
          <w:rFonts w:cs="Arial"/>
          <w:i/>
          <w:iCs/>
          <w:color w:val="000000"/>
          <w:sz w:val="22"/>
        </w:rPr>
        <w:t>undertakings.</w:t>
      </w:r>
    </w:p>
    <w:p>
      <w:pPr>
        <w:pStyle w:val="Normal"/>
        <w:spacing w:before="60" w:after="240"/>
        <w:rPr/>
      </w:pPr>
      <w:r>
        <w:rPr>
          <w:rFonts w:cs="Arial"/>
          <w:b/>
          <w:bCs/>
          <w:i/>
          <w:iCs/>
          <w:color w:val="000000"/>
          <w:sz w:val="22"/>
        </w:rPr>
        <w:t>Service Policies</w:t>
      </w:r>
      <w:r>
        <w:rPr>
          <w:rFonts w:cs="Arial"/>
          <w:i/>
          <w:iCs/>
          <w:color w:val="000000"/>
          <w:sz w:val="22"/>
        </w:rPr>
        <w:t xml:space="preserve"> - All GMCA employees must observe and adhere to the provisions outlined</w:t>
      </w:r>
      <w:r>
        <w:rPr>
          <w:rFonts w:cs="Arial"/>
          <w:i/>
          <w:iCs/>
          <w:color w:val="000000"/>
          <w:spacing w:val="-59"/>
          <w:sz w:val="22"/>
        </w:rPr>
        <w:t xml:space="preserve"> </w:t>
      </w:r>
      <w:r>
        <w:rPr>
          <w:rFonts w:cs="Arial"/>
          <w:i/>
          <w:iCs/>
          <w:color w:val="000000"/>
          <w:sz w:val="22"/>
        </w:rPr>
        <w:t>in</w:t>
      </w:r>
      <w:r>
        <w:rPr>
          <w:rFonts w:cs="Arial"/>
          <w:i/>
          <w:iCs/>
          <w:color w:val="000000"/>
          <w:spacing w:val="-1"/>
          <w:sz w:val="22"/>
        </w:rPr>
        <w:t xml:space="preserve"> </w:t>
      </w:r>
      <w:r>
        <w:rPr>
          <w:rFonts w:cs="Arial"/>
          <w:i/>
          <w:iCs/>
          <w:color w:val="000000"/>
          <w:sz w:val="22"/>
        </w:rPr>
        <w:t>these policies.</w:t>
      </w:r>
    </w:p>
    <w:p>
      <w:pPr>
        <w:pStyle w:val="Normal"/>
        <w:spacing w:before="60" w:after="240"/>
        <w:rPr/>
      </w:pPr>
      <w:r>
        <w:rPr>
          <w:rFonts w:cs="Arial"/>
          <w:b/>
          <w:bCs/>
          <w:i/>
          <w:iCs/>
          <w:color w:val="000000"/>
          <w:sz w:val="22"/>
        </w:rPr>
        <w:t>Equal Opportunities</w:t>
      </w:r>
      <w:r>
        <w:rPr>
          <w:rFonts w:cs="Arial"/>
          <w:i/>
          <w:iCs/>
          <w:color w:val="000000"/>
          <w:sz w:val="22"/>
        </w:rPr>
        <w:t xml:space="preserve"> - GMCA provides a range of services and employment</w:t>
      </w:r>
      <w:r>
        <w:rPr>
          <w:rFonts w:cs="Arial"/>
          <w:i/>
          <w:iCs/>
          <w:color w:val="000000"/>
          <w:spacing w:val="1"/>
          <w:sz w:val="22"/>
        </w:rPr>
        <w:t xml:space="preserve"> </w:t>
      </w:r>
      <w:r>
        <w:rPr>
          <w:rFonts w:cs="Arial"/>
          <w:i/>
          <w:iCs/>
          <w:color w:val="000000"/>
          <w:sz w:val="22"/>
        </w:rPr>
        <w:t xml:space="preserve">opportunities for a diverse population. As a GMCA employee you are expected to treat all </w:t>
      </w:r>
      <w:r>
        <w:rPr>
          <w:rFonts w:cs="Arial"/>
          <w:i/>
          <w:iCs/>
          <w:color w:val="000000"/>
          <w:spacing w:val="-59"/>
          <w:sz w:val="22"/>
        </w:rPr>
        <w:t xml:space="preserve"> </w:t>
      </w:r>
      <w:r>
        <w:rPr>
          <w:rFonts w:cs="Arial"/>
          <w:i/>
          <w:iCs/>
          <w:color w:val="000000"/>
          <w:sz w:val="22"/>
        </w:rPr>
        <w:t>employees / partners / members of the public and work colleagues with dignity and</w:t>
      </w:r>
      <w:r>
        <w:rPr>
          <w:rFonts w:cs="Arial"/>
          <w:i/>
          <w:iCs/>
          <w:color w:val="000000"/>
          <w:spacing w:val="1"/>
          <w:sz w:val="22"/>
        </w:rPr>
        <w:t xml:space="preserve"> </w:t>
      </w:r>
      <w:r>
        <w:rPr>
          <w:rFonts w:cs="Arial"/>
          <w:i/>
          <w:iCs/>
          <w:color w:val="000000"/>
          <w:sz w:val="22"/>
        </w:rPr>
        <w:t>respect</w:t>
      </w:r>
      <w:r>
        <w:rPr>
          <w:rFonts w:cs="Arial"/>
          <w:i/>
          <w:iCs/>
          <w:color w:val="000000"/>
          <w:spacing w:val="-2"/>
          <w:sz w:val="22"/>
        </w:rPr>
        <w:t xml:space="preserve"> </w:t>
      </w:r>
      <w:r>
        <w:rPr>
          <w:rFonts w:cs="Arial"/>
          <w:i/>
          <w:iCs/>
          <w:color w:val="000000"/>
          <w:sz w:val="22"/>
        </w:rPr>
        <w:t>irrespective</w:t>
      </w:r>
      <w:r>
        <w:rPr>
          <w:rFonts w:cs="Arial"/>
          <w:i/>
          <w:iCs/>
          <w:color w:val="000000"/>
          <w:spacing w:val="1"/>
          <w:sz w:val="22"/>
        </w:rPr>
        <w:t xml:space="preserve"> </w:t>
      </w:r>
      <w:r>
        <w:rPr>
          <w:rFonts w:cs="Arial"/>
          <w:i/>
          <w:iCs/>
          <w:color w:val="000000"/>
          <w:sz w:val="22"/>
        </w:rPr>
        <w:t>of</w:t>
      </w:r>
      <w:r>
        <w:rPr>
          <w:rFonts w:cs="Arial"/>
          <w:i/>
          <w:iCs/>
          <w:color w:val="000000"/>
          <w:spacing w:val="2"/>
          <w:sz w:val="22"/>
        </w:rPr>
        <w:t xml:space="preserve"> </w:t>
      </w:r>
      <w:r>
        <w:rPr>
          <w:rFonts w:cs="Arial"/>
          <w:i/>
          <w:iCs/>
          <w:color w:val="000000"/>
          <w:sz w:val="22"/>
        </w:rPr>
        <w:t>their</w:t>
      </w:r>
      <w:r>
        <w:rPr>
          <w:rFonts w:cs="Arial"/>
          <w:i/>
          <w:iCs/>
          <w:color w:val="000000"/>
          <w:spacing w:val="2"/>
          <w:sz w:val="22"/>
        </w:rPr>
        <w:t xml:space="preserve"> </w:t>
      </w:r>
      <w:r>
        <w:rPr>
          <w:rFonts w:cs="Arial"/>
          <w:i/>
          <w:iCs/>
          <w:color w:val="000000"/>
          <w:sz w:val="22"/>
        </w:rPr>
        <w:t>background.</w:t>
      </w:r>
    </w:p>
    <w:sectPr>
      <w:type w:val="continuous"/>
      <w:pgSz w:w="11906" w:h="16850"/>
      <w:pgMar w:left="1304" w:right="1304" w:header="709" w:top="1304" w:footer="442" w:bottom="1418" w:gutter="0"/>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8</w:t>
    </w:r>
    <w:r>
      <w:rPr/>
      <w:fldChar w:fldCharType="end"/>
    </w:r>
  </w:p>
  <w:p>
    <w:pPr>
      <w:pStyle w:val="TextBody"/>
      <w:spacing w:before="0" w:after="24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114300" distR="114300" simplePos="0" locked="0" layoutInCell="1" allowOverlap="1" relativeHeight="9">
          <wp:simplePos x="0" y="0"/>
          <wp:positionH relativeFrom="column">
            <wp:posOffset>3558540</wp:posOffset>
          </wp:positionH>
          <wp:positionV relativeFrom="paragraph">
            <wp:posOffset>635</wp:posOffset>
          </wp:positionV>
          <wp:extent cx="2190115" cy="68643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p>
    <w:pPr>
      <w:pStyle w:val="Header"/>
      <w:rPr/>
    </w:pPr>
    <w:r>
      <w:rPr/>
      <w:t xml:space="preserve">Date of last review: May 2026 </w:t>
    </w:r>
  </w:p>
  <w:p>
    <w:pPr>
      <w:pStyle w:val="Header"/>
      <w:spacing w:before="0" w:after="12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szCs w:val="24"/>
        <w:rFonts w:cs="Symbol"/>
        <w:color w:val="00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color w:val="000000"/>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color w:val="000000"/>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sz w:val="24"/>
        <w:rFonts w:cs="Symbol"/>
        <w:color w:val="auto"/>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tabs>
          <w:tab w:val="num" w:pos="720"/>
        </w:tabs>
        <w:ind w:left="720" w:hanging="360"/>
      </w:pPr>
      <w:rPr>
        <w:rFonts w:ascii="Symbol" w:hAnsi="Symbol" w:cs="Symbol" w:hint="default"/>
        <w:sz w:val="20"/>
        <w:szCs w:val="24"/>
        <w:rFonts w:cs="Symbol"/>
        <w:color w:val="000000"/>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7">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szCs w:val="24"/>
        <w:rFonts w:cs="Courier New"/>
        <w:color w:val="000000"/>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8">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9">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0">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color w:val="000000"/>
      <w:szCs w:val="24"/>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color w:val="auto"/>
      <w:sz w:val="24"/>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Arial" w:hAnsi="Arial" w:cs="Aria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Symbol" w:hAnsi="Symbol" w:cs="Symbol"/>
      <w:color w:val="000000"/>
      <w:sz w:val="20"/>
      <w:szCs w:val="24"/>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sz w:val="20"/>
    </w:rPr>
  </w:style>
  <w:style w:type="character" w:styleId="WW8Num6z1">
    <w:name w:val="WW8Num6z1"/>
    <w:qFormat/>
    <w:rPr>
      <w:rFonts w:ascii="Courier New" w:hAnsi="Courier New" w:cs="Courier New"/>
      <w:color w:val="000000"/>
      <w:sz w:val="20"/>
      <w:szCs w:val="24"/>
    </w:rPr>
  </w:style>
  <w:style w:type="character" w:styleId="WW8Num6z2">
    <w:name w:val="WW8Num6z2"/>
    <w:qFormat/>
    <w:rPr>
      <w:rFonts w:ascii="Wingdings" w:hAnsi="Wingdings" w:cs="Wingdings"/>
      <w:sz w:val="20"/>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WW8Num9z0">
    <w:name w:val="WW8Num9z0"/>
    <w:qFormat/>
    <w:rPr>
      <w:rFonts w:ascii="Symbol" w:hAnsi="Symbol" w:cs="Symbol"/>
      <w:sz w:val="20"/>
    </w:rPr>
  </w:style>
  <w:style w:type="character" w:styleId="WW8Num9z1">
    <w:name w:val="WW8Num9z1"/>
    <w:qFormat/>
    <w:rPr>
      <w:rFonts w:ascii="Courier New" w:hAnsi="Courier New" w:cs="Courier New"/>
      <w:sz w:val="20"/>
    </w:rPr>
  </w:style>
  <w:style w:type="character" w:styleId="WW8Num9z2">
    <w:name w:val="WW8Num9z2"/>
    <w:qFormat/>
    <w:rPr>
      <w:rFonts w:ascii="Wingdings" w:hAnsi="Wingdings" w:cs="Wingdings"/>
      <w:sz w:val="20"/>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Normaltextrun">
    <w:name w:val="normaltextrun"/>
    <w:basedOn w:val="DefaultParagraphFont"/>
    <w:qFormat/>
    <w:rPr/>
  </w:style>
  <w:style w:type="character" w:styleId="Eop">
    <w:name w:val="eop"/>
    <w:basedOn w:val="DefaultParagraph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ind w:left="993" w:right="0" w:hanging="633"/>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Paragraph">
    <w:name w:val="paragraph"/>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