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ind w:left="0" w:right="-761" w:hanging="709"/>
        <w:jc w:val="center"/>
        <w:rPr>
          <w:rFonts w:eastAsia="Calibri"/>
          <w:b/>
          <w:b/>
          <w:bCs/>
          <w:iCs/>
        </w:rPr>
      </w:pPr>
      <w:r>
        <w:rPr/>
        <w:drawing>
          <wp:inline distT="0" distB="0" distL="0" distR="0">
            <wp:extent cx="6330315" cy="53467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54" r="-5" b="-54"/>
                    <a:stretch>
                      <a:fillRect/>
                    </a:stretch>
                  </pic:blipFill>
                  <pic:spPr bwMode="auto">
                    <a:xfrm>
                      <a:off x="0" y="0"/>
                      <a:ext cx="6330315" cy="534670"/>
                    </a:xfrm>
                    <a:prstGeom prst="rect">
                      <a:avLst/>
                    </a:prstGeom>
                  </pic:spPr>
                </pic:pic>
              </a:graphicData>
            </a:graphic>
          </wp:inline>
        </w:drawing>
      </w:r>
    </w:p>
    <w:p>
      <w:pPr>
        <w:pStyle w:val="Body"/>
        <w:ind w:left="0" w:right="261" w:hanging="0"/>
        <w:jc w:val="center"/>
        <w:rPr>
          <w:rFonts w:eastAsia="Calibri"/>
          <w:b/>
          <w:b/>
          <w:bCs/>
          <w:iCs/>
        </w:rPr>
      </w:pPr>
      <w:r>
        <w:rPr>
          <w:rFonts w:eastAsia="Calibri"/>
          <w:b/>
          <w:bCs/>
          <w:iCs/>
        </w:rPr>
      </w:r>
    </w:p>
    <w:p>
      <w:pPr>
        <w:pStyle w:val="Body"/>
        <w:ind w:left="0" w:right="261" w:hanging="0"/>
        <w:jc w:val="center"/>
        <w:rPr/>
      </w:pPr>
      <w:r>
        <w:rPr/>
        <w:t xml:space="preserve">Title </w:t>
      </w:r>
    </w:p>
    <w:p>
      <w:pPr>
        <w:pStyle w:val="Body"/>
        <w:ind w:left="0" w:right="261" w:hanging="0"/>
        <w:jc w:val="center"/>
        <w:rPr>
          <w:rFonts w:eastAsia="Calibri"/>
          <w:b/>
          <w:b/>
          <w:bCs/>
          <w:iCs/>
        </w:rPr>
      </w:pPr>
      <w:r>
        <w:rPr>
          <w:rFonts w:eastAsia="Calibri"/>
          <w:b/>
          <w:bCs/>
          <w:iCs/>
        </w:rPr>
      </w:r>
    </w:p>
    <w:tbl>
      <w:tblPr>
        <w:tblW w:w="10357" w:type="dxa"/>
        <w:jc w:val="left"/>
        <w:tblInd w:w="-606" w:type="dxa"/>
        <w:tblCellMar>
          <w:top w:w="0" w:type="dxa"/>
          <w:left w:w="108" w:type="dxa"/>
          <w:bottom w:w="0" w:type="dxa"/>
          <w:right w:w="108" w:type="dxa"/>
        </w:tblCellMar>
      </w:tblPr>
      <w:tblGrid>
        <w:gridCol w:w="2127"/>
        <w:gridCol w:w="3092"/>
        <w:gridCol w:w="2309"/>
        <w:gridCol w:w="2829"/>
      </w:tblGrid>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Job Title:</w:t>
            </w:r>
          </w:p>
        </w:tc>
        <w:tc>
          <w:tcPr>
            <w:tcW w:w="3092"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ind w:left="0" w:right="261" w:hanging="0"/>
              <w:rPr>
                <w:rFonts w:ascii="Arial" w:hAnsi="Arial" w:eastAsia="Arial" w:cs="Arial"/>
                <w:color w:val="000000"/>
                <w:sz w:val="22"/>
                <w:szCs w:val="22"/>
                <w:lang w:val="en-GB"/>
              </w:rPr>
            </w:pPr>
            <w:r>
              <w:rPr>
                <w:rFonts w:eastAsia="Arial" w:cs="Arial" w:ascii="Arial" w:hAnsi="Arial"/>
                <w:color w:val="000000"/>
                <w:sz w:val="22"/>
                <w:szCs w:val="22"/>
                <w:lang w:val="en-GB"/>
              </w:rPr>
              <w:t>Project Manager – Natural Environment</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Date:</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rPr>
            </w:pPr>
            <w:r>
              <w:rPr>
                <w:rFonts w:eastAsia="Calibri"/>
              </w:rPr>
              <w:t>May 2026</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Reporting Line:</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cs="Arial"/>
              </w:rPr>
            </w:pPr>
            <w:r>
              <w:rPr>
                <w:rFonts w:eastAsia="Calibri" w:cs="Arial"/>
              </w:rPr>
              <w:t>Natural Capital Coordinator</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Salary:</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rPr>
            </w:pPr>
            <w:r>
              <w:rPr>
                <w:rFonts w:eastAsia="Calibri"/>
              </w:rPr>
              <w:t>Grade 8</w:t>
            </w:r>
          </w:p>
        </w:tc>
      </w:tr>
      <w:tr>
        <w:trPr/>
        <w:tc>
          <w:tcPr>
            <w:tcW w:w="2127"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Team:</w:t>
            </w:r>
          </w:p>
        </w:tc>
        <w:tc>
          <w:tcPr>
            <w:tcW w:w="3092"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cs="Calibri"/>
                <w:bCs/>
                <w:iCs/>
              </w:rPr>
            </w:pPr>
            <w:r>
              <w:rPr>
                <w:rFonts w:eastAsia="Calibri" w:cs="Calibri"/>
                <w:bCs/>
                <w:iCs/>
              </w:rPr>
              <w:t>Environment</w:t>
            </w:r>
          </w:p>
        </w:tc>
        <w:tc>
          <w:tcPr>
            <w:tcW w:w="2309" w:type="dxa"/>
            <w:tcBorders>
              <w:top w:val="single" w:sz="4" w:space="0" w:color="000000"/>
              <w:left w:val="single" w:sz="4" w:space="0" w:color="000000"/>
              <w:bottom w:val="single" w:sz="4" w:space="0" w:color="000000"/>
            </w:tcBorders>
            <w:shd w:fill="auto" w:val="clear"/>
            <w:vAlign w:val="center"/>
          </w:tcPr>
          <w:p>
            <w:pPr>
              <w:pStyle w:val="Body"/>
              <w:pBdr/>
              <w:spacing w:lineRule="auto" w:line="240" w:before="120" w:after="120"/>
              <w:ind w:left="0" w:right="261" w:hanging="0"/>
              <w:rPr>
                <w:rFonts w:eastAsia="Calibri"/>
                <w:b/>
                <w:b/>
                <w:bCs/>
                <w:iCs/>
              </w:rPr>
            </w:pPr>
            <w:r>
              <w:rPr>
                <w:rFonts w:eastAsia="Calibri"/>
                <w:b/>
                <w:bCs/>
                <w:iCs/>
              </w:rPr>
              <w:t>Business Area:</w:t>
            </w:r>
          </w:p>
        </w:tc>
        <w:tc>
          <w:tcPr>
            <w:tcW w:w="2829"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
              <w:pBdr/>
              <w:spacing w:lineRule="auto" w:line="240" w:before="120" w:after="120"/>
              <w:ind w:left="0" w:right="261" w:hanging="0"/>
              <w:rPr>
                <w:rFonts w:eastAsia="Calibri"/>
                <w:bCs/>
                <w:iCs/>
              </w:rPr>
            </w:pPr>
            <w:r>
              <w:rPr>
                <w:rFonts w:eastAsia="Calibri"/>
                <w:bCs/>
                <w:iCs/>
              </w:rPr>
              <w:t>Place</w:t>
            </w:r>
          </w:p>
        </w:tc>
      </w:tr>
    </w:tbl>
    <w:p>
      <w:pPr>
        <w:pStyle w:val="Body"/>
        <w:ind w:left="0" w:right="261" w:hanging="0"/>
        <w:jc w:val="both"/>
        <w:rPr>
          <w:rFonts w:eastAsia="Calibri"/>
          <w:b/>
          <w:b/>
          <w:bCs/>
          <w:iCs/>
        </w:rPr>
      </w:pPr>
      <w:r>
        <w:rPr>
          <w:rFonts w:eastAsia="Calibri"/>
          <w:b/>
          <w:bCs/>
          <w:iCs/>
        </w:rPr>
      </w:r>
    </w:p>
    <w:tbl>
      <w:tblPr>
        <w:tblW w:w="10371" w:type="dxa"/>
        <w:jc w:val="center"/>
        <w:tblInd w:w="0" w:type="dxa"/>
        <w:tblCellMar>
          <w:top w:w="80" w:type="dxa"/>
          <w:left w:w="80" w:type="dxa"/>
          <w:bottom w:w="80" w:type="dxa"/>
          <w:right w:w="80" w:type="dxa"/>
        </w:tblCellMar>
      </w:tblPr>
      <w:tblGrid>
        <w:gridCol w:w="10371"/>
      </w:tblGrid>
      <w:tr>
        <w:trPr>
          <w:trHeight w:val="180" w:hRule="atLeast"/>
        </w:trPr>
        <w:tc>
          <w:tcPr>
            <w:tcW w:w="10371" w:type="dxa"/>
            <w:tcBorders>
              <w:top w:val="single" w:sz="6" w:space="0" w:color="000000"/>
              <w:left w:val="single" w:sz="6" w:space="0" w:color="0000FF"/>
              <w:right w:val="single" w:sz="6" w:space="0" w:color="0000FF"/>
            </w:tcBorders>
            <w:shd w:fill="000000" w:val="clear"/>
            <w:vAlign w:val="center"/>
          </w:tcPr>
          <w:p>
            <w:pPr>
              <w:pStyle w:val="Heading3"/>
              <w:ind w:left="0" w:right="261" w:hanging="0"/>
              <w:rPr>
                <w:rFonts w:eastAsia="Calibri"/>
                <w:sz w:val="22"/>
                <w:szCs w:val="22"/>
                <w:lang w:val="en-GB"/>
              </w:rPr>
            </w:pPr>
            <w:r>
              <w:rPr>
                <w:rFonts w:eastAsia="Calibri"/>
                <w:sz w:val="22"/>
                <w:szCs w:val="22"/>
                <w:lang w:val="en-GB"/>
              </w:rPr>
              <w:t>JOB PURPOSE</w:t>
            </w:r>
          </w:p>
        </w:tc>
      </w:tr>
      <w:tr>
        <w:trPr>
          <w:trHeight w:val="793" w:hRule="atLeast"/>
        </w:trPr>
        <w:tc>
          <w:tcPr>
            <w:tcW w:w="10371" w:type="dxa"/>
            <w:tcBorders>
              <w:left w:val="single" w:sz="6" w:space="0" w:color="000000"/>
              <w:bottom w:val="single" w:sz="4" w:space="0" w:color="000000"/>
              <w:right w:val="single" w:sz="6" w:space="0" w:color="000000"/>
            </w:tcBorders>
            <w:shd w:fill="auto" w:val="clear"/>
            <w:vAlign w:val="center"/>
          </w:tcPr>
          <w:p>
            <w:pPr>
              <w:pStyle w:val="Normal"/>
              <w:pBdr/>
              <w:jc w:val="both"/>
              <w:rPr>
                <w:rFonts w:ascii="Arial" w:hAnsi="Arial" w:cs="Arial"/>
                <w:b/>
                <w:b/>
                <w:bCs/>
                <w:color w:val="000000"/>
                <w:sz w:val="22"/>
                <w:szCs w:val="22"/>
              </w:rPr>
            </w:pPr>
            <w:r>
              <w:rPr>
                <w:rFonts w:cs="Arial" w:ascii="Arial" w:hAnsi="Arial"/>
                <w:b/>
                <w:bCs/>
                <w:color w:val="000000"/>
                <w:sz w:val="22"/>
                <w:szCs w:val="22"/>
              </w:rPr>
              <w:t>Overall:</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The Natural Environment Team has an exciting opportunity for a Project Manager to play a pivotal role in translating and applying GMCA’s strategic priorities into delivery. This will be through a range of projects, including the establishment and operation of the Greater Manchester Offsite Biodiversity Net Gain (BNG) Responsible Body Service, as well as other projects related to nature recovery and integrated water management. </w:t>
            </w:r>
          </w:p>
          <w:p>
            <w:pPr>
              <w:pStyle w:val="Normal"/>
              <w:pBdr/>
              <w:jc w:val="both"/>
              <w:rPr>
                <w:rFonts w:ascii="Arial" w:hAnsi="Arial" w:cs="Arial"/>
                <w:color w:val="000000"/>
                <w:sz w:val="22"/>
                <w:szCs w:val="22"/>
              </w:rPr>
            </w:pPr>
            <w:r>
              <w:rPr>
                <w:rFonts w:cs="Arial" w:ascii="Arial" w:hAnsi="Arial"/>
                <w:color w:val="000000"/>
                <w:sz w:val="22"/>
                <w:szCs w:val="22"/>
              </w:rPr>
            </w:r>
          </w:p>
          <w:p>
            <w:pPr>
              <w:pStyle w:val="Normal"/>
              <w:pBdr/>
              <w:jc w:val="both"/>
              <w:rPr>
                <w:rFonts w:ascii="Arial" w:hAnsi="Arial" w:cs="Arial"/>
                <w:b/>
                <w:b/>
                <w:bCs/>
                <w:color w:val="000000"/>
                <w:sz w:val="22"/>
                <w:szCs w:val="22"/>
              </w:rPr>
            </w:pPr>
            <w:r>
              <w:rPr>
                <w:rFonts w:cs="Arial" w:ascii="Arial" w:hAnsi="Arial"/>
                <w:b/>
                <w:bCs/>
                <w:color w:val="000000"/>
                <w:sz w:val="22"/>
                <w:szCs w:val="22"/>
              </w:rPr>
              <w:t xml:space="preserve">About the opportunity: </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This is a key delivery role responsible for project management across the project lifecycle, from scoping and development, through to implementation and delivery. </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For the Offsite Responsible Body Service, the postholder will take the service from mobilisation through to full implementation and ongoing delivery. The post holder will lead and manage multiple interdependent workstreams to ensure the service is effectively commissioned, implemented and operated across Greater Manchester. The role requires working flexibly, with initiative and at pace, to design and deliver a complex, multi-partner service that supports local authorities to bring forward and manage off-site BNG provision. This includes establishing governance, operating models and processes, while ensuring robust performance management, reporting, and continuous improvement.</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For other projects, the postholder will also take projects through from scoping and development, through to managing their delivery and implementation. </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t>Across all projects, the postholder will work collaboratively with local authorities, government bodies, delivery partners, landowners, developers, and others, and will be responsible for the full project and service lifecycle. This includes developing delivery plans, leading commissioning activity, managing budgets, and ensuring delivery to agreed outcomes, quality standards, timescales, and value for money.</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The postholder will also develop and utilise research and analytical insight to build the evidence base for nature recovery and integrated water management delivery, contributing to GMCA’s wider strategic objectives and influencing future policy and programme development. </w:t>
            </w:r>
          </w:p>
          <w:p>
            <w:pPr>
              <w:pStyle w:val="Normal"/>
              <w:jc w:val="both"/>
              <w:rPr>
                <w:rFonts w:ascii="Arial" w:hAnsi="Arial" w:eastAsia="Arial" w:cs="Arial"/>
                <w:color w:val="000000"/>
                <w:sz w:val="22"/>
                <w:szCs w:val="22"/>
              </w:rPr>
            </w:pPr>
            <w:r>
              <w:rPr>
                <w:rFonts w:eastAsia="Arial" w:cs="Arial" w:ascii="Arial" w:hAnsi="Arial"/>
                <w:color w:val="000000"/>
                <w:sz w:val="22"/>
                <w:szCs w:val="22"/>
              </w:rPr>
              <w:t xml:space="preserve"> </w:t>
            </w:r>
          </w:p>
          <w:p>
            <w:pPr>
              <w:pStyle w:val="Normal"/>
              <w:jc w:val="both"/>
              <w:rPr>
                <w:rFonts w:ascii="Arial" w:hAnsi="Arial" w:eastAsia="Arial" w:cs="Arial"/>
                <w:color w:val="000000"/>
                <w:sz w:val="22"/>
                <w:szCs w:val="22"/>
              </w:rPr>
            </w:pPr>
            <w:r>
              <w:rPr>
                <w:rFonts w:eastAsia="Arial" w:cs="Arial" w:ascii="Arial" w:hAnsi="Arial"/>
                <w:color w:val="000000"/>
                <w:sz w:val="22"/>
                <w:szCs w:val="22"/>
              </w:rPr>
              <w:t>The postholder will manage multiple programmes of work in parallel, think strategically, anticipate and resolve complex issues, and make informed decisions autonomously in a fast-paced and evolving delivery environment.</w:t>
            </w:r>
          </w:p>
          <w:p>
            <w:pPr>
              <w:pStyle w:val="Normal"/>
              <w:pBdr/>
              <w:jc w:val="both"/>
              <w:rPr>
                <w:rFonts w:ascii="Arial" w:hAnsi="Arial" w:cs="Arial"/>
                <w:color w:val="000000"/>
                <w:sz w:val="22"/>
                <w:szCs w:val="22"/>
              </w:rPr>
            </w:pPr>
            <w:r>
              <w:rPr>
                <w:rFonts w:cs="Arial" w:ascii="Arial" w:hAnsi="Arial"/>
                <w:color w:val="000000"/>
                <w:sz w:val="22"/>
                <w:szCs w:val="22"/>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66" w:type="dxa"/>
        <w:jc w:val="center"/>
        <w:tblInd w:w="0" w:type="dxa"/>
        <w:tblCellMar>
          <w:top w:w="80" w:type="dxa"/>
          <w:left w:w="80" w:type="dxa"/>
          <w:bottom w:w="80" w:type="dxa"/>
          <w:right w:w="80" w:type="dxa"/>
        </w:tblCellMar>
      </w:tblPr>
      <w:tblGrid>
        <w:gridCol w:w="10366"/>
      </w:tblGrid>
      <w:tr>
        <w:trPr>
          <w:trHeight w:val="478" w:hRule="atLeast"/>
        </w:trPr>
        <w:tc>
          <w:tcPr>
            <w:tcW w:w="103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pBdr/>
              <w:ind w:left="0" w:right="261" w:hanging="0"/>
              <w:rPr>
                <w:rFonts w:eastAsia="Calibri"/>
                <w:b/>
                <w:b/>
                <w:bCs/>
                <w:color w:val="FFFFFF"/>
                <w:u w:val="none" w:color="FFFFFF"/>
              </w:rPr>
            </w:pPr>
            <w:r>
              <w:rPr>
                <w:rFonts w:eastAsia="Calibri"/>
                <w:b/>
                <w:bCs/>
                <w:color w:val="FFFFFF"/>
                <w:u w:val="none" w:color="FFFFFF"/>
              </w:rPr>
              <w:t>KEY RELATIONSHIPS</w:t>
            </w:r>
          </w:p>
          <w:p>
            <w:pPr>
              <w:pStyle w:val="Body"/>
              <w:pBdr/>
              <w:ind w:left="0" w:right="261" w:hanging="0"/>
              <w:rPr>
                <w:b/>
                <w:b/>
                <w:bCs/>
                <w:color w:val="FFFFFF"/>
                <w:u w:val="none" w:color="FFFFFF"/>
              </w:rPr>
            </w:pPr>
            <w:r>
              <w:rPr>
                <w:b/>
                <w:bCs/>
                <w:color w:val="FFFFFF"/>
                <w:u w:val="none" w:color="FFFFFF"/>
              </w:rPr>
              <w:t>KEY RELATIONSHIPS</w:t>
            </w:r>
          </w:p>
        </w:tc>
      </w:tr>
      <w:tr>
        <w:trPr>
          <w:trHeight w:val="1201" w:hRule="atLeast"/>
        </w:trPr>
        <w:tc>
          <w:tcPr>
            <w:tcW w:w="10366"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ListParagraph"/>
              <w:numPr>
                <w:ilvl w:val="0"/>
                <w:numId w:val="3"/>
              </w:numPr>
              <w:ind w:left="360" w:right="261" w:hanging="360"/>
              <w:rPr>
                <w:color w:val="000000"/>
                <w:lang w:val="en-GB"/>
              </w:rPr>
            </w:pPr>
            <w:r>
              <w:rPr>
                <w:color w:val="000000"/>
                <w:lang w:val="en-GB"/>
              </w:rPr>
              <w:t xml:space="preserve">GMCA Environment Directorate and internal teams (legal, finance, procurement, governance, communications, data/information governance) </w:t>
            </w:r>
          </w:p>
          <w:p>
            <w:pPr>
              <w:pStyle w:val="ListParagraph"/>
              <w:numPr>
                <w:ilvl w:val="0"/>
                <w:numId w:val="3"/>
              </w:numPr>
              <w:pBdr/>
              <w:ind w:left="360" w:right="261" w:hanging="360"/>
              <w:rPr>
                <w:color w:val="000000"/>
                <w:lang w:val="en-GB"/>
              </w:rPr>
            </w:pPr>
            <w:r>
              <w:rPr>
                <w:color w:val="000000"/>
                <w:lang w:val="en-GB"/>
              </w:rPr>
              <w:t xml:space="preserve">The 10 Greater Manchester local authorities (planning, ecology, BNG leads) </w:t>
            </w:r>
          </w:p>
          <w:p>
            <w:pPr>
              <w:pStyle w:val="ListParagraph"/>
              <w:numPr>
                <w:ilvl w:val="0"/>
                <w:numId w:val="3"/>
              </w:numPr>
              <w:pBdr/>
              <w:ind w:left="360" w:right="261" w:hanging="360"/>
              <w:rPr>
                <w:color w:val="000000"/>
                <w:lang w:val="en-GB"/>
              </w:rPr>
            </w:pPr>
            <w:r>
              <w:rPr>
                <w:color w:val="000000"/>
                <w:lang w:val="en-GB"/>
              </w:rPr>
              <w:t xml:space="preserve">Delivery partners and suppliers supporting service design and operation </w:t>
            </w:r>
          </w:p>
          <w:p>
            <w:pPr>
              <w:pStyle w:val="ListParagraph"/>
              <w:numPr>
                <w:ilvl w:val="0"/>
                <w:numId w:val="3"/>
              </w:numPr>
              <w:pBdr/>
              <w:ind w:left="360" w:right="261" w:hanging="360"/>
              <w:rPr>
                <w:color w:val="000000"/>
                <w:lang w:val="en-GB"/>
              </w:rPr>
            </w:pPr>
            <w:r>
              <w:rPr>
                <w:color w:val="000000"/>
                <w:lang w:val="en-GB"/>
              </w:rPr>
              <w:t xml:space="preserve">Developers, landowners and land managers </w:t>
            </w:r>
          </w:p>
          <w:p>
            <w:pPr>
              <w:pStyle w:val="ListParagraph"/>
              <w:numPr>
                <w:ilvl w:val="0"/>
                <w:numId w:val="3"/>
              </w:numPr>
              <w:pBdr/>
              <w:ind w:left="360" w:right="261" w:hanging="360"/>
              <w:rPr>
                <w:color w:val="000000"/>
                <w:lang w:val="en-GB"/>
              </w:rPr>
            </w:pPr>
            <w:r>
              <w:rPr>
                <w:color w:val="000000"/>
                <w:lang w:val="en-GB"/>
              </w:rPr>
              <w:t>Statutory bodies and sector organisations (e.g. Natural England)</w:t>
            </w:r>
          </w:p>
          <w:p>
            <w:pPr>
              <w:pStyle w:val="ListParagraph"/>
              <w:numPr>
                <w:ilvl w:val="0"/>
                <w:numId w:val="3"/>
              </w:numPr>
              <w:pBdr/>
              <w:ind w:left="360" w:right="261" w:hanging="360"/>
              <w:rPr>
                <w:color w:val="000000"/>
              </w:rPr>
            </w:pPr>
            <w:r>
              <w:rPr>
                <w:color w:val="000000"/>
              </w:rPr>
              <w:t>Voluntary, Community, Faith and Social Enterprise (VCSFE) organisations, particularly those in environmental sector</w:t>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401" w:type="dxa"/>
        <w:jc w:val="center"/>
        <w:tblInd w:w="0" w:type="dxa"/>
        <w:tblCellMar>
          <w:top w:w="80" w:type="dxa"/>
          <w:left w:w="80" w:type="dxa"/>
          <w:bottom w:w="80" w:type="dxa"/>
          <w:right w:w="80" w:type="dxa"/>
        </w:tblCellMar>
      </w:tblPr>
      <w:tblGrid>
        <w:gridCol w:w="10401"/>
      </w:tblGrid>
      <w:tr>
        <w:trPr>
          <w:trHeight w:val="479" w:hRule="atLeast"/>
        </w:trPr>
        <w:tc>
          <w:tcPr>
            <w:tcW w:w="10401" w:type="dxa"/>
            <w:tcBorders>
              <w:top w:val="single" w:sz="6" w:space="0" w:color="000000"/>
              <w:left w:val="single" w:sz="6" w:space="0" w:color="000000"/>
              <w:right w:val="single" w:sz="6" w:space="0" w:color="000000"/>
            </w:tcBorders>
            <w:shd w:fill="000000" w:val="clear"/>
            <w:vAlign w:val="center"/>
          </w:tcPr>
          <w:p>
            <w:pPr>
              <w:pStyle w:val="Body"/>
              <w:ind w:left="0" w:right="261" w:hanging="0"/>
              <w:rPr>
                <w:rFonts w:eastAsia="Calibri"/>
                <w:b/>
                <w:b/>
                <w:bCs/>
                <w:color w:val="FFFFFF"/>
                <w:u w:val="none" w:color="FFFFFF"/>
              </w:rPr>
            </w:pPr>
            <w:r>
              <w:rPr>
                <w:rFonts w:eastAsia="Calibri"/>
                <w:b/>
                <w:bCs/>
                <w:color w:val="FFFFFF"/>
                <w:u w:val="none" w:color="FFFFFF"/>
              </w:rPr>
              <w:t xml:space="preserve">KEY RESPONSIBILITIES </w:t>
            </w:r>
          </w:p>
        </w:tc>
      </w:tr>
      <w:tr>
        <w:trPr>
          <w:trHeight w:val="739" w:hRule="atLeast"/>
        </w:trPr>
        <w:tc>
          <w:tcPr>
            <w:tcW w:w="10401" w:type="dxa"/>
            <w:tcBorders>
              <w:left w:val="single" w:sz="4" w:space="0" w:color="000000"/>
              <w:right w:val="single" w:sz="6" w:space="0" w:color="000000"/>
            </w:tcBorders>
            <w:shd w:fill="auto" w:val="clear"/>
            <w:vAlign w:val="center"/>
          </w:tcPr>
          <w:p>
            <w:pPr>
              <w:pStyle w:val="ListParagraph"/>
              <w:numPr>
                <w:ilvl w:val="0"/>
                <w:numId w:val="5"/>
              </w:numPr>
              <w:spacing w:before="240" w:after="0"/>
              <w:rPr>
                <w:color w:val="000000"/>
                <w:lang w:val="en-GB"/>
              </w:rPr>
            </w:pPr>
            <w:r>
              <w:rPr>
                <w:color w:val="000000"/>
                <w:lang w:val="en-GB"/>
              </w:rPr>
              <w:t>Lead the mobilisation, commissioning, and delivery of the GM Offsite BNG Responsible Body Service, including project initiation, delivery planning, milestones, dependencies, and resourcing.</w:t>
            </w:r>
          </w:p>
          <w:p>
            <w:pPr>
              <w:pStyle w:val="ListParagraph"/>
              <w:numPr>
                <w:ilvl w:val="0"/>
                <w:numId w:val="5"/>
              </w:numPr>
              <w:spacing w:before="240" w:after="0"/>
              <w:rPr>
                <w:color w:val="000000"/>
                <w:lang w:val="en-GB"/>
              </w:rPr>
            </w:pPr>
            <w:r>
              <w:rPr>
                <w:color w:val="000000"/>
                <w:lang w:val="en-GB"/>
              </w:rPr>
              <w:t xml:space="preserve">Lead the scoping, development and delivery of other nature recovery and integrated water management projects. </w:t>
            </w:r>
          </w:p>
          <w:p>
            <w:pPr>
              <w:pStyle w:val="ListParagraph"/>
              <w:numPr>
                <w:ilvl w:val="0"/>
                <w:numId w:val="5"/>
              </w:numPr>
              <w:spacing w:before="240" w:after="0"/>
              <w:rPr>
                <w:color w:val="000000"/>
                <w:lang w:val="en-GB"/>
              </w:rPr>
            </w:pPr>
            <w:r>
              <w:rPr>
                <w:color w:val="000000"/>
                <w:lang w:val="en-GB"/>
              </w:rPr>
              <w:t xml:space="preserve">Translate GMCA strategic priorities (e.g. Greater Manchester Strategy, 5-Year Environment Plan, Local Nature Recovery Strategy) into deliverable programmes and services that support nature recovery, integrated water management and BNG market development. </w:t>
            </w:r>
          </w:p>
          <w:p>
            <w:pPr>
              <w:pStyle w:val="ListParagraph"/>
              <w:numPr>
                <w:ilvl w:val="0"/>
                <w:numId w:val="5"/>
              </w:numPr>
              <w:spacing w:before="240" w:after="0"/>
              <w:rPr>
                <w:color w:val="000000"/>
                <w:lang w:val="en-GB"/>
              </w:rPr>
            </w:pPr>
            <w:r>
              <w:rPr>
                <w:color w:val="000000"/>
                <w:lang w:val="en-GB"/>
              </w:rPr>
              <w:t xml:space="preserve">Lead commissioning activity, including development of service specifications, market engagement, procurement processes, and contract award, ensuring value for money and high-quality outcomes. </w:t>
            </w:r>
          </w:p>
          <w:p>
            <w:pPr>
              <w:pStyle w:val="ListParagraph"/>
              <w:numPr>
                <w:ilvl w:val="0"/>
                <w:numId w:val="5"/>
              </w:numPr>
              <w:spacing w:before="240" w:after="0"/>
              <w:rPr>
                <w:color w:val="000000"/>
                <w:lang w:val="en-GB"/>
              </w:rPr>
            </w:pPr>
            <w:r>
              <w:rPr>
                <w:color w:val="000000"/>
                <w:lang w:val="en-GB"/>
              </w:rPr>
              <w:t xml:space="preserve">Manage all aspects of the project lifecycle, including business case development (where required), mobilisation, delivery, monitoring, and transition to business-as-usual. </w:t>
            </w:r>
          </w:p>
          <w:p>
            <w:pPr>
              <w:pStyle w:val="ListParagraph"/>
              <w:numPr>
                <w:ilvl w:val="0"/>
                <w:numId w:val="5"/>
              </w:numPr>
              <w:spacing w:before="240" w:after="0"/>
              <w:rPr>
                <w:color w:val="000000"/>
                <w:lang w:val="en-GB"/>
              </w:rPr>
            </w:pPr>
            <w:r>
              <w:rPr>
                <w:color w:val="000000"/>
                <w:lang w:val="en-GB"/>
              </w:rPr>
              <w:t xml:space="preserve">Develop and maintain service operating procedures, governance processes, and end-to-end delivery frameworks (including intake, monitoring, reporting, and escalation). </w:t>
            </w:r>
          </w:p>
          <w:p>
            <w:pPr>
              <w:pStyle w:val="ListParagraph"/>
              <w:numPr>
                <w:ilvl w:val="0"/>
                <w:numId w:val="5"/>
              </w:numPr>
              <w:spacing w:before="240" w:after="0"/>
              <w:rPr>
                <w:color w:val="000000"/>
                <w:lang w:val="en-GB"/>
              </w:rPr>
            </w:pPr>
            <w:r>
              <w:rPr>
                <w:color w:val="000000"/>
                <w:lang w:val="en-GB"/>
              </w:rPr>
              <w:t xml:space="preserve">Coordinate delivery across multiple partners and stakeholders, ensuring clarity of roles, responsibilities, and decision-making arrangements. </w:t>
            </w:r>
          </w:p>
          <w:p>
            <w:pPr>
              <w:pStyle w:val="ListParagraph"/>
              <w:numPr>
                <w:ilvl w:val="0"/>
                <w:numId w:val="5"/>
              </w:numPr>
              <w:spacing w:before="240" w:after="0"/>
              <w:rPr>
                <w:color w:val="000000"/>
                <w:lang w:val="en-GB"/>
              </w:rPr>
            </w:pPr>
            <w:r>
              <w:rPr>
                <w:color w:val="000000"/>
                <w:lang w:val="en-GB"/>
              </w:rPr>
              <w:t xml:space="preserve">Manage budgets, including forecasting, monitoring expenditure, and ensuring compliance with funding and governance requirements. </w:t>
            </w:r>
          </w:p>
          <w:p>
            <w:pPr>
              <w:pStyle w:val="ListParagraph"/>
              <w:numPr>
                <w:ilvl w:val="0"/>
                <w:numId w:val="5"/>
              </w:numPr>
              <w:spacing w:before="240" w:after="0"/>
              <w:rPr>
                <w:color w:val="000000"/>
                <w:lang w:val="en-GB"/>
              </w:rPr>
            </w:pPr>
            <w:r>
              <w:rPr>
                <w:color w:val="000000"/>
                <w:lang w:val="en-GB"/>
              </w:rPr>
              <w:t xml:space="preserve">Oversee service performance, including defining and tracking KPIs and SLAs, maintaining risk and issue logs, and producing high-quality performance reporting. </w:t>
            </w:r>
          </w:p>
          <w:p>
            <w:pPr>
              <w:pStyle w:val="ListParagraph"/>
              <w:numPr>
                <w:ilvl w:val="0"/>
                <w:numId w:val="5"/>
              </w:numPr>
              <w:spacing w:before="240" w:after="0"/>
              <w:rPr>
                <w:color w:val="000000"/>
                <w:lang w:val="en-GB"/>
              </w:rPr>
            </w:pPr>
            <w:r>
              <w:rPr>
                <w:color w:val="000000"/>
                <w:lang w:val="en-GB"/>
              </w:rPr>
              <w:t xml:space="preserve">Develop and apply an evidence base to support delivery, including analysis of policy, market conditions, and service performance data, and use this to inform continuous improvement. </w:t>
            </w:r>
          </w:p>
          <w:p>
            <w:pPr>
              <w:pStyle w:val="ListParagraph"/>
              <w:numPr>
                <w:ilvl w:val="0"/>
                <w:numId w:val="5"/>
              </w:numPr>
              <w:spacing w:before="240" w:after="0"/>
              <w:rPr>
                <w:color w:val="000000"/>
                <w:lang w:val="en-GB"/>
              </w:rPr>
            </w:pPr>
            <w:r>
              <w:rPr>
                <w:color w:val="000000"/>
                <w:lang w:val="en-GB"/>
              </w:rPr>
              <w:t xml:space="preserve">Produce high-quality reports, business cases, and briefing papers for governance boards and senior leaders, translating complex information into clear recommendations. </w:t>
            </w:r>
          </w:p>
          <w:p>
            <w:pPr>
              <w:pStyle w:val="ListParagraph"/>
              <w:numPr>
                <w:ilvl w:val="0"/>
                <w:numId w:val="5"/>
              </w:numPr>
              <w:spacing w:before="240" w:after="0"/>
              <w:rPr>
                <w:color w:val="000000"/>
                <w:lang w:val="en-GB"/>
              </w:rPr>
            </w:pPr>
            <w:r>
              <w:rPr>
                <w:color w:val="000000"/>
                <w:lang w:val="en-GB"/>
              </w:rPr>
              <w:t xml:space="preserve">Identify risks and issues, implement mitigation strategies, and escalate appropriately to ensure delivery remains on track. </w:t>
            </w:r>
          </w:p>
          <w:p>
            <w:pPr>
              <w:pStyle w:val="ListParagraph"/>
              <w:numPr>
                <w:ilvl w:val="0"/>
                <w:numId w:val="5"/>
              </w:numPr>
              <w:spacing w:before="240" w:after="0"/>
              <w:rPr>
                <w:color w:val="000000"/>
                <w:lang w:val="en-GB"/>
              </w:rPr>
            </w:pPr>
            <w:r>
              <w:rPr>
                <w:color w:val="000000"/>
                <w:lang w:val="en-GB"/>
              </w:rPr>
              <w:t xml:space="preserve">Ensure effective stakeholder engagement, influencing and aligning partners to deliver shared objectives. </w:t>
            </w:r>
          </w:p>
          <w:p>
            <w:pPr>
              <w:pStyle w:val="ListParagraph"/>
              <w:numPr>
                <w:ilvl w:val="0"/>
                <w:numId w:val="5"/>
              </w:numPr>
              <w:spacing w:before="240" w:after="0"/>
              <w:rPr>
                <w:color w:val="000000"/>
                <w:lang w:val="en-GB"/>
              </w:rPr>
            </w:pPr>
            <w:r>
              <w:rPr>
                <w:color w:val="000000"/>
                <w:lang w:val="en-GB"/>
              </w:rPr>
              <w:t xml:space="preserve">Ensure appropriate records management, audit trails, and compliance with governance, data protection, and information security requirements. </w:t>
            </w:r>
          </w:p>
          <w:p>
            <w:pPr>
              <w:pStyle w:val="ListParagraph"/>
              <w:numPr>
                <w:ilvl w:val="0"/>
                <w:numId w:val="5"/>
              </w:numPr>
              <w:spacing w:before="240" w:after="0"/>
              <w:rPr>
                <w:color w:val="000000"/>
                <w:lang w:val="en-GB"/>
              </w:rPr>
            </w:pPr>
            <w:r>
              <w:rPr>
                <w:color w:val="000000"/>
                <w:lang w:val="en-GB"/>
              </w:rPr>
              <w:t xml:space="preserve">Work collaboratively with communications teams to provide clear guidance and information to stakeholders. </w:t>
            </w:r>
          </w:p>
          <w:p>
            <w:pPr>
              <w:pStyle w:val="ListParagraph"/>
              <w:numPr>
                <w:ilvl w:val="0"/>
                <w:numId w:val="5"/>
              </w:numPr>
              <w:spacing w:before="240" w:after="0"/>
              <w:rPr>
                <w:color w:val="000000"/>
                <w:lang w:val="en-GB"/>
              </w:rPr>
            </w:pPr>
            <w:r>
              <w:rPr>
                <w:color w:val="000000"/>
                <w:lang w:val="en-GB"/>
              </w:rPr>
              <w:t>Identify and implement opportunities to improve service efficiency, consistency, and impact.</w:t>
            </w:r>
          </w:p>
          <w:p>
            <w:pPr>
              <w:pStyle w:val="Normal"/>
              <w:pBdr/>
              <w:spacing w:before="240" w:after="0"/>
              <w:jc w:val="both"/>
              <w:rPr>
                <w:rFonts w:ascii="Arial" w:hAnsi="Arial" w:cs="Arial"/>
                <w:b/>
                <w:b/>
                <w:bCs/>
                <w:color w:val="000000"/>
                <w:sz w:val="22"/>
                <w:szCs w:val="22"/>
                <w:lang w:val="en-GB"/>
              </w:rPr>
            </w:pPr>
            <w:r>
              <w:rPr>
                <w:rFonts w:cs="Arial" w:ascii="Arial" w:hAnsi="Arial"/>
                <w:b/>
                <w:bCs/>
                <w:color w:val="000000"/>
                <w:sz w:val="22"/>
                <w:szCs w:val="22"/>
                <w:lang w:val="en-GB"/>
              </w:rPr>
              <w:t>General</w:t>
            </w:r>
          </w:p>
          <w:p>
            <w:pPr>
              <w:pStyle w:val="ListParagraph"/>
              <w:numPr>
                <w:ilvl w:val="0"/>
                <w:numId w:val="2"/>
              </w:numPr>
              <w:rPr>
                <w:color w:val="000000"/>
              </w:rPr>
            </w:pPr>
            <w:r>
              <w:rPr>
                <w:color w:val="000000"/>
              </w:rPr>
              <w:t xml:space="preserve">Ensure compliance with cyber and information security legislation. </w:t>
            </w:r>
          </w:p>
          <w:p>
            <w:pPr>
              <w:pStyle w:val="ListParagraph"/>
              <w:numPr>
                <w:ilvl w:val="0"/>
                <w:numId w:val="2"/>
              </w:numPr>
              <w:rPr>
                <w:color w:val="000000"/>
              </w:rPr>
            </w:pPr>
            <w:r>
              <w:rPr>
                <w:color w:val="000000"/>
              </w:rPr>
              <w:t xml:space="preserve">Demonstrate commitment to equality, diversity, and inclusion in all aspects of delivery. </w:t>
            </w:r>
          </w:p>
          <w:p>
            <w:pPr>
              <w:pStyle w:val="ListParagraph"/>
              <w:numPr>
                <w:ilvl w:val="0"/>
                <w:numId w:val="2"/>
              </w:numPr>
              <w:rPr>
                <w:color w:val="000000"/>
              </w:rPr>
            </w:pPr>
            <w:r>
              <w:rPr>
                <w:color w:val="000000"/>
              </w:rPr>
              <w:t>Undertake any other duties appropriate to the role.</w:t>
            </w:r>
          </w:p>
          <w:p>
            <w:pPr>
              <w:pStyle w:val="Normal"/>
              <w:spacing w:before="240" w:after="0"/>
              <w:rPr/>
            </w:pPr>
            <w:r>
              <w:rPr>
                <w:rFonts w:eastAsia="Arial" w:cs="Arial" w:ascii="Arial" w:hAnsi="Arial"/>
                <w:b/>
                <w:bCs/>
                <w:color w:val="000000"/>
                <w:sz w:val="22"/>
                <w:szCs w:val="22"/>
              </w:rPr>
              <w:t xml:space="preserve">NB: </w:t>
            </w:r>
            <w:r>
              <w:rPr>
                <w:rFonts w:eastAsia="Arial" w:cs="Arial" w:ascii="Arial" w:hAnsi="Arial"/>
                <w:color w:val="000000"/>
                <w:sz w:val="22"/>
                <w:szCs w:val="22"/>
              </w:rPr>
              <w:t>This list of duties and responsibilities is by no means exhaustive, and the post holder may be required to undertake other relevant and appropriate duties as required.</w:t>
            </w:r>
          </w:p>
        </w:tc>
      </w:tr>
      <w:tr>
        <w:trPr>
          <w:trHeight w:val="23" w:hRule="atLeast"/>
        </w:trPr>
        <w:tc>
          <w:tcPr>
            <w:tcW w:w="10401" w:type="dxa"/>
            <w:tcBorders>
              <w:left w:val="single" w:sz="4" w:space="0" w:color="000000"/>
              <w:bottom w:val="single" w:sz="4" w:space="0" w:color="000000"/>
              <w:right w:val="single" w:sz="6" w:space="0" w:color="000000"/>
            </w:tcBorders>
            <w:shd w:fill="auto" w:val="clear"/>
            <w:vAlign w:val="center"/>
          </w:tcPr>
          <w:p>
            <w:pPr>
              <w:pStyle w:val="Normal"/>
              <w:pBdr/>
              <w:snapToGrid w:val="false"/>
              <w:jc w:val="both"/>
              <w:rPr>
                <w:rFonts w:ascii="Arial" w:hAnsi="Arial" w:cs="Arial"/>
                <w:sz w:val="22"/>
                <w:szCs w:val="22"/>
                <w:lang w:val="en-GB"/>
              </w:rPr>
            </w:pPr>
            <w:r>
              <w:rPr>
                <w:rFonts w:cs="Arial" w:ascii="Arial" w:hAnsi="Arial"/>
                <w:sz w:val="22"/>
                <w:szCs w:val="22"/>
                <w:lang w:val="en-GB"/>
              </w:rPr>
            </w:r>
          </w:p>
        </w:tc>
      </w:tr>
    </w:tbl>
    <w:p>
      <w:pPr>
        <w:pStyle w:val="Body"/>
        <w:ind w:left="-567" w:right="261" w:hanging="0"/>
        <w:rPr>
          <w:rFonts w:eastAsia="Calibri"/>
          <w:b/>
          <w:b/>
          <w:bCs/>
          <w:iCs/>
        </w:rPr>
      </w:pPr>
      <w:r>
        <w:rPr>
          <w:rFonts w:eastAsia="Calibri"/>
          <w:b/>
          <w:bCs/>
          <w:iCs/>
        </w:rPr>
      </w:r>
    </w:p>
    <w:p>
      <w:pPr>
        <w:pStyle w:val="Body"/>
        <w:ind w:left="-567" w:right="261" w:hanging="0"/>
        <w:rPr>
          <w:rFonts w:eastAsia="Calibri"/>
          <w:b/>
          <w:b/>
          <w:bCs/>
          <w:iCs/>
        </w:rPr>
      </w:pPr>
      <w:r>
        <w:rPr>
          <w:rFonts w:eastAsia="Calibri"/>
          <w:b/>
          <w:bCs/>
          <w:iCs/>
        </w:rPr>
      </w:r>
    </w:p>
    <w:tbl>
      <w:tblPr>
        <w:tblW w:w="10359" w:type="dxa"/>
        <w:jc w:val="center"/>
        <w:tblInd w:w="0" w:type="dxa"/>
        <w:tblCellMar>
          <w:top w:w="80" w:type="dxa"/>
          <w:left w:w="80" w:type="dxa"/>
          <w:bottom w:w="80" w:type="dxa"/>
          <w:right w:w="80" w:type="dxa"/>
        </w:tblCellMar>
      </w:tblPr>
      <w:tblGrid>
        <w:gridCol w:w="10359"/>
      </w:tblGrid>
      <w:tr>
        <w:trPr>
          <w:trHeight w:val="180" w:hRule="atLeast"/>
        </w:trPr>
        <w:tc>
          <w:tcPr>
            <w:tcW w:w="10359" w:type="dxa"/>
            <w:tcBorders>
              <w:top w:val="single" w:sz="4" w:space="0" w:color="000000"/>
              <w:left w:val="single" w:sz="4" w:space="0" w:color="000000"/>
              <w:bottom w:val="single" w:sz="4" w:space="0" w:color="000000"/>
              <w:right w:val="single" w:sz="4" w:space="0" w:color="000000"/>
            </w:tcBorders>
            <w:shd w:fill="000000" w:val="clear"/>
            <w:vAlign w:val="center"/>
          </w:tcPr>
          <w:p>
            <w:pPr>
              <w:pStyle w:val="Body"/>
              <w:ind w:left="18" w:right="261" w:hanging="0"/>
              <w:rPr>
                <w:rFonts w:eastAsia="Calibri"/>
                <w:b/>
                <w:b/>
                <w:bCs/>
                <w:color w:val="FFFFFF"/>
                <w:u w:val="none" w:color="FFFFFF"/>
              </w:rPr>
            </w:pPr>
            <w:r>
              <w:rPr>
                <w:rFonts w:eastAsia="Calibri"/>
                <w:b/>
                <w:bCs/>
                <w:color w:val="FFFFFF"/>
                <w:u w:val="none" w:color="FFFFFF"/>
              </w:rPr>
              <w:t>KNOWLEDGE, SKILLS AND EXPERIENCE</w:t>
            </w:r>
          </w:p>
        </w:tc>
      </w:tr>
      <w:tr>
        <w:trPr>
          <w:trHeight w:val="3312" w:hRule="atLeast"/>
        </w:trPr>
        <w:tc>
          <w:tcPr>
            <w:tcW w:w="10359" w:type="dxa"/>
            <w:tcBorders>
              <w:top w:val="single" w:sz="4" w:space="0" w:color="000000"/>
              <w:left w:val="single" w:sz="4" w:space="0" w:color="000000"/>
              <w:bottom w:val="single" w:sz="4" w:space="0" w:color="000000"/>
              <w:right w:val="single" w:sz="4" w:space="0" w:color="000000"/>
            </w:tcBorders>
            <w:shd w:fill="auto" w:val="clear"/>
            <w:tcMar>
              <w:left w:w="363" w:type="dxa"/>
            </w:tcMar>
            <w:vAlign w:val="center"/>
          </w:tcPr>
          <w:p>
            <w:pPr>
              <w:pStyle w:val="Normal"/>
              <w:widowControl w:val="false"/>
              <w:pBdr/>
              <w:spacing w:before="240" w:after="0"/>
              <w:rPr>
                <w:rFonts w:ascii="Arial" w:hAnsi="Arial" w:cs="Arial"/>
                <w:b/>
                <w:b/>
                <w:bCs/>
                <w:sz w:val="22"/>
                <w:szCs w:val="22"/>
              </w:rPr>
            </w:pPr>
            <w:r>
              <w:rPr>
                <w:rFonts w:cs="Arial" w:ascii="Arial" w:hAnsi="Arial"/>
                <w:b/>
                <w:bCs/>
                <w:sz w:val="22"/>
                <w:szCs w:val="22"/>
              </w:rPr>
              <w:t xml:space="preserve">Knowledge &amp; Skills </w:t>
            </w:r>
          </w:p>
          <w:p>
            <w:pPr>
              <w:pStyle w:val="ListParagraph"/>
              <w:widowControl w:val="false"/>
              <w:numPr>
                <w:ilvl w:val="0"/>
                <w:numId w:val="4"/>
              </w:numPr>
              <w:pBdr/>
              <w:spacing w:before="240" w:after="0"/>
              <w:rPr>
                <w:color w:val="000000"/>
              </w:rPr>
            </w:pPr>
            <w:r>
              <w:rPr>
                <w:color w:val="000000"/>
              </w:rPr>
              <w:t xml:space="preserve">Project and programme management: Experience delivering complex, multi-stakeholder initiatives across full project lifecycles. </w:t>
            </w:r>
          </w:p>
          <w:p>
            <w:pPr>
              <w:pStyle w:val="ListParagraph"/>
              <w:numPr>
                <w:ilvl w:val="0"/>
                <w:numId w:val="4"/>
              </w:numPr>
              <w:pBdr/>
              <w:spacing w:before="240" w:after="0"/>
              <w:rPr>
                <w:color w:val="000000"/>
              </w:rPr>
            </w:pPr>
            <w:r>
              <w:rPr>
                <w:color w:val="000000"/>
              </w:rPr>
              <w:t xml:space="preserve">Commissioning and procurement: Ability to develop specifications, lead market engagement, and manage delivery through contracts. </w:t>
            </w:r>
          </w:p>
          <w:p>
            <w:pPr>
              <w:pStyle w:val="ListParagraph"/>
              <w:numPr>
                <w:ilvl w:val="0"/>
                <w:numId w:val="4"/>
              </w:numPr>
              <w:pBdr/>
              <w:spacing w:before="240" w:after="0"/>
              <w:rPr>
                <w:color w:val="000000"/>
              </w:rPr>
            </w:pPr>
            <w:r>
              <w:rPr>
                <w:color w:val="000000"/>
              </w:rPr>
              <w:t xml:space="preserve">Strategic delivery: Ability to translate policy and strategy into practical delivery programmes. </w:t>
            </w:r>
          </w:p>
          <w:p>
            <w:pPr>
              <w:pStyle w:val="ListParagraph"/>
              <w:numPr>
                <w:ilvl w:val="0"/>
                <w:numId w:val="4"/>
              </w:numPr>
              <w:pBdr/>
              <w:spacing w:before="240" w:after="0"/>
              <w:rPr>
                <w:color w:val="000000"/>
              </w:rPr>
            </w:pPr>
            <w:r>
              <w:rPr>
                <w:color w:val="000000"/>
              </w:rPr>
              <w:t xml:space="preserve">Analytical skills: Ability to interpret policy, research, and data to inform decisions and drive delivery improvements. </w:t>
            </w:r>
          </w:p>
          <w:p>
            <w:pPr>
              <w:pStyle w:val="ListParagraph"/>
              <w:numPr>
                <w:ilvl w:val="0"/>
                <w:numId w:val="4"/>
              </w:numPr>
              <w:pBdr/>
              <w:spacing w:before="240" w:after="0"/>
              <w:rPr>
                <w:color w:val="000000"/>
              </w:rPr>
            </w:pPr>
            <w:r>
              <w:rPr>
                <w:color w:val="000000"/>
              </w:rPr>
              <w:t xml:space="preserve">Financial management: Experience managing budgets, funding requirements, and financial reporting. </w:t>
            </w:r>
          </w:p>
          <w:p>
            <w:pPr>
              <w:pStyle w:val="ListParagraph"/>
              <w:numPr>
                <w:ilvl w:val="0"/>
                <w:numId w:val="4"/>
              </w:numPr>
              <w:pBdr/>
              <w:spacing w:before="240" w:after="0"/>
              <w:rPr>
                <w:color w:val="000000"/>
              </w:rPr>
            </w:pPr>
            <w:r>
              <w:rPr>
                <w:color w:val="000000"/>
              </w:rPr>
              <w:t xml:space="preserve">Contract and performance management: Ability to manage delivery against KPIs, SLAs, and contractual requirements. </w:t>
            </w:r>
          </w:p>
          <w:p>
            <w:pPr>
              <w:pStyle w:val="ListParagraph"/>
              <w:numPr>
                <w:ilvl w:val="0"/>
                <w:numId w:val="4"/>
              </w:numPr>
              <w:pBdr/>
              <w:spacing w:before="240" w:after="0"/>
              <w:rPr>
                <w:color w:val="000000"/>
              </w:rPr>
            </w:pPr>
            <w:r>
              <w:rPr>
                <w:color w:val="000000"/>
              </w:rPr>
              <w:t xml:space="preserve">Stakeholder management and influence: Proven ability to build relationships and influence partners across multiple organisations. </w:t>
            </w:r>
          </w:p>
          <w:p>
            <w:pPr>
              <w:pStyle w:val="ListParagraph"/>
              <w:numPr>
                <w:ilvl w:val="0"/>
                <w:numId w:val="4"/>
              </w:numPr>
              <w:pBdr/>
              <w:spacing w:before="240" w:after="0"/>
              <w:rPr>
                <w:color w:val="000000"/>
              </w:rPr>
            </w:pPr>
            <w:r>
              <w:rPr>
                <w:color w:val="000000"/>
              </w:rPr>
              <w:t xml:space="preserve">Communication: Strong written and verbal communication skills, including report writing and presentation to varied audiences. </w:t>
            </w:r>
          </w:p>
          <w:p>
            <w:pPr>
              <w:pStyle w:val="ListParagraph"/>
              <w:numPr>
                <w:ilvl w:val="0"/>
                <w:numId w:val="4"/>
              </w:numPr>
              <w:pBdr/>
              <w:spacing w:before="240" w:after="0"/>
              <w:rPr>
                <w:color w:val="000000"/>
              </w:rPr>
            </w:pPr>
            <w:r>
              <w:rPr>
                <w:color w:val="000000"/>
              </w:rPr>
              <w:t xml:space="preserve">Decision-making: Ability to resolve complex issues and operate confidently with autonomy. </w:t>
            </w:r>
          </w:p>
          <w:p>
            <w:pPr>
              <w:pStyle w:val="ListParagraph"/>
              <w:numPr>
                <w:ilvl w:val="0"/>
                <w:numId w:val="4"/>
              </w:numPr>
              <w:pBdr/>
              <w:spacing w:before="240" w:after="0"/>
              <w:rPr>
                <w:color w:val="000000"/>
              </w:rPr>
            </w:pPr>
            <w:r>
              <w:rPr>
                <w:color w:val="000000"/>
              </w:rPr>
              <w:t>Organisation and planning: Ability to coordinate multiple workstreams and prioritise effectively.   </w:t>
            </w:r>
          </w:p>
          <w:p>
            <w:pPr>
              <w:pStyle w:val="ListParagraph"/>
              <w:widowControl w:val="false"/>
              <w:pBdr/>
              <w:spacing w:before="240" w:after="0"/>
              <w:rPr/>
            </w:pPr>
            <w:r>
              <w:rPr/>
            </w:r>
          </w:p>
          <w:p>
            <w:pPr>
              <w:pStyle w:val="Body"/>
              <w:rPr>
                <w:b/>
                <w:b/>
                <w:bCs/>
                <w:lang w:val="en-US"/>
              </w:rPr>
            </w:pPr>
            <w:r>
              <w:rPr>
                <w:b/>
                <w:bCs/>
                <w:lang w:val="en-US"/>
              </w:rPr>
              <w:t>Experience</w:t>
            </w:r>
          </w:p>
          <w:p>
            <w:pPr>
              <w:pStyle w:val="ListParagraph"/>
              <w:widowControl w:val="false"/>
              <w:numPr>
                <w:ilvl w:val="0"/>
                <w:numId w:val="4"/>
              </w:numPr>
              <w:pBdr/>
              <w:spacing w:before="240" w:after="0"/>
              <w:rPr>
                <w:color w:val="000000"/>
              </w:rPr>
            </w:pPr>
            <w:r>
              <w:rPr>
                <w:color w:val="000000"/>
              </w:rPr>
              <w:t xml:space="preserve">Proven experience managing complex projects or programmes, ideally within a public sector or environmental context. </w:t>
            </w:r>
          </w:p>
          <w:p>
            <w:pPr>
              <w:pStyle w:val="ListParagraph"/>
              <w:numPr>
                <w:ilvl w:val="0"/>
                <w:numId w:val="4"/>
              </w:numPr>
              <w:pBdr/>
              <w:spacing w:before="240" w:after="0"/>
              <w:rPr>
                <w:color w:val="000000"/>
              </w:rPr>
            </w:pPr>
            <w:r>
              <w:rPr>
                <w:color w:val="000000"/>
              </w:rPr>
              <w:t xml:space="preserve">Experience working across multiple organisations and stakeholder groups. </w:t>
            </w:r>
          </w:p>
          <w:p>
            <w:pPr>
              <w:pStyle w:val="ListParagraph"/>
              <w:numPr>
                <w:ilvl w:val="0"/>
                <w:numId w:val="4"/>
              </w:numPr>
              <w:pBdr/>
              <w:spacing w:before="240" w:after="0"/>
              <w:rPr>
                <w:color w:val="000000"/>
              </w:rPr>
            </w:pPr>
            <w:r>
              <w:rPr>
                <w:color w:val="000000"/>
              </w:rPr>
              <w:t xml:space="preserve">Experience of commissioning, procurement, or contract management. </w:t>
            </w:r>
          </w:p>
          <w:p>
            <w:pPr>
              <w:pStyle w:val="ListParagraph"/>
              <w:numPr>
                <w:ilvl w:val="0"/>
                <w:numId w:val="4"/>
              </w:numPr>
              <w:pBdr/>
              <w:spacing w:before="240" w:after="0"/>
              <w:rPr>
                <w:color w:val="000000"/>
              </w:rPr>
            </w:pPr>
            <w:r>
              <w:rPr>
                <w:color w:val="000000"/>
              </w:rPr>
              <w:t xml:space="preserve">Experience producing governance papers, reports, and performance information. </w:t>
            </w:r>
          </w:p>
          <w:p>
            <w:pPr>
              <w:pStyle w:val="ListParagraph"/>
              <w:numPr>
                <w:ilvl w:val="0"/>
                <w:numId w:val="4"/>
              </w:numPr>
              <w:pBdr/>
              <w:spacing w:before="240" w:after="0"/>
              <w:rPr>
                <w:color w:val="000000"/>
              </w:rPr>
            </w:pPr>
            <w:r>
              <w:rPr>
                <w:color w:val="000000"/>
              </w:rPr>
              <w:t xml:space="preserve">Experience managing budgets and financial reporting. </w:t>
            </w:r>
          </w:p>
          <w:p>
            <w:pPr>
              <w:pStyle w:val="ListParagraph"/>
              <w:numPr>
                <w:ilvl w:val="0"/>
                <w:numId w:val="4"/>
              </w:numPr>
              <w:pBdr/>
              <w:spacing w:before="240" w:after="0"/>
              <w:rPr>
                <w:color w:val="000000"/>
              </w:rPr>
            </w:pPr>
            <w:r>
              <w:rPr>
                <w:color w:val="000000"/>
              </w:rPr>
              <w:t xml:space="preserve">Experience working with or influencing policy and programme delivery (desirable). </w:t>
            </w:r>
          </w:p>
          <w:p>
            <w:pPr>
              <w:pStyle w:val="ListParagraph"/>
              <w:numPr>
                <w:ilvl w:val="0"/>
                <w:numId w:val="4"/>
              </w:numPr>
              <w:pBdr/>
              <w:spacing w:before="240" w:after="0"/>
              <w:rPr>
                <w:color w:val="000000"/>
              </w:rPr>
            </w:pPr>
            <w:r>
              <w:rPr>
                <w:color w:val="000000"/>
              </w:rPr>
              <w:t>Knowledge or experience of biodiversity, planning, or environmental delivery (desirable).</w:t>
            </w:r>
          </w:p>
        </w:tc>
      </w:tr>
    </w:tbl>
    <w:p>
      <w:pPr>
        <w:pStyle w:val="Normal"/>
        <w:shd w:fill="FFFFFF" w:val="clear"/>
        <w:jc w:val="both"/>
        <w:rPr>
          <w:rFonts w:ascii="Arial" w:hAnsi="Arial" w:cs="Arial"/>
          <w:b/>
          <w:b/>
          <w:color w:val="595959"/>
          <w:sz w:val="22"/>
          <w:szCs w:val="22"/>
        </w:rPr>
      </w:pPr>
      <w:r>
        <w:rPr>
          <w:rFonts w:cs="Arial" w:ascii="Arial" w:hAnsi="Arial"/>
          <w:b/>
          <w:color w:val="595959"/>
          <w:sz w:val="22"/>
          <w:szCs w:val="22"/>
        </w:rPr>
      </w:r>
    </w:p>
    <w:p>
      <w:pPr>
        <w:pStyle w:val="Normal"/>
        <w:shd w:fill="FFFFFF" w:val="clear"/>
        <w:jc w:val="both"/>
        <w:rPr>
          <w:rFonts w:ascii="Arial" w:hAnsi="Arial" w:eastAsia="ＭＳ 明朝" w:cs="Arial"/>
          <w:b/>
          <w:b/>
          <w:bCs/>
          <w:color w:val="000000"/>
          <w:sz w:val="22"/>
          <w:szCs w:val="22"/>
        </w:rPr>
      </w:pPr>
      <w:r>
        <w:rPr>
          <w:rFonts w:eastAsia="ＭＳ 明朝" w:cs="Arial" w:ascii="Arial" w:hAnsi="Arial"/>
          <w:b/>
          <w:bCs/>
          <w:color w:val="000000"/>
          <w:sz w:val="22"/>
          <w:szCs w:val="22"/>
        </w:rPr>
        <w:t>Corporate Duties</w:t>
      </w:r>
    </w:p>
    <w:p>
      <w:pPr>
        <w:pStyle w:val="TextBody"/>
        <w:widowControl w:val="false"/>
        <w:suppressAutoHyphens w:val="true"/>
        <w:rPr>
          <w:rFonts w:cs="Arial"/>
          <w:color w:val="000000"/>
        </w:rPr>
      </w:pPr>
      <w:r>
        <w:rPr>
          <w:rFonts w:cs="Arial"/>
          <w:color w:val="000000"/>
        </w:rPr>
      </w:r>
    </w:p>
    <w:p>
      <w:pPr>
        <w:pStyle w:val="TextBody"/>
        <w:widowControl w:val="false"/>
        <w:suppressAutoHyphens w:val="true"/>
        <w:rPr>
          <w:rFonts w:eastAsia="ＭＳ 明朝" w:cs="Arial"/>
          <w:color w:val="000000"/>
          <w:sz w:val="22"/>
          <w:szCs w:val="22"/>
        </w:rPr>
      </w:pPr>
      <w:r>
        <w:rPr>
          <w:rFonts w:eastAsia="ＭＳ 明朝" w:cs="Arial"/>
          <w:color w:val="000000"/>
          <w:sz w:val="22"/>
          <w:szCs w:val="22"/>
        </w:rPr>
        <w:t>Avoid any behaviour which discriminates against your fellow employees, or potential employees on the grounds of their sex, sexual orientation, marital status, race, religion, creed, colour, nationality, ethnic origin or disability.</w:t>
      </w:r>
    </w:p>
    <w:p>
      <w:pPr>
        <w:pStyle w:val="TextBody"/>
        <w:widowControl w:val="false"/>
        <w:suppressAutoHyphens w:val="true"/>
        <w:rPr>
          <w:rFonts w:cs="Arial"/>
          <w:color w:val="000000"/>
        </w:rPr>
      </w:pPr>
      <w:r>
        <w:rPr>
          <w:rFonts w:cs="Arial"/>
          <w:color w:val="000000"/>
        </w:rPr>
      </w:r>
    </w:p>
    <w:p>
      <w:pPr>
        <w:pStyle w:val="Normal"/>
        <w:widowControl w:val="false"/>
        <w:suppressAutoHyphens w:val="true"/>
        <w:jc w:val="both"/>
        <w:rPr>
          <w:rFonts w:ascii="Arial" w:hAnsi="Arial" w:eastAsia="ＭＳ 明朝" w:cs="Arial"/>
          <w:color w:val="000000"/>
          <w:sz w:val="22"/>
          <w:szCs w:val="22"/>
        </w:rPr>
      </w:pPr>
      <w:r>
        <w:rPr>
          <w:rFonts w:eastAsia="ＭＳ 明朝" w:cs="Arial" w:ascii="Arial" w:hAnsi="Arial"/>
          <w:color w:val="000000"/>
          <w:sz w:val="22"/>
          <w:szCs w:val="22"/>
        </w:rPr>
        <w:t>Safeguard at all times confidentiality of information relating to staff and pensioners.</w:t>
      </w:r>
    </w:p>
    <w:p>
      <w:pPr>
        <w:pStyle w:val="Normal"/>
        <w:widowControl w:val="false"/>
        <w:suppressAutoHyphens w:val="true"/>
        <w:jc w:val="both"/>
        <w:rPr>
          <w:rFonts w:ascii="Arial" w:hAnsi="Arial" w:eastAsia="ＭＳ 明朝" w:cs="Arial"/>
          <w:color w:val="000000"/>
          <w:sz w:val="22"/>
          <w:szCs w:val="22"/>
        </w:rPr>
      </w:pPr>
      <w:r>
        <w:rPr>
          <w:rFonts w:eastAsia="ＭＳ 明朝" w:cs="Arial" w:ascii="Arial" w:hAnsi="Arial"/>
          <w:color w:val="000000"/>
          <w:sz w:val="22"/>
          <w:szCs w:val="22"/>
        </w:rPr>
        <w:t>Refrain from smoking in any areas of Service premises.</w:t>
      </w:r>
    </w:p>
    <w:p>
      <w:pPr>
        <w:pStyle w:val="Normal"/>
        <w:widowControl w:val="false"/>
        <w:suppressAutoHyphens w:val="true"/>
        <w:jc w:val="both"/>
        <w:rPr>
          <w:rFonts w:ascii="Arial" w:hAnsi="Arial" w:eastAsia="ＭＳ 明朝" w:cs="Arial"/>
          <w:color w:val="000000"/>
          <w:sz w:val="22"/>
          <w:szCs w:val="22"/>
        </w:rPr>
      </w:pPr>
      <w:r>
        <w:rPr>
          <w:rFonts w:eastAsia="ＭＳ 明朝" w:cs="Arial" w:ascii="Arial" w:hAnsi="Arial"/>
          <w:color w:val="000000"/>
          <w:sz w:val="22"/>
          <w:szCs w:val="22"/>
        </w:rPr>
        <w:t>Behave in a manner that ensures the security of property and resources.</w:t>
      </w:r>
    </w:p>
    <w:p>
      <w:pPr>
        <w:pStyle w:val="Normal"/>
        <w:widowControl w:val="false"/>
        <w:suppressAutoHyphens w:val="true"/>
        <w:jc w:val="both"/>
        <w:rPr>
          <w:rFonts w:ascii="Arial" w:hAnsi="Arial" w:eastAsia="ＭＳ 明朝" w:cs="Arial"/>
          <w:color w:val="000000"/>
          <w:sz w:val="22"/>
          <w:szCs w:val="22"/>
        </w:rPr>
      </w:pPr>
      <w:r>
        <w:rPr>
          <w:rFonts w:eastAsia="ＭＳ 明朝" w:cs="Arial" w:ascii="Arial" w:hAnsi="Arial"/>
          <w:color w:val="000000"/>
          <w:sz w:val="22"/>
          <w:szCs w:val="22"/>
        </w:rPr>
        <w:t>Abide by all relevant Service Policies and Procedures.</w:t>
      </w:r>
    </w:p>
    <w:p>
      <w:pPr>
        <w:pStyle w:val="Normal"/>
        <w:tabs>
          <w:tab w:val="clear" w:pos="720"/>
          <w:tab w:val="left" w:pos="1134" w:leader="none"/>
        </w:tabs>
        <w:spacing w:before="0" w:after="0"/>
        <w:contextualSpacing/>
        <w:jc w:val="both"/>
        <w:rPr>
          <w:rFonts w:ascii="Arial" w:hAnsi="Arial" w:cs="Arial"/>
          <w:color w:val="000000"/>
        </w:rPr>
      </w:pPr>
      <w:r>
        <w:rPr>
          <w:rFonts w:cs="Arial" w:ascii="Arial" w:hAnsi="Arial"/>
          <w:color w:val="000000"/>
        </w:rPr>
      </w:r>
    </w:p>
    <w:p>
      <w:pPr>
        <w:pStyle w:val="Normal"/>
        <w:tabs>
          <w:tab w:val="clear" w:pos="720"/>
          <w:tab w:val="left" w:pos="1134" w:leader="none"/>
        </w:tabs>
        <w:spacing w:before="0" w:after="0"/>
        <w:contextualSpacing/>
        <w:jc w:val="both"/>
        <w:rPr/>
      </w:pPr>
      <w:r>
        <w:rPr>
          <w:rFonts w:eastAsia="ＭＳ 明朝" w:cs="Arial" w:ascii="Arial" w:hAnsi="Arial"/>
          <w:b/>
          <w:bCs/>
          <w:color w:val="000000"/>
          <w:sz w:val="22"/>
          <w:szCs w:val="22"/>
        </w:rPr>
        <w:t xml:space="preserve">Records Management/ Data Protection </w:t>
      </w:r>
      <w:r>
        <w:rPr>
          <w:rFonts w:eastAsia="ＭＳ 明朝" w:cs="Arial" w:ascii="Arial" w:hAnsi="Arial"/>
          <w:color w:val="000000"/>
          <w:sz w:val="22"/>
          <w:szCs w:val="22"/>
        </w:rPr>
        <w:t>- 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pPr>
        <w:pStyle w:val="BodyTextIndent3"/>
        <w:tabs>
          <w:tab w:val="clear" w:pos="720"/>
          <w:tab w:val="left" w:pos="1134" w:leader="none"/>
        </w:tabs>
        <w:spacing w:before="0" w:after="0"/>
        <w:ind w:left="0" w:right="0" w:hanging="0"/>
        <w:contextualSpacing/>
        <w:jc w:val="both"/>
        <w:rPr>
          <w:rFonts w:ascii="Arial" w:hAnsi="Arial" w:cs="Arial"/>
          <w:color w:val="000000"/>
        </w:rPr>
      </w:pPr>
      <w:r>
        <w:rPr>
          <w:rFonts w:cs="Arial" w:ascii="Arial" w:hAnsi="Arial"/>
          <w:color w:val="000000"/>
        </w:rPr>
      </w:r>
    </w:p>
    <w:p>
      <w:pPr>
        <w:pStyle w:val="Normal"/>
        <w:tabs>
          <w:tab w:val="clear" w:pos="720"/>
          <w:tab w:val="left" w:pos="1134" w:leader="none"/>
        </w:tabs>
        <w:spacing w:before="0" w:after="0"/>
        <w:contextualSpacing/>
        <w:jc w:val="both"/>
        <w:rPr/>
      </w:pPr>
      <w:r>
        <w:rPr>
          <w:rFonts w:eastAsia="ＭＳ 明朝" w:cs="Arial" w:ascii="Arial" w:hAnsi="Arial"/>
          <w:b/>
          <w:bCs/>
          <w:color w:val="000000"/>
          <w:sz w:val="22"/>
          <w:szCs w:val="22"/>
        </w:rPr>
        <w:t>Confidentiality and Information Security</w:t>
      </w:r>
      <w:r>
        <w:rPr>
          <w:rFonts w:eastAsia="ＭＳ 明朝" w:cs="Arial" w:ascii="Arial" w:hAnsi="Arial"/>
          <w:color w:val="000000"/>
          <w:sz w:val="22"/>
          <w:szCs w:val="22"/>
        </w:rPr>
        <w:t xml:space="preserve"> - 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General Data Protection Regulation (GDPR).</w:t>
      </w:r>
    </w:p>
    <w:p>
      <w:pPr>
        <w:pStyle w:val="Normal"/>
        <w:spacing w:before="0" w:after="0"/>
        <w:contextualSpacing/>
        <w:jc w:val="both"/>
        <w:rPr>
          <w:rFonts w:eastAsia="ＭＳ 明朝"/>
        </w:rPr>
      </w:pPr>
      <w:r>
        <w:rPr>
          <w:rFonts w:eastAsia="Arial" w:cs="Arial" w:ascii="Arial" w:hAnsi="Arial"/>
          <w:color w:val="000000"/>
          <w:sz w:val="22"/>
          <w:szCs w:val="22"/>
        </w:rPr>
        <w:t xml:space="preserve"> </w:t>
      </w:r>
    </w:p>
    <w:p>
      <w:pPr>
        <w:pStyle w:val="Normal"/>
        <w:spacing w:before="0" w:after="0"/>
        <w:contextualSpacing/>
        <w:jc w:val="both"/>
        <w:rPr/>
      </w:pPr>
      <w:r>
        <w:rPr>
          <w:rFonts w:eastAsia="ＭＳ 明朝" w:cs="Arial" w:ascii="Arial" w:hAnsi="Arial"/>
          <w:b/>
          <w:bCs/>
          <w:color w:val="000000"/>
          <w:sz w:val="22"/>
          <w:szCs w:val="22"/>
        </w:rPr>
        <w:t>Data Quality</w:t>
      </w:r>
      <w:r>
        <w:rPr>
          <w:rFonts w:eastAsia="ＭＳ 明朝" w:cs="Arial" w:ascii="Arial" w:hAnsi="Arial"/>
          <w:color w:val="000000"/>
          <w:sz w:val="22"/>
          <w:szCs w:val="22"/>
        </w:rPr>
        <w:t xml:space="preserve"> - All staff are personally responsible for the quality of data entered by themselves, or on their behalf, on GMCAs computerised systems or manual records (paper records) and must ensure that such data is entered accurately and, in a timely manner, to ensure high standards of data quality in accordance with Departmental protocols.</w:t>
      </w:r>
    </w:p>
    <w:p>
      <w:pPr>
        <w:pStyle w:val="Normal"/>
        <w:jc w:val="both"/>
        <w:rPr>
          <w:rFonts w:ascii="Arial" w:hAnsi="Arial" w:eastAsia="ＭＳ 明朝" w:cs="Arial"/>
          <w:color w:val="000000"/>
          <w:sz w:val="22"/>
          <w:szCs w:val="22"/>
        </w:rPr>
      </w:pPr>
      <w:r>
        <w:rPr>
          <w:rFonts w:eastAsia="ＭＳ 明朝" w:cs="Arial" w:ascii="Arial" w:hAnsi="Arial"/>
          <w:color w:val="000000"/>
          <w:sz w:val="22"/>
          <w:szCs w:val="22"/>
        </w:rPr>
        <w:t>  </w:t>
      </w:r>
    </w:p>
    <w:p>
      <w:pPr>
        <w:pStyle w:val="Normal"/>
        <w:jc w:val="both"/>
        <w:rPr>
          <w:rFonts w:ascii="Arial" w:hAnsi="Arial" w:eastAsia="ＭＳ 明朝" w:cs="Arial"/>
          <w:color w:val="000000"/>
          <w:sz w:val="22"/>
          <w:szCs w:val="22"/>
        </w:rPr>
      </w:pPr>
      <w:r>
        <w:rPr>
          <w:rFonts w:eastAsia="ＭＳ 明朝" w:cs="Arial" w:ascii="Arial" w:hAnsi="Arial"/>
          <w:color w:val="000000"/>
          <w:sz w:val="22"/>
          <w:szCs w:val="22"/>
        </w:rPr>
        <w:t xml:space="preserve">To ensure data is handled in a secure manner protecting the confidentiality of any personal data held in meeting the requirements of the General Data Protection Regulation (GDPR). </w:t>
      </w:r>
    </w:p>
    <w:p>
      <w:pPr>
        <w:pStyle w:val="Normal"/>
        <w:tabs>
          <w:tab w:val="clear" w:pos="720"/>
          <w:tab w:val="left" w:pos="1134" w:leader="none"/>
        </w:tabs>
        <w:spacing w:before="0" w:after="0"/>
        <w:contextualSpacing/>
        <w:jc w:val="both"/>
        <w:rPr>
          <w:rFonts w:ascii="Arial" w:hAnsi="Arial" w:cs="Arial"/>
          <w:color w:val="000000"/>
        </w:rPr>
      </w:pPr>
      <w:r>
        <w:rPr>
          <w:rFonts w:cs="Arial" w:ascii="Arial" w:hAnsi="Arial"/>
          <w:color w:val="000000"/>
        </w:rPr>
      </w:r>
    </w:p>
    <w:p>
      <w:pPr>
        <w:pStyle w:val="Normal"/>
        <w:tabs>
          <w:tab w:val="clear" w:pos="720"/>
          <w:tab w:val="left" w:pos="1134" w:leader="none"/>
        </w:tabs>
        <w:spacing w:before="0" w:after="0"/>
        <w:contextualSpacing/>
        <w:jc w:val="both"/>
        <w:rPr/>
      </w:pPr>
      <w:r>
        <w:rPr>
          <w:rFonts w:eastAsia="ＭＳ 明朝" w:cs="Arial" w:ascii="Arial" w:hAnsi="Arial"/>
          <w:b/>
          <w:bCs/>
          <w:color w:val="000000"/>
          <w:sz w:val="22"/>
          <w:szCs w:val="22"/>
        </w:rPr>
        <w:t>Health and Safety</w:t>
      </w:r>
      <w:r>
        <w:rPr>
          <w:rFonts w:eastAsia="ＭＳ 明朝" w:cs="Arial" w:ascii="Arial" w:hAnsi="Arial"/>
          <w:color w:val="000000"/>
          <w:sz w:val="22"/>
          <w:szCs w:val="22"/>
        </w:rPr>
        <w:t xml:space="preserve"> - 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pPr>
        <w:pStyle w:val="Normal"/>
        <w:tabs>
          <w:tab w:val="clear" w:pos="720"/>
          <w:tab w:val="left" w:pos="1134" w:leader="none"/>
        </w:tabs>
        <w:spacing w:before="0" w:after="0"/>
        <w:contextualSpacing/>
        <w:jc w:val="both"/>
        <w:rPr>
          <w:rFonts w:ascii="Arial" w:hAnsi="Arial" w:cs="Arial"/>
          <w:color w:val="000000"/>
        </w:rPr>
      </w:pPr>
      <w:r>
        <w:rPr>
          <w:rFonts w:cs="Arial" w:ascii="Arial" w:hAnsi="Arial"/>
          <w:color w:val="000000"/>
        </w:rPr>
      </w:r>
    </w:p>
    <w:p>
      <w:pPr>
        <w:pStyle w:val="Normal"/>
        <w:tabs>
          <w:tab w:val="clear" w:pos="720"/>
          <w:tab w:val="left" w:pos="1134" w:leader="none"/>
        </w:tabs>
        <w:spacing w:before="0" w:after="0"/>
        <w:contextualSpacing/>
        <w:jc w:val="both"/>
        <w:rPr/>
      </w:pPr>
      <w:r>
        <w:rPr>
          <w:rFonts w:eastAsia="ＭＳ 明朝" w:cs="Arial" w:ascii="Arial" w:hAnsi="Arial"/>
          <w:b/>
          <w:bCs/>
          <w:color w:val="000000"/>
          <w:sz w:val="22"/>
          <w:szCs w:val="22"/>
        </w:rPr>
        <w:t>Service Policies</w:t>
      </w:r>
      <w:r>
        <w:rPr>
          <w:rFonts w:eastAsia="ＭＳ 明朝" w:cs="Arial" w:ascii="Arial" w:hAnsi="Arial"/>
          <w:color w:val="000000"/>
          <w:sz w:val="22"/>
          <w:szCs w:val="22"/>
        </w:rPr>
        <w:t xml:space="preserve"> - All GMCA employees must observe and adhere to the provisions outlined in these policies.</w:t>
      </w:r>
    </w:p>
    <w:p>
      <w:pPr>
        <w:pStyle w:val="Normal"/>
        <w:spacing w:before="0" w:after="0"/>
        <w:contextualSpacing/>
        <w:jc w:val="both"/>
        <w:rPr>
          <w:rFonts w:ascii="Arial" w:hAnsi="Arial" w:cs="Arial"/>
          <w:color w:val="000000"/>
        </w:rPr>
      </w:pPr>
      <w:r>
        <w:rPr>
          <w:rFonts w:cs="Arial" w:ascii="Arial" w:hAnsi="Arial"/>
          <w:color w:val="000000"/>
        </w:rPr>
      </w:r>
    </w:p>
    <w:p>
      <w:pPr>
        <w:pStyle w:val="Body"/>
        <w:ind w:left="0" w:right="261" w:hanging="0"/>
        <w:rPr/>
      </w:pPr>
      <w:r>
        <w:rPr>
          <w:rFonts w:eastAsia="ＭＳ 明朝"/>
          <w:b/>
          <w:bCs/>
          <w:color w:val="000000"/>
          <w:lang w:val="en-US"/>
        </w:rPr>
        <w:t>Equal Opportunities</w:t>
      </w:r>
      <w:r>
        <w:rPr>
          <w:rFonts w:eastAsia="ＭＳ 明朝"/>
          <w:color w:val="000000"/>
          <w:lang w:val="en-US"/>
        </w:rPr>
        <w:t xml:space="preserve"> - GMCA provides a range of services and employment opportunities for a diverse population. As a GMCA employee you are expected to treat all employees / partners / members of the public and work colleagues with dignity and respect irrespective of their background.</w:t>
      </w:r>
    </w:p>
    <w:sectPr>
      <w:headerReference w:type="default" r:id="rId3"/>
      <w:headerReference w:type="first" r:id="rId4"/>
      <w:footerReference w:type="default" r:id="rId5"/>
      <w:footerReference w:type="first" r:id="rId6"/>
      <w:type w:val="nextPage"/>
      <w:pgSz w:w="11906" w:h="16838"/>
      <w:pgMar w:left="1440" w:right="1440" w:header="426" w:top="993" w:footer="14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458" w:hanging="360"/>
      </w:pPr>
      <w:rPr>
        <w:rFonts w:ascii="Symbol" w:hAnsi="Symbol" w:cs="Symbol" w:hint="default"/>
        <w:rFonts w:cs="Symbol"/>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pBdr/>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eastAsia="ＭＳ ゴシック" w:cs="Times New Roman"/>
      <w:b/>
      <w:bCs/>
      <w:color w:val="365F91"/>
      <w:sz w:val="28"/>
      <w:szCs w:val="28"/>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ＭＳ ゴシック" w:cs="Times New Roman"/>
      <w:b/>
      <w:bCs/>
      <w:color w:val="4F81BD"/>
      <w:sz w:val="26"/>
      <w:szCs w:val="26"/>
    </w:rPr>
  </w:style>
  <w:style w:type="paragraph" w:styleId="Heading3">
    <w:name w:val="Heading 3"/>
    <w:next w:val="Body"/>
    <w:qFormat/>
    <w:pPr>
      <w:keepNext w:val="true"/>
      <w:widowControl/>
      <w:numPr>
        <w:ilvl w:val="2"/>
        <w:numId w:val="1"/>
      </w:numPr>
      <w:pBdr/>
      <w:suppressAutoHyphens w:val="true"/>
      <w:bidi w:val="0"/>
      <w:spacing w:lineRule="auto" w:line="240" w:before="0" w:after="0"/>
      <w:jc w:val="left"/>
      <w:outlineLvl w:val="2"/>
    </w:pPr>
    <w:rPr>
      <w:rFonts w:ascii="Arial" w:hAnsi="Arial" w:eastAsia="Arial" w:cs="Arial"/>
      <w:b/>
      <w:bCs/>
      <w:color w:val="FFFFFF"/>
      <w:kern w:val="0"/>
      <w:sz w:val="24"/>
      <w:szCs w:val="24"/>
      <w:u w:val="none" w:color="FFFFFF"/>
      <w:lang w:val="en-US"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ing3Char">
    <w:name w:val="Heading 3 Char"/>
    <w:basedOn w:val="DefaultParagraphFont"/>
    <w:qFormat/>
    <w:rPr>
      <w:rFonts w:ascii="Arial" w:hAnsi="Arial" w:eastAsia="Arial" w:cs="Arial"/>
      <w:b/>
      <w:bCs/>
      <w:color w:val="FFFFFF"/>
      <w:sz w:val="24"/>
      <w:szCs w:val="24"/>
      <w:u w:val="none" w:color="FFFFFF"/>
      <w:lang w:val="en-US"/>
    </w:rPr>
  </w:style>
  <w:style w:type="character" w:styleId="HeaderChar">
    <w:name w:val="Header Char"/>
    <w:basedOn w:val="DefaultParagraphFont"/>
    <w:qFormat/>
    <w:rPr>
      <w:rFonts w:ascii="Arial" w:hAnsi="Arial" w:eastAsia="Arial" w:cs="Arial"/>
      <w:color w:val="000000"/>
      <w:u w:val="none" w:color="000000"/>
      <w:lang w:val="en-US"/>
    </w:rPr>
  </w:style>
  <w:style w:type="character" w:styleId="FooterChar">
    <w:name w:val="Footer Char"/>
    <w:basedOn w:val="DefaultParagraphFont"/>
    <w:qFormat/>
    <w:rPr>
      <w:rFonts w:ascii="Arial" w:hAnsi="Arial" w:eastAsia="Arial" w:cs="Arial"/>
      <w:color w:val="000000"/>
      <w:u w:val="none" w:color="000000"/>
      <w:lang w:val="en-US"/>
    </w:rPr>
  </w:style>
  <w:style w:type="character" w:styleId="Heading1Char">
    <w:name w:val="Heading 1 Char"/>
    <w:basedOn w:val="DefaultParagraphFont"/>
    <w:qFormat/>
    <w:rPr>
      <w:rFonts w:ascii="Cambria" w:hAnsi="Cambria" w:eastAsia="ＭＳ ゴシック" w:cs="Times New Roman"/>
      <w:b/>
      <w:bCs/>
      <w:color w:val="365F91"/>
      <w:sz w:val="28"/>
      <w:szCs w:val="28"/>
      <w:lang w:val="en-US"/>
    </w:rPr>
  </w:style>
  <w:style w:type="character" w:styleId="Heading2Char">
    <w:name w:val="Heading 2 Char"/>
    <w:basedOn w:val="DefaultParagraphFont"/>
    <w:qFormat/>
    <w:rPr>
      <w:rFonts w:ascii="Cambria" w:hAnsi="Cambria" w:eastAsia="ＭＳ ゴシック" w:cs="Times New Roman"/>
      <w:b/>
      <w:bCs/>
      <w:color w:val="4F81BD"/>
      <w:sz w:val="26"/>
      <w:szCs w:val="26"/>
      <w:lang w:val="en-US"/>
    </w:rPr>
  </w:style>
  <w:style w:type="character" w:styleId="BalloonTextChar">
    <w:name w:val="Balloon Text Char"/>
    <w:basedOn w:val="DefaultParagraphFont"/>
    <w:qFormat/>
    <w:rPr>
      <w:rFonts w:ascii="Tahoma" w:hAnsi="Tahoma" w:eastAsia="Arial Unicode MS" w:cs="Tahoma"/>
      <w:sz w:val="16"/>
      <w:szCs w:val="16"/>
      <w:lang w:val="en-US"/>
    </w:rPr>
  </w:style>
  <w:style w:type="character" w:styleId="PlainTextChar">
    <w:name w:val="Plain Text Char"/>
    <w:basedOn w:val="DefaultParagraphFont"/>
    <w:qFormat/>
    <w:rPr>
      <w:rFonts w:ascii="Courier New" w:hAnsi="Courier New" w:eastAsia="Times New Roman" w:cs="Times New Roman"/>
      <w:sz w:val="20"/>
      <w:szCs w:val="20"/>
    </w:rPr>
  </w:style>
  <w:style w:type="character" w:styleId="BodyTextChar">
    <w:name w:val="Body Text Char"/>
    <w:basedOn w:val="DefaultParagraphFont"/>
    <w:qFormat/>
    <w:rPr>
      <w:rFonts w:ascii="Arial" w:hAnsi="Arial" w:eastAsia="Times New Roman" w:cs="Times New Roman"/>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Arial Unicode MS" w:cs="Times New Roman"/>
      <w:sz w:val="20"/>
      <w:szCs w:val="20"/>
      <w:lang w:val="en-US"/>
    </w:rPr>
  </w:style>
  <w:style w:type="character" w:styleId="CommentSubjectChar">
    <w:name w:val="Comment Subject Char"/>
    <w:basedOn w:val="CommentTextChar"/>
    <w:qFormat/>
    <w:rPr>
      <w:rFonts w:ascii="Times New Roman" w:hAnsi="Times New Roman" w:eastAsia="Arial Unicode MS" w:cs="Times New Roman"/>
      <w:b/>
      <w:bCs/>
      <w:sz w:val="20"/>
      <w:szCs w:val="20"/>
      <w:lang w:val="en-US"/>
    </w:rPr>
  </w:style>
  <w:style w:type="character" w:styleId="BodyTextIndent3Char">
    <w:name w:val="Body Text Indent 3 Char"/>
    <w:basedOn w:val="DefaultParagraphFont"/>
    <w:qFormat/>
    <w:rPr>
      <w:rFonts w:ascii="Times New Roman" w:hAnsi="Times New Roman" w:eastAsia="Arial Unicode MS" w:cs="Times New Roman"/>
      <w:sz w:val="16"/>
      <w:szCs w:val="16"/>
      <w:lang w:val="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pBdr/>
      <w:snapToGrid w:val="false"/>
    </w:pPr>
    <w:rPr>
      <w:rFonts w:ascii="Arial" w:hAnsi="Arial" w:eastAsia="Times New Roman" w:cs="Arial"/>
      <w:szCs w:val="20"/>
      <w:lang w:val="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Footer">
    <w:name w:val="Footer"/>
    <w:pPr>
      <w:widowControl/>
      <w:pBdr/>
      <w:tabs>
        <w:tab w:val="clear" w:pos="720"/>
        <w:tab w:val="center" w:pos="4153" w:leader="none"/>
        <w:tab w:val="right" w:pos="8306" w:leader="none"/>
      </w:tabs>
      <w:suppressAutoHyphens w:val="true"/>
      <w:bidi w:val="0"/>
      <w:spacing w:lineRule="auto" w:line="240" w:before="0" w:after="0"/>
      <w:jc w:val="left"/>
    </w:pPr>
    <w:rPr>
      <w:rFonts w:ascii="Arial" w:hAnsi="Arial" w:eastAsia="Arial" w:cs="Arial"/>
      <w:color w:val="000000"/>
      <w:kern w:val="0"/>
      <w:sz w:val="24"/>
      <w:szCs w:val="22"/>
      <w:u w:val="none" w:color="000000"/>
      <w:lang w:val="en-US" w:eastAsia="en-US" w:bidi="ar-SA"/>
    </w:rPr>
  </w:style>
  <w:style w:type="paragraph" w:styleId="Body">
    <w:name w:val="Body"/>
    <w:qFormat/>
    <w:pPr>
      <w:widowControl/>
      <w:pBdr/>
      <w:suppressAutoHyphens w:val="true"/>
      <w:bidi w:val="0"/>
      <w:spacing w:lineRule="auto" w:line="240" w:before="0" w:after="0"/>
      <w:jc w:val="left"/>
    </w:pPr>
    <w:rPr>
      <w:rFonts w:ascii="Arial" w:hAnsi="Arial" w:eastAsia="Arial" w:cs="Arial"/>
      <w:color w:val="000000"/>
      <w:kern w:val="0"/>
      <w:sz w:val="24"/>
      <w:szCs w:val="22"/>
      <w:u w:val="none" w:color="000000"/>
      <w:lang w:val="en-GB" w:eastAsia="en-US" w:bidi="ar-SA"/>
    </w:rPr>
  </w:style>
  <w:style w:type="paragraph" w:styleId="ListParagraph">
    <w:name w:val="List Paragraph"/>
    <w:qFormat/>
    <w:pPr>
      <w:widowControl/>
      <w:pBdr/>
      <w:suppressAutoHyphens w:val="true"/>
      <w:bidi w:val="0"/>
      <w:spacing w:lineRule="auto" w:line="240" w:before="0" w:after="0"/>
      <w:ind w:left="720" w:right="0" w:hanging="0"/>
      <w:jc w:val="left"/>
    </w:pPr>
    <w:rPr>
      <w:rFonts w:ascii="Arial" w:hAnsi="Arial" w:eastAsia="Arial" w:cs="Arial"/>
      <w:color w:val="000000"/>
      <w:kern w:val="0"/>
      <w:sz w:val="24"/>
      <w:szCs w:val="22"/>
      <w:u w:val="none" w:color="000000"/>
      <w:lang w:val="en-US" w:eastAsia="en-US" w:bidi="ar-SA"/>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Verdana" w:hAnsi="Verdana" w:eastAsia="Times New Roman" w:cs="Verdana"/>
      <w:color w:val="000000"/>
      <w:kern w:val="0"/>
      <w:sz w:val="24"/>
      <w:szCs w:val="24"/>
      <w:lang w:val="en-GB" w:eastAsia="en-GB" w:bidi="ar-SA"/>
    </w:rPr>
  </w:style>
  <w:style w:type="paragraph" w:styleId="PlainText">
    <w:name w:val="Plain Text"/>
    <w:basedOn w:val="Normal"/>
    <w:qFormat/>
    <w:pPr>
      <w:pBdr/>
    </w:pPr>
    <w:rPr>
      <w:rFonts w:ascii="Courier New" w:hAnsi="Courier New" w:eastAsia="Times New Roman" w:cs="Courier New"/>
      <w:sz w:val="20"/>
      <w:szCs w:val="20"/>
      <w:lang w:val="en-GB"/>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BodyTextIndent3">
    <w:name w:val="Body Text Indent 3"/>
    <w:basedOn w:val="Normal"/>
    <w:qFormat/>
    <w:pPr>
      <w:spacing w:before="0" w:after="120"/>
      <w:ind w:left="283" w:right="0" w:hanging="0"/>
    </w:pPr>
    <w:rPr>
      <w:sz w:val="16"/>
      <w:szCs w:val="16"/>
    </w:rPr>
  </w:style>
  <w:style w:type="paragraph" w:styleId="Paragraph">
    <w:name w:val="paragraph"/>
    <w:basedOn w:val="Normal"/>
    <w:qFormat/>
    <w:pPr>
      <w:pBdr/>
      <w:spacing w:before="280" w:after="280"/>
    </w:pPr>
    <w:rPr>
      <w:rFonts w:eastAsia="Times New Roman"/>
      <w:lang w:val="en-GB" w:eastAsia="en-GB"/>
    </w:rPr>
  </w:style>
  <w:style w:type="paragraph" w:styleId="Revision">
    <w:name w:val="Revision"/>
    <w:qFormat/>
    <w:pPr>
      <w:widowControl/>
      <w:suppressAutoHyphens w:val="true"/>
      <w:bidi w:val="0"/>
      <w:spacing w:lineRule="auto" w:line="240" w:before="0" w:after="0"/>
      <w:jc w:val="left"/>
    </w:pPr>
    <w:rPr>
      <w:rFonts w:ascii="Times New Roman" w:hAnsi="Times New Roman" w:eastAsia="Arial Unicode MS" w:cs="Times New Roman"/>
      <w:color w:val="auto"/>
      <w:kern w:val="0"/>
      <w:sz w:val="24"/>
      <w:szCs w:val="24"/>
      <w:lang w:val="en-US"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Company>Economic Solutions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2026-05-18T08:17:00Z</dcterms:created>
  <dc:creator>Caddy-Dale, Anna (Manchester Growth Company)</dc:creator>
  <dc:description/>
  <dc:language>en-US</dc:language>
  <cp:lastModifiedBy>Patrick, Krista</cp:lastModifiedBy>
  <cp:lastPrinted>1995-11-21T17:41:00Z</cp:lastPrinted>
  <dcterms:modified xsi:type="dcterms:W3CDTF">2026-06-10T10:17:00Z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Economic Solutions</vt:lpwstr>
  </property>
  <property fmtid="{D5CDD505-2E9C-101B-9397-08002B2CF9AE}" pid="4" name="ContentTypeId">
    <vt:lpwstr>0x0101009CE000AA18814C46B9F3BFCFF2EB9B12</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ocLang">
    <vt:lpwstr>en</vt:lpwstr>
  </property>
</Properties>
</file>