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2.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sz w:val="24"/>
          <w:szCs w:val="24"/>
        </w:rPr>
      </w:pPr>
      <w:bookmarkStart w:id="0" w:name="permission-for-group%253A344789259%253Ae"/>
      <w:bookmarkEnd w:id="0"/>
      <w:r>
        <w:rPr>
          <w:rFonts w:cs="Arial"/>
          <w:sz w:val="24"/>
          <w:szCs w:val="24"/>
        </w:rPr>
        <w:t>Role profile</w:t>
      </w:r>
    </w:p>
    <w:p>
      <w:pPr>
        <w:pStyle w:val="ListParagraph"/>
        <w:numPr>
          <w:ilvl w:val="0"/>
          <w:numId w:val="19"/>
        </w:numPr>
        <w:rPr/>
      </w:pPr>
      <w:r>
        <w:rPr>
          <w:rFonts w:cs="Arial"/>
          <w:b/>
          <w:bCs/>
        </w:rPr>
        <w:t>Job title</w:t>
      </w:r>
      <w:r>
        <w:rPr>
          <w:rFonts w:cs="Arial"/>
        </w:rPr>
        <w:t xml:space="preserve">: Assistant Director –Operations, Governance and Standards </w:t>
      </w:r>
    </w:p>
    <w:p>
      <w:pPr>
        <w:pStyle w:val="ListParagraph"/>
        <w:numPr>
          <w:ilvl w:val="0"/>
          <w:numId w:val="19"/>
        </w:numPr>
        <w:rPr/>
      </w:pPr>
      <w:r>
        <w:rPr>
          <w:b/>
          <w:bCs/>
        </w:rPr>
        <w:t>Grade</w:t>
      </w:r>
      <w:r>
        <w:rPr/>
        <w:t>: SM6</w:t>
      </w:r>
    </w:p>
    <w:p>
      <w:pPr>
        <w:pStyle w:val="ListParagraph"/>
        <w:numPr>
          <w:ilvl w:val="0"/>
          <w:numId w:val="19"/>
        </w:numPr>
        <w:rPr/>
      </w:pPr>
      <w:r>
        <w:rPr>
          <w:rFonts w:cs="Arial"/>
          <w:b/>
          <w:bCs/>
          <w:szCs w:val="24"/>
        </w:rPr>
        <w:t>Business area:</w:t>
      </w:r>
      <w:r>
        <w:rPr>
          <w:rFonts w:cs="Arial"/>
          <w:szCs w:val="24"/>
        </w:rPr>
        <w:t xml:space="preserve"> Education, Work and Skills</w:t>
      </w:r>
    </w:p>
    <w:p>
      <w:pPr>
        <w:pStyle w:val="ListParagraph"/>
        <w:numPr>
          <w:ilvl w:val="0"/>
          <w:numId w:val="19"/>
        </w:numPr>
        <w:rPr/>
      </w:pPr>
      <w:r>
        <w:rPr>
          <w:rFonts w:cs="Arial"/>
          <w:b/>
          <w:bCs/>
          <w:szCs w:val="24"/>
        </w:rPr>
        <w:t>Reporting line:</w:t>
      </w:r>
      <w:r>
        <w:rPr>
          <w:rFonts w:cs="Arial"/>
          <w:szCs w:val="24"/>
        </w:rPr>
        <w:t xml:space="preserve"> Director, Education, Work and Skills</w:t>
      </w:r>
    </w:p>
    <w:p>
      <w:pPr>
        <w:pStyle w:val="ListParagraph"/>
        <w:numPr>
          <w:ilvl w:val="0"/>
          <w:numId w:val="19"/>
        </w:numPr>
        <w:rPr/>
      </w:pPr>
      <w:r>
        <w:rPr>
          <w:rFonts w:cs="Arial"/>
          <w:b/>
          <w:bCs/>
        </w:rPr>
        <w:t>Team:</w:t>
      </w:r>
      <w:r>
        <w:rPr>
          <w:rFonts w:cs="Arial"/>
        </w:rPr>
        <w:t xml:space="preserve"> Directorate Operations and Standards</w:t>
      </w:r>
    </w:p>
    <w:p>
      <w:pPr>
        <w:pStyle w:val="Heading2"/>
        <w:shd w:fill="004F6E" w:val="clear"/>
        <w:rPr>
          <w:rFonts w:cs="Arial"/>
          <w:sz w:val="24"/>
          <w:szCs w:val="24"/>
        </w:rPr>
      </w:pPr>
      <w:r>
        <w:rPr>
          <w:rFonts w:cs="Arial"/>
          <w:sz w:val="24"/>
          <w:szCs w:val="24"/>
        </w:rPr>
        <w:t>Job Purpose</w:t>
      </w:r>
    </w:p>
    <w:p>
      <w:pPr>
        <w:pStyle w:val="Normal"/>
        <w:rPr/>
      </w:pPr>
      <w:r>
        <w:rPr/>
        <w:t>The Assistant Director provides senior leadership for how the Education, Work and Skills directorate operates, with clear accountability for organisational grip, governance, planning, performance infrastructure and assurance.</w:t>
      </w:r>
    </w:p>
    <w:p>
      <w:pPr>
        <w:pStyle w:val="Normal"/>
        <w:rPr/>
      </w:pPr>
      <w:r>
        <w:rPr/>
        <w:t>The postholder is accountable for establishing and overseeing the frameworks, standards and disciplines that enable effective delivery across the directorate. This includes operating model design, governance, financial stewardship, planning, PMO, risk, assurance, organisational design and continuous improvement.</w:t>
      </w:r>
    </w:p>
    <w:p>
      <w:pPr>
        <w:pStyle w:val="Normal"/>
        <w:rPr/>
      </w:pPr>
      <w:r>
        <w:rPr/>
        <w:t>Operating across complex corporate, political and partnership environments, the role ensures the directorate has the structures, controls, capability and insight required to operate effectively, manage resources well and deliver within agreed governance and assurance arrangements.</w:t>
      </w:r>
    </w:p>
    <w:p>
      <w:pPr>
        <w:pStyle w:val="Heading2"/>
        <w:shd w:fill="004F6E" w:val="clear"/>
        <w:rPr>
          <w:rFonts w:cs="Arial"/>
          <w:sz w:val="24"/>
          <w:szCs w:val="24"/>
        </w:rPr>
      </w:pPr>
      <w:r>
        <w:rPr>
          <w:rFonts w:cs="Arial"/>
          <w:sz w:val="24"/>
          <w:szCs w:val="24"/>
        </w:rPr>
        <w:t>Key working relationships</w:t>
      </w:r>
    </w:p>
    <w:p>
      <w:pPr>
        <w:pStyle w:val="ListParagraph"/>
        <w:numPr>
          <w:ilvl w:val="0"/>
          <w:numId w:val="2"/>
        </w:numPr>
        <w:rPr>
          <w:rFonts w:cs="Arial"/>
          <w:color w:val="auto"/>
          <w:szCs w:val="24"/>
        </w:rPr>
      </w:pPr>
      <w:r>
        <w:rPr>
          <w:rFonts w:cs="Arial"/>
          <w:color w:val="auto"/>
          <w:szCs w:val="24"/>
        </w:rPr>
        <w:t xml:space="preserve">Mayor &amp; elected members </w:t>
      </w:r>
    </w:p>
    <w:p>
      <w:pPr>
        <w:pStyle w:val="ListParagraph"/>
        <w:numPr>
          <w:ilvl w:val="0"/>
          <w:numId w:val="2"/>
        </w:numPr>
        <w:rPr>
          <w:rFonts w:cs="Arial"/>
          <w:color w:val="auto"/>
          <w:szCs w:val="24"/>
        </w:rPr>
      </w:pPr>
      <w:r>
        <w:rPr>
          <w:rFonts w:cs="Arial"/>
          <w:color w:val="auto"/>
          <w:szCs w:val="24"/>
        </w:rPr>
        <w:t>GMCA Senior Leadership Team</w:t>
      </w:r>
    </w:p>
    <w:p>
      <w:pPr>
        <w:pStyle w:val="ListParagraph"/>
        <w:numPr>
          <w:ilvl w:val="0"/>
          <w:numId w:val="2"/>
        </w:numPr>
        <w:rPr>
          <w:rFonts w:cs="Arial"/>
          <w:color w:val="auto"/>
          <w:szCs w:val="24"/>
        </w:rPr>
      </w:pPr>
      <w:r>
        <w:rPr>
          <w:rFonts w:cs="Arial"/>
          <w:color w:val="auto"/>
          <w:szCs w:val="24"/>
        </w:rPr>
        <w:t>Education, Work and Skills portfolio leads across the 10 Local Authorities (including Lead Chief Executives)</w:t>
      </w:r>
    </w:p>
    <w:p>
      <w:pPr>
        <w:pStyle w:val="ListParagraph"/>
        <w:numPr>
          <w:ilvl w:val="0"/>
          <w:numId w:val="2"/>
        </w:numPr>
        <w:rPr>
          <w:rFonts w:cs="Arial"/>
          <w:color w:val="auto"/>
          <w:szCs w:val="24"/>
        </w:rPr>
      </w:pPr>
      <w:r>
        <w:rPr>
          <w:rFonts w:cs="Arial"/>
          <w:color w:val="auto"/>
          <w:szCs w:val="24"/>
        </w:rPr>
        <w:t>Assistant Directors / Directors across GMCA directorates</w:t>
      </w:r>
    </w:p>
    <w:p>
      <w:pPr>
        <w:pStyle w:val="ListParagraph"/>
        <w:numPr>
          <w:ilvl w:val="0"/>
          <w:numId w:val="2"/>
        </w:numPr>
        <w:rPr>
          <w:rFonts w:cs="Arial"/>
          <w:color w:val="auto"/>
          <w:szCs w:val="24"/>
        </w:rPr>
      </w:pPr>
      <w:r>
        <w:rPr>
          <w:rFonts w:cs="Arial"/>
          <w:color w:val="auto"/>
          <w:szCs w:val="24"/>
        </w:rPr>
        <w:t>National government departments, agencies and regulators (where relevant)</w:t>
      </w:r>
    </w:p>
    <w:p>
      <w:pPr>
        <w:pStyle w:val="ListParagraph"/>
        <w:numPr>
          <w:ilvl w:val="0"/>
          <w:numId w:val="2"/>
        </w:numPr>
        <w:rPr>
          <w:rFonts w:cs="Arial"/>
          <w:color w:val="auto"/>
          <w:szCs w:val="24"/>
        </w:rPr>
      </w:pPr>
      <w:r>
        <w:rPr>
          <w:rFonts w:cs="Arial"/>
          <w:color w:val="auto"/>
          <w:szCs w:val="24"/>
        </w:rPr>
        <w:t xml:space="preserve">Education providers, employers, private sector and VCSE partners </w:t>
      </w:r>
    </w:p>
    <w:p>
      <w:pPr>
        <w:pStyle w:val="ListParagraph"/>
        <w:numPr>
          <w:ilvl w:val="0"/>
          <w:numId w:val="2"/>
        </w:numPr>
        <w:rPr>
          <w:rFonts w:cs="Arial"/>
          <w:color w:val="auto"/>
          <w:szCs w:val="24"/>
        </w:rPr>
      </w:pPr>
      <w:r>
        <w:rPr>
          <w:rFonts w:cs="Arial"/>
          <w:color w:val="auto"/>
          <w:szCs w:val="24"/>
        </w:rPr>
        <w:t>Corporate, finance, governance, legal, HR and assurance leads across GMCA and partner organisations</w:t>
      </w:r>
    </w:p>
    <w:p>
      <w:pPr>
        <w:pStyle w:val="Heading2"/>
        <w:shd w:fill="004F6E" w:val="clear"/>
        <w:rPr>
          <w:rFonts w:cs="Arial"/>
          <w:sz w:val="24"/>
          <w:szCs w:val="24"/>
        </w:rPr>
      </w:pPr>
      <w:r>
        <w:rPr>
          <w:rFonts w:cs="Arial"/>
          <w:sz w:val="24"/>
          <w:szCs w:val="24"/>
        </w:rPr>
        <w:t>Key Responsibilities</w:t>
      </w:r>
    </w:p>
    <w:p>
      <w:pPr>
        <w:pStyle w:val="ListParagraph"/>
        <w:widowControl/>
        <w:numPr>
          <w:ilvl w:val="0"/>
          <w:numId w:val="7"/>
        </w:numPr>
        <w:rPr>
          <w:b/>
          <w:b/>
          <w:bCs/>
          <w:color w:val="auto"/>
        </w:rPr>
      </w:pPr>
      <w:r>
        <w:rPr>
          <w:b/>
          <w:bCs/>
          <w:color w:val="auto"/>
        </w:rPr>
        <w:t>1. Operating Model, Governance and Assurance</w:t>
      </w:r>
    </w:p>
    <w:p>
      <w:pPr>
        <w:pStyle w:val="ListParagraph"/>
        <w:widowControl/>
        <w:numPr>
          <w:ilvl w:val="0"/>
          <w:numId w:val="8"/>
        </w:numPr>
        <w:rPr>
          <w:color w:val="auto"/>
        </w:rPr>
      </w:pPr>
      <w:r>
        <w:rPr>
          <w:color w:val="auto"/>
        </w:rPr>
        <w:t>Accountable for the operating model, governance frameworks and assurance arrangements that support effective delivery across Education, Work and Skills</w:t>
      </w:r>
    </w:p>
    <w:p>
      <w:pPr>
        <w:pStyle w:val="ListParagraph"/>
        <w:widowControl/>
        <w:numPr>
          <w:ilvl w:val="0"/>
          <w:numId w:val="8"/>
        </w:numPr>
        <w:rPr>
          <w:color w:val="auto"/>
        </w:rPr>
      </w:pPr>
      <w:r>
        <w:rPr>
          <w:color w:val="auto"/>
        </w:rPr>
        <w:t>Ensure clear governance, decision-making routes, escalation processes and controls are in place across the directorate</w:t>
      </w:r>
    </w:p>
    <w:p>
      <w:pPr>
        <w:pStyle w:val="ListParagraph"/>
        <w:widowControl/>
        <w:numPr>
          <w:ilvl w:val="0"/>
          <w:numId w:val="8"/>
        </w:numPr>
        <w:rPr>
          <w:color w:val="auto"/>
        </w:rPr>
      </w:pPr>
      <w:r>
        <w:rPr>
          <w:color w:val="auto"/>
        </w:rPr>
        <w:t>Oversee risk, assurance and compliance arrangements, ensuring issues are identified, escalated and managed effectively</w:t>
      </w:r>
    </w:p>
    <w:p>
      <w:pPr>
        <w:pStyle w:val="ListParagraph"/>
        <w:widowControl/>
        <w:numPr>
          <w:ilvl w:val="0"/>
          <w:numId w:val="8"/>
        </w:numPr>
        <w:rPr>
          <w:color w:val="auto"/>
        </w:rPr>
      </w:pPr>
      <w:r>
        <w:rPr>
          <w:color w:val="auto"/>
        </w:rPr>
        <w:t>Provide organisational grip and assurance to the Director and Executive Director on how the directorate is operating</w:t>
      </w:r>
    </w:p>
    <w:p>
      <w:pPr>
        <w:pStyle w:val="Normal"/>
        <w:ind w:left="360" w:right="0" w:hanging="0"/>
        <w:rPr>
          <w:b/>
          <w:b/>
          <w:bCs/>
          <w:color w:val="auto"/>
        </w:rPr>
      </w:pPr>
      <w:r>
        <w:rPr>
          <w:b/>
          <w:bCs/>
          <w:color w:val="auto"/>
        </w:rPr>
        <w:t>2. Planning, PMO and Performance Infrastructure</w:t>
      </w:r>
    </w:p>
    <w:p>
      <w:pPr>
        <w:pStyle w:val="ListParagraph"/>
        <w:widowControl/>
        <w:numPr>
          <w:ilvl w:val="0"/>
          <w:numId w:val="9"/>
        </w:numPr>
        <w:rPr>
          <w:color w:val="auto"/>
        </w:rPr>
      </w:pPr>
      <w:r>
        <w:rPr>
          <w:color w:val="auto"/>
        </w:rPr>
        <w:t>Lead the planning and PMO disciplines that underpin delivery across the directorate, ensuring priorities, milestones, dependencies and reporting are clear</w:t>
      </w:r>
    </w:p>
    <w:p>
      <w:pPr>
        <w:pStyle w:val="ListParagraph"/>
        <w:widowControl/>
        <w:numPr>
          <w:ilvl w:val="0"/>
          <w:numId w:val="9"/>
        </w:numPr>
        <w:rPr>
          <w:color w:val="auto"/>
        </w:rPr>
      </w:pPr>
      <w:r>
        <w:rPr>
          <w:color w:val="auto"/>
        </w:rPr>
        <w:t>Own the performance infrastructure used to monitor progress, risks, resource use and delivery confidence across the portfolio</w:t>
      </w:r>
    </w:p>
    <w:p>
      <w:pPr>
        <w:pStyle w:val="ListParagraph"/>
        <w:widowControl/>
        <w:numPr>
          <w:ilvl w:val="0"/>
          <w:numId w:val="9"/>
        </w:numPr>
        <w:rPr>
          <w:color w:val="auto"/>
        </w:rPr>
      </w:pPr>
      <w:r>
        <w:rPr>
          <w:color w:val="auto"/>
        </w:rPr>
        <w:t>Ensure reporting frameworks support timely decision-making, assurance and intervention where required</w:t>
      </w:r>
    </w:p>
    <w:p>
      <w:pPr>
        <w:pStyle w:val="Normal"/>
        <w:ind w:left="360" w:right="0" w:hanging="0"/>
        <w:rPr>
          <w:b/>
          <w:b/>
          <w:bCs/>
          <w:color w:val="auto"/>
        </w:rPr>
      </w:pPr>
      <w:r>
        <w:rPr>
          <w:b/>
          <w:bCs/>
          <w:color w:val="auto"/>
        </w:rPr>
        <w:t>3. Financial Stewardship and Resource Planning</w:t>
      </w:r>
    </w:p>
    <w:p>
      <w:pPr>
        <w:pStyle w:val="ListParagraph"/>
        <w:widowControl/>
        <w:numPr>
          <w:ilvl w:val="0"/>
          <w:numId w:val="10"/>
        </w:numPr>
        <w:rPr>
          <w:color w:val="auto"/>
        </w:rPr>
      </w:pPr>
      <w:r>
        <w:rPr>
          <w:color w:val="auto"/>
        </w:rPr>
        <w:t>Lead financial planning, oversight and stewardship arrangements across the directorate, ensuring strong control, transparency and value for money</w:t>
      </w:r>
    </w:p>
    <w:p>
      <w:pPr>
        <w:pStyle w:val="ListParagraph"/>
        <w:widowControl/>
        <w:numPr>
          <w:ilvl w:val="0"/>
          <w:numId w:val="10"/>
        </w:numPr>
        <w:rPr>
          <w:color w:val="auto"/>
        </w:rPr>
      </w:pPr>
      <w:r>
        <w:rPr>
          <w:color w:val="auto"/>
        </w:rPr>
        <w:t>Work with finance and programme leads to ensure resources are aligned to priorities, risks are understood and financial implications are managed proactively</w:t>
      </w:r>
    </w:p>
    <w:p>
      <w:pPr>
        <w:pStyle w:val="ListParagraph"/>
        <w:widowControl/>
        <w:numPr>
          <w:ilvl w:val="0"/>
          <w:numId w:val="10"/>
        </w:numPr>
        <w:rPr>
          <w:color w:val="auto"/>
        </w:rPr>
      </w:pPr>
      <w:r>
        <w:rPr>
          <w:color w:val="auto"/>
        </w:rPr>
        <w:t>Provide senior advice and assurance on affordability, investment choices and financial sustainability</w:t>
      </w:r>
    </w:p>
    <w:p>
      <w:pPr>
        <w:pStyle w:val="Normal"/>
        <w:ind w:left="360" w:right="0" w:hanging="0"/>
        <w:rPr>
          <w:b/>
          <w:b/>
          <w:bCs/>
          <w:color w:val="auto"/>
        </w:rPr>
      </w:pPr>
      <w:r>
        <w:rPr>
          <w:b/>
          <w:bCs/>
          <w:color w:val="auto"/>
        </w:rPr>
        <w:t>4. Organisational Design, Capability and Standards</w:t>
      </w:r>
    </w:p>
    <w:p>
      <w:pPr>
        <w:pStyle w:val="ListParagraph"/>
        <w:widowControl/>
        <w:numPr>
          <w:ilvl w:val="0"/>
          <w:numId w:val="11"/>
        </w:numPr>
        <w:rPr>
          <w:color w:val="auto"/>
        </w:rPr>
      </w:pPr>
      <w:r>
        <w:rPr>
          <w:color w:val="auto"/>
        </w:rPr>
        <w:t>Lead organisational design and continuous improvement activity to ensure the directorate is structured and resourced effectively</w:t>
      </w:r>
    </w:p>
    <w:p>
      <w:pPr>
        <w:pStyle w:val="ListParagraph"/>
        <w:widowControl/>
        <w:numPr>
          <w:ilvl w:val="0"/>
          <w:numId w:val="11"/>
        </w:numPr>
        <w:rPr>
          <w:color w:val="auto"/>
        </w:rPr>
      </w:pPr>
      <w:r>
        <w:rPr>
          <w:color w:val="auto"/>
        </w:rPr>
        <w:t>Set and maintain consistent operating standards, management disciplines and ways of working across Education, Work and Skills</w:t>
      </w:r>
    </w:p>
    <w:p>
      <w:pPr>
        <w:pStyle w:val="ListParagraph"/>
        <w:widowControl/>
        <w:numPr>
          <w:ilvl w:val="0"/>
          <w:numId w:val="11"/>
        </w:numPr>
        <w:rPr>
          <w:color w:val="auto"/>
        </w:rPr>
      </w:pPr>
      <w:r>
        <w:rPr>
          <w:color w:val="auto"/>
        </w:rPr>
        <w:t>Ensure capability, capacity and workforce planning are aligned to strategic priorities and delivery requirements</w:t>
      </w:r>
    </w:p>
    <w:p>
      <w:pPr>
        <w:pStyle w:val="Normal"/>
        <w:ind w:left="360" w:right="0" w:hanging="0"/>
        <w:rPr>
          <w:b/>
          <w:b/>
          <w:bCs/>
          <w:color w:val="auto"/>
        </w:rPr>
      </w:pPr>
      <w:r>
        <w:rPr>
          <w:b/>
          <w:bCs/>
          <w:color w:val="auto"/>
        </w:rPr>
        <w:t>5. Governance Insight, Reporting and Organisational Performance</w:t>
      </w:r>
    </w:p>
    <w:p>
      <w:pPr>
        <w:pStyle w:val="ListParagraph"/>
        <w:widowControl/>
        <w:numPr>
          <w:ilvl w:val="0"/>
          <w:numId w:val="12"/>
        </w:numPr>
        <w:rPr>
          <w:color w:val="auto"/>
        </w:rPr>
      </w:pPr>
      <w:r>
        <w:rPr>
          <w:color w:val="auto"/>
        </w:rPr>
        <w:t>Ensure high-quality reporting, insight and assurance on how the directorate is performing, including progress, risks, controls and organisational health</w:t>
      </w:r>
    </w:p>
    <w:p>
      <w:pPr>
        <w:pStyle w:val="ListParagraph"/>
        <w:widowControl/>
        <w:numPr>
          <w:ilvl w:val="0"/>
          <w:numId w:val="12"/>
        </w:numPr>
        <w:rPr>
          <w:color w:val="auto"/>
        </w:rPr>
      </w:pPr>
      <w:r>
        <w:rPr>
          <w:color w:val="auto"/>
        </w:rPr>
        <w:t>Use data, evidence and management information to identify issues, drive improvement and strengthen decision-making</w:t>
      </w:r>
    </w:p>
    <w:p>
      <w:pPr>
        <w:pStyle w:val="ListParagraph"/>
        <w:widowControl/>
        <w:numPr>
          <w:ilvl w:val="0"/>
          <w:numId w:val="12"/>
        </w:numPr>
        <w:rPr>
          <w:color w:val="auto"/>
        </w:rPr>
      </w:pPr>
      <w:r>
        <w:rPr>
          <w:color w:val="auto"/>
        </w:rPr>
        <w:t>Maintain clear visibility of organisational performance, intervening where grip, standards or delivery confidence need to be strengthened</w:t>
      </w:r>
    </w:p>
    <w:p>
      <w:pPr>
        <w:pStyle w:val="Normal"/>
        <w:ind w:left="360" w:right="0" w:hanging="0"/>
        <w:rPr>
          <w:b/>
          <w:b/>
          <w:bCs/>
          <w:color w:val="auto"/>
        </w:rPr>
      </w:pPr>
      <w:r>
        <w:rPr>
          <w:b/>
          <w:bCs/>
          <w:color w:val="auto"/>
        </w:rPr>
        <w:t>6. Corporate, Statutory and Funding Frameworks</w:t>
      </w:r>
    </w:p>
    <w:p>
      <w:pPr>
        <w:pStyle w:val="ListParagraph"/>
        <w:widowControl/>
        <w:numPr>
          <w:ilvl w:val="0"/>
          <w:numId w:val="13"/>
        </w:numPr>
        <w:rPr>
          <w:color w:val="auto"/>
        </w:rPr>
      </w:pPr>
      <w:r>
        <w:rPr>
          <w:color w:val="auto"/>
        </w:rPr>
        <w:t>Ensure the directorate operates within relevant statutory, corporate, financial, governance and funding frameworks</w:t>
      </w:r>
    </w:p>
    <w:p>
      <w:pPr>
        <w:pStyle w:val="ListParagraph"/>
        <w:widowControl/>
        <w:numPr>
          <w:ilvl w:val="0"/>
          <w:numId w:val="13"/>
        </w:numPr>
        <w:rPr>
          <w:color w:val="auto"/>
        </w:rPr>
      </w:pPr>
      <w:r>
        <w:rPr>
          <w:color w:val="auto"/>
        </w:rPr>
        <w:t>Maintain oversight of compliance requirements, audit recommendations and assurance actions, ensuring these are addressed effectively</w:t>
      </w:r>
    </w:p>
    <w:p>
      <w:pPr>
        <w:pStyle w:val="ListParagraph"/>
        <w:widowControl/>
        <w:numPr>
          <w:ilvl w:val="0"/>
          <w:numId w:val="13"/>
        </w:numPr>
        <w:rPr>
          <w:color w:val="auto"/>
        </w:rPr>
      </w:pPr>
      <w:r>
        <w:rPr>
          <w:color w:val="auto"/>
        </w:rPr>
        <w:t>Provide specialist leadership on public sector governance, funding conditions and assurance expectations</w:t>
      </w:r>
    </w:p>
    <w:p>
      <w:pPr>
        <w:pStyle w:val="Normal"/>
        <w:ind w:left="360" w:right="0" w:hanging="0"/>
        <w:rPr>
          <w:b/>
          <w:b/>
          <w:bCs/>
          <w:color w:val="auto"/>
        </w:rPr>
      </w:pPr>
      <w:r>
        <w:rPr>
          <w:b/>
          <w:bCs/>
          <w:color w:val="auto"/>
        </w:rPr>
        <w:t>7. Corporate Influence and Strategic Alignment</w:t>
      </w:r>
    </w:p>
    <w:p>
      <w:pPr>
        <w:pStyle w:val="ListParagraph"/>
        <w:widowControl/>
        <w:numPr>
          <w:ilvl w:val="0"/>
          <w:numId w:val="14"/>
        </w:numPr>
        <w:rPr>
          <w:color w:val="auto"/>
        </w:rPr>
      </w:pPr>
      <w:r>
        <w:rPr>
          <w:color w:val="auto"/>
        </w:rPr>
        <w:t>Represent Education, Work and Skills in corporate forums, helping shape wider organisational approaches to governance, planning, assurance and continuous improvement</w:t>
      </w:r>
    </w:p>
    <w:p>
      <w:pPr>
        <w:pStyle w:val="ListParagraph"/>
        <w:widowControl/>
        <w:numPr>
          <w:ilvl w:val="0"/>
          <w:numId w:val="14"/>
        </w:numPr>
        <w:rPr>
          <w:color w:val="auto"/>
        </w:rPr>
      </w:pPr>
      <w:r>
        <w:rPr>
          <w:color w:val="auto"/>
        </w:rPr>
        <w:t>Work across GMCA and partner systems to align organisational frameworks, improve consistency and reduce duplication</w:t>
      </w:r>
    </w:p>
    <w:p>
      <w:pPr>
        <w:pStyle w:val="ListParagraph"/>
        <w:widowControl/>
        <w:numPr>
          <w:ilvl w:val="0"/>
          <w:numId w:val="14"/>
        </w:numPr>
        <w:rPr>
          <w:color w:val="auto"/>
        </w:rPr>
      </w:pPr>
      <w:r>
        <w:rPr>
          <w:color w:val="auto"/>
        </w:rPr>
        <w:t>Ensure directorate arrangements remain aligned to wider GMCA priorities, expectations and ways of working</w:t>
      </w:r>
    </w:p>
    <w:p>
      <w:pPr>
        <w:pStyle w:val="Normal"/>
        <w:ind w:left="360" w:right="0" w:hanging="0"/>
        <w:rPr>
          <w:b/>
          <w:b/>
          <w:bCs/>
          <w:color w:val="auto"/>
        </w:rPr>
      </w:pPr>
      <w:r>
        <w:rPr>
          <w:b/>
          <w:bCs/>
          <w:color w:val="auto"/>
        </w:rPr>
        <w:t>8. Stakeholder Leadership and Organisational Confidence</w:t>
      </w:r>
    </w:p>
    <w:p>
      <w:pPr>
        <w:pStyle w:val="ListParagraph"/>
        <w:widowControl/>
        <w:numPr>
          <w:ilvl w:val="0"/>
          <w:numId w:val="15"/>
        </w:numPr>
        <w:rPr>
          <w:color w:val="auto"/>
        </w:rPr>
      </w:pPr>
      <w:r>
        <w:rPr>
          <w:color w:val="auto"/>
        </w:rPr>
        <w:t>Build trusted relationships with senior leaders, corporate services and partners to create confidence in how the directorate is managed and governed</w:t>
      </w:r>
    </w:p>
    <w:p>
      <w:pPr>
        <w:pStyle w:val="ListParagraph"/>
        <w:widowControl/>
        <w:numPr>
          <w:ilvl w:val="0"/>
          <w:numId w:val="15"/>
        </w:numPr>
        <w:rPr>
          <w:color w:val="auto"/>
        </w:rPr>
      </w:pPr>
      <w:r>
        <w:rPr>
          <w:color w:val="auto"/>
        </w:rPr>
        <w:t>Provide confident advice, challenge and assurance to support sound decision-making and effective organisational management</w:t>
      </w:r>
    </w:p>
    <w:p>
      <w:pPr>
        <w:pStyle w:val="ListParagraph"/>
        <w:widowControl/>
        <w:numPr>
          <w:ilvl w:val="0"/>
          <w:numId w:val="15"/>
        </w:numPr>
        <w:rPr>
          <w:color w:val="auto"/>
        </w:rPr>
      </w:pPr>
      <w:r>
        <w:rPr>
          <w:color w:val="auto"/>
        </w:rPr>
        <w:t>Influence others to adopt consistent standards, stronger controls and more effective operating disciplines</w:t>
      </w:r>
    </w:p>
    <w:p>
      <w:pPr>
        <w:pStyle w:val="Normal"/>
        <w:ind w:left="360" w:right="0" w:hanging="0"/>
        <w:rPr>
          <w:b/>
          <w:b/>
          <w:bCs/>
          <w:color w:val="auto"/>
        </w:rPr>
      </w:pPr>
      <w:r>
        <w:rPr>
          <w:b/>
          <w:bCs/>
          <w:color w:val="auto"/>
        </w:rPr>
        <w:t>9. Risk, Assurance and Continuous Improvement</w:t>
      </w:r>
    </w:p>
    <w:p>
      <w:pPr>
        <w:pStyle w:val="ListParagraph"/>
        <w:widowControl/>
        <w:numPr>
          <w:ilvl w:val="0"/>
          <w:numId w:val="16"/>
        </w:numPr>
        <w:rPr>
          <w:color w:val="auto"/>
        </w:rPr>
      </w:pPr>
      <w:r>
        <w:rPr>
          <w:color w:val="auto"/>
        </w:rPr>
        <w:t>Lead the directorate approach to risk management, assurance and continuous improvement, ensuring learning is acted on and controls remain effective</w:t>
      </w:r>
    </w:p>
    <w:p>
      <w:pPr>
        <w:pStyle w:val="ListParagraph"/>
        <w:widowControl/>
        <w:numPr>
          <w:ilvl w:val="0"/>
          <w:numId w:val="16"/>
        </w:numPr>
        <w:rPr>
          <w:color w:val="auto"/>
        </w:rPr>
      </w:pPr>
      <w:r>
        <w:rPr>
          <w:color w:val="auto"/>
        </w:rPr>
        <w:t>Identify structural, governance or performance risks that could affect delivery confidence, compliance or organisational resilience</w:t>
      </w:r>
    </w:p>
    <w:p>
      <w:pPr>
        <w:pStyle w:val="ListParagraph"/>
        <w:widowControl/>
        <w:numPr>
          <w:ilvl w:val="0"/>
          <w:numId w:val="16"/>
        </w:numPr>
        <w:rPr>
          <w:color w:val="auto"/>
        </w:rPr>
      </w:pPr>
      <w:r>
        <w:rPr>
          <w:color w:val="auto"/>
        </w:rPr>
        <w:t>Ensure assurance findings, reviews and improvement actions are translated into strengthened practice and operating disciplines</w:t>
      </w:r>
    </w:p>
    <w:p>
      <w:pPr>
        <w:pStyle w:val="Normal"/>
        <w:ind w:left="360" w:right="0" w:hanging="0"/>
        <w:rPr>
          <w:b/>
          <w:b/>
          <w:bCs/>
          <w:color w:val="auto"/>
        </w:rPr>
      </w:pPr>
      <w:r>
        <w:rPr>
          <w:b/>
          <w:bCs/>
          <w:color w:val="auto"/>
        </w:rPr>
        <w:t>10. Leadership, People and Resources</w:t>
      </w:r>
    </w:p>
    <w:p>
      <w:pPr>
        <w:pStyle w:val="ListParagraph"/>
        <w:widowControl/>
        <w:numPr>
          <w:ilvl w:val="0"/>
          <w:numId w:val="17"/>
        </w:numPr>
        <w:rPr>
          <w:color w:val="auto"/>
        </w:rPr>
      </w:pPr>
      <w:r>
        <w:rPr>
          <w:color w:val="auto"/>
        </w:rPr>
        <w:t>Lead senior teams across governance, planning, performance, PMO and related functions, creating clarity, pace and accountability</w:t>
      </w:r>
    </w:p>
    <w:p>
      <w:pPr>
        <w:pStyle w:val="ListParagraph"/>
        <w:widowControl/>
        <w:numPr>
          <w:ilvl w:val="0"/>
          <w:numId w:val="17"/>
        </w:numPr>
        <w:rPr>
          <w:color w:val="auto"/>
        </w:rPr>
      </w:pPr>
      <w:r>
        <w:rPr>
          <w:color w:val="auto"/>
        </w:rPr>
        <w:t>Ensure effective deployment of people, funding and capacity to strengthen organisational grip, assurance and value for money</w:t>
      </w:r>
    </w:p>
    <w:p>
      <w:pPr>
        <w:pStyle w:val="ListParagraph"/>
        <w:widowControl/>
        <w:numPr>
          <w:ilvl w:val="0"/>
          <w:numId w:val="17"/>
        </w:numPr>
        <w:rPr>
          <w:color w:val="auto"/>
        </w:rPr>
      </w:pPr>
      <w:r>
        <w:rPr>
          <w:color w:val="auto"/>
        </w:rPr>
        <w:t>Build capability and a culture of professionalism, collaboration, consistency and continuous improvement across the directorate</w:t>
      </w:r>
    </w:p>
    <w:p>
      <w:pPr>
        <w:pStyle w:val="Normal"/>
        <w:ind w:left="360" w:right="0" w:hanging="0"/>
        <w:rPr>
          <w:rFonts w:cs="Arial"/>
          <w:szCs w:val="24"/>
        </w:rPr>
      </w:pPr>
      <w:r>
        <w:rPr>
          <w:rFonts w:cs="Arial"/>
          <w:szCs w:val="24"/>
        </w:rPr>
      </w:r>
    </w:p>
    <w:p>
      <w:pPr>
        <w:pStyle w:val="Heading2"/>
        <w:shd w:fill="004F6E" w:val="clear"/>
        <w:rPr>
          <w:rFonts w:cs="Arial"/>
          <w:sz w:val="24"/>
          <w:szCs w:val="24"/>
        </w:rPr>
      </w:pPr>
      <w:r>
        <w:rPr>
          <w:rFonts w:cs="Arial"/>
          <w:sz w:val="24"/>
          <w:szCs w:val="24"/>
        </w:rPr>
        <w:t>General</w:t>
      </w:r>
    </w:p>
    <w:p>
      <w:pPr>
        <w:pStyle w:val="Normal"/>
        <w:ind w:left="993" w:right="0" w:hanging="633"/>
        <w:rPr>
          <w:b/>
          <w:b/>
          <w:color w:val="auto"/>
          <w:szCs w:val="24"/>
        </w:rPr>
      </w:pPr>
      <w:r>
        <w:rPr>
          <w:b/>
          <w:color w:val="auto"/>
          <w:szCs w:val="24"/>
        </w:rPr>
      </w:r>
    </w:p>
    <w:p>
      <w:pPr>
        <w:pStyle w:val="ListParagraph"/>
        <w:numPr>
          <w:ilvl w:val="0"/>
          <w:numId w:val="3"/>
        </w:numPr>
        <w:ind w:left="993" w:right="0" w:hanging="633"/>
        <w:rPr>
          <w:rFonts w:cs="Arial"/>
          <w:color w:val="auto"/>
        </w:rPr>
      </w:pPr>
      <w:r>
        <w:rPr>
          <w:rFonts w:cs="Arial"/>
          <w:color w:val="auto"/>
        </w:rPr>
        <w:t>To always hold yourself and others to a high standard of professionalism, demonstrating your commitment to our values and behaviours as well as ensuring service confidentiality is maintained throughout all we do.</w:t>
      </w:r>
    </w:p>
    <w:p>
      <w:pPr>
        <w:pStyle w:val="ListParagraph"/>
        <w:numPr>
          <w:ilvl w:val="0"/>
          <w:numId w:val="3"/>
        </w:numPr>
        <w:ind w:left="993" w:right="0" w:hanging="633"/>
        <w:rPr>
          <w:rFonts w:eastAsia="Arial" w:cs="Arial"/>
          <w:color w:val="auto"/>
          <w:szCs w:val="24"/>
        </w:rPr>
      </w:pPr>
      <w:r>
        <w:rPr>
          <w:rFonts w:eastAsia="Arial" w:cs="Arial"/>
          <w:color w:val="auto"/>
          <w:szCs w:val="24"/>
        </w:rPr>
        <w:t>Working with other teams internally and externally collaboration is maximised and supporting on activity where appropriate.</w:t>
      </w:r>
    </w:p>
    <w:p>
      <w:pPr>
        <w:pStyle w:val="ListParagraph"/>
        <w:numPr>
          <w:ilvl w:val="0"/>
          <w:numId w:val="3"/>
        </w:numPr>
        <w:ind w:left="993" w:right="0" w:hanging="633"/>
        <w:rPr>
          <w:color w:val="auto"/>
        </w:rPr>
      </w:pPr>
      <w:r>
        <w:rPr>
          <w:color w:val="auto"/>
        </w:rPr>
        <w:t>Ensure the services delivered internally and externally are inclusive and accessible.</w:t>
      </w:r>
    </w:p>
    <w:p>
      <w:pPr>
        <w:pStyle w:val="ListParagraph"/>
        <w:numPr>
          <w:ilvl w:val="0"/>
          <w:numId w:val="3"/>
        </w:numPr>
        <w:ind w:left="993" w:right="0" w:hanging="633"/>
        <w:rPr>
          <w:rFonts w:cs="Arial"/>
          <w:color w:val="auto"/>
        </w:rPr>
      </w:pPr>
      <w:r>
        <w:rPr>
          <w:rFonts w:cs="Arial"/>
          <w:color w:val="auto"/>
        </w:rPr>
        <w:t xml:space="preserve">To align work area to the Sustainability Strategy and ensure work practices are inclusive of this value &amp; strategic intent. </w:t>
      </w:r>
    </w:p>
    <w:p>
      <w:pPr>
        <w:pStyle w:val="Normal"/>
        <w:rPr>
          <w:rFonts w:cs="Arial"/>
          <w:b/>
          <w:b/>
          <w:color w:val="auto"/>
        </w:rPr>
      </w:pPr>
      <w:r>
        <w:rPr>
          <w:rFonts w:cs="Arial"/>
          <w:b/>
          <w:color w:val="auto"/>
        </w:rPr>
        <w:t>NB: This list of duties and responsibilities is by no means exhaustive, and the post holder may be required to undertake other relevant and appropriate duties as required.</w:t>
      </w:r>
    </w:p>
    <w:p>
      <w:pPr>
        <w:pStyle w:val="Heading2"/>
        <w:shd w:fill="004F6E" w:val="clear"/>
        <w:rPr>
          <w:rFonts w:cs="Arial"/>
          <w:sz w:val="24"/>
          <w:szCs w:val="24"/>
        </w:rPr>
      </w:pPr>
      <w:r>
        <w:rPr>
          <w:rFonts w:cs="Arial"/>
          <w:sz w:val="24"/>
          <w:szCs w:val="24"/>
        </w:rPr>
        <w:t>Knowledge, Skills, and Experience</w:t>
      </w:r>
    </w:p>
    <w:p>
      <w:pPr>
        <w:pStyle w:val="Heading3"/>
        <w:rPr>
          <w:rFonts w:cs="Arial"/>
          <w:sz w:val="24"/>
        </w:rPr>
      </w:pPr>
      <w:r>
        <w:rPr>
          <w:rFonts w:cs="Arial"/>
          <w:sz w:val="24"/>
        </w:rPr>
        <w:t>Essential Knowledge &amp; Experience</w:t>
      </w:r>
    </w:p>
    <w:p>
      <w:pPr>
        <w:pStyle w:val="Default"/>
        <w:widowControl/>
        <w:numPr>
          <w:ilvl w:val="0"/>
          <w:numId w:val="4"/>
        </w:numPr>
        <w:rPr/>
      </w:pPr>
      <w:r>
        <w:rPr/>
        <w:t>Extensive senior leadership experience in complex public sector or partnership environments, with a strong track record of delivering strategic and operational outcomes.</w:t>
      </w:r>
    </w:p>
    <w:p>
      <w:pPr>
        <w:pStyle w:val="Default"/>
        <w:widowControl/>
        <w:numPr>
          <w:ilvl w:val="0"/>
          <w:numId w:val="4"/>
        </w:numPr>
        <w:rPr/>
      </w:pPr>
      <w:r>
        <w:rPr/>
        <w:t>Proven ability to lead across multi-partner systems and organisational boundaries, influencing delivery, performance and outcomes without direct authority.</w:t>
      </w:r>
    </w:p>
    <w:p>
      <w:pPr>
        <w:pStyle w:val="Default"/>
        <w:widowControl/>
        <w:numPr>
          <w:ilvl w:val="0"/>
          <w:numId w:val="4"/>
        </w:numPr>
        <w:rPr/>
      </w:pPr>
      <w:r>
        <w:rPr/>
        <w:t>Experience of designing and implementing operating models, governance arrangements or organisational frameworks in complex settings.</w:t>
      </w:r>
    </w:p>
    <w:p>
      <w:pPr>
        <w:pStyle w:val="Default"/>
        <w:widowControl/>
        <w:numPr>
          <w:ilvl w:val="0"/>
          <w:numId w:val="4"/>
        </w:numPr>
        <w:rPr/>
      </w:pPr>
      <w:r>
        <w:rPr/>
        <w:t>High political awareness, with experience of advising senior leaders, elected members and partners in a political environment.</w:t>
      </w:r>
    </w:p>
    <w:p>
      <w:pPr>
        <w:pStyle w:val="Default"/>
        <w:widowControl/>
        <w:numPr>
          <w:ilvl w:val="0"/>
          <w:numId w:val="4"/>
        </w:numPr>
        <w:rPr/>
      </w:pPr>
      <w:r>
        <w:rPr/>
        <w:t>Strong experience of planning, PMO, performance infrastructure, assurance or business management functions at senior level.</w:t>
      </w:r>
    </w:p>
    <w:p>
      <w:pPr>
        <w:pStyle w:val="Default"/>
        <w:widowControl/>
        <w:numPr>
          <w:ilvl w:val="0"/>
          <w:numId w:val="4"/>
        </w:numPr>
        <w:rPr/>
      </w:pPr>
      <w:r>
        <w:rPr/>
        <w:t>Demonstrable experience of financial stewardship, resource planning, risk management and value-for-money oversight within a public sector context.</w:t>
      </w:r>
    </w:p>
    <w:p>
      <w:pPr>
        <w:pStyle w:val="Default"/>
        <w:widowControl/>
        <w:numPr>
          <w:ilvl w:val="0"/>
          <w:numId w:val="4"/>
        </w:numPr>
        <w:rPr/>
      </w:pPr>
      <w:r>
        <w:rPr/>
        <w:t>Strong understanding of public sector governance, statutory responsibilities, assurance requirements and funding frameworks.</w:t>
      </w:r>
    </w:p>
    <w:p>
      <w:pPr>
        <w:pStyle w:val="Default"/>
        <w:widowControl/>
        <w:numPr>
          <w:ilvl w:val="0"/>
          <w:numId w:val="4"/>
        </w:numPr>
        <w:rPr/>
      </w:pPr>
      <w:r>
        <w:rPr/>
        <w:t>Experience of building effective partnerships across public, voluntary, community and private sectors to secure shared delivery.</w:t>
      </w:r>
    </w:p>
    <w:p>
      <w:pPr>
        <w:pStyle w:val="Default"/>
        <w:widowControl/>
        <w:numPr>
          <w:ilvl w:val="0"/>
          <w:numId w:val="4"/>
        </w:numPr>
        <w:rPr/>
      </w:pPr>
      <w:r>
        <w:rPr/>
        <w:t>Understanding of equalities, inclusion and social value within an education, work and skills context.</w:t>
      </w:r>
    </w:p>
    <w:p>
      <w:pPr>
        <w:pStyle w:val="Normal"/>
        <w:rPr>
          <w:rFonts w:eastAsia="Times New Roman" w:cs="Arial"/>
          <w:color w:val="000000"/>
          <w:szCs w:val="24"/>
          <w:lang w:eastAsia="en-GB"/>
        </w:rPr>
      </w:pPr>
      <w:r>
        <w:rPr>
          <w:rFonts w:eastAsia="Times New Roman" w:cs="Arial"/>
          <w:color w:val="000000"/>
          <w:szCs w:val="24"/>
          <w:lang w:eastAsia="en-GB"/>
        </w:rPr>
      </w:r>
    </w:p>
    <w:p>
      <w:pPr>
        <w:pStyle w:val="Default"/>
        <w:rPr/>
      </w:pPr>
      <w:r>
        <w:rPr/>
        <w:t>Desirable knowledge and experience</w:t>
      </w:r>
    </w:p>
    <w:p>
      <w:pPr>
        <w:pStyle w:val="Default"/>
        <w:widowControl/>
        <w:numPr>
          <w:ilvl w:val="0"/>
          <w:numId w:val="6"/>
        </w:numPr>
        <w:rPr/>
      </w:pPr>
      <w:r>
        <w:rPr/>
        <w:t>Degree-level qualification, relevant professional qualification or equivalent experience, with evidence of continued professional development.</w:t>
      </w:r>
    </w:p>
    <w:p>
      <w:pPr>
        <w:pStyle w:val="Default"/>
        <w:widowControl/>
        <w:numPr>
          <w:ilvl w:val="0"/>
          <w:numId w:val="6"/>
        </w:numPr>
        <w:rPr/>
      </w:pPr>
      <w:r>
        <w:rPr/>
        <w:t>Leadership and management qualification or equivalent senior leadership experience.</w:t>
      </w:r>
    </w:p>
    <w:p>
      <w:pPr>
        <w:pStyle w:val="Default"/>
        <w:widowControl/>
        <w:numPr>
          <w:ilvl w:val="0"/>
          <w:numId w:val="6"/>
        </w:numPr>
        <w:rPr/>
      </w:pPr>
      <w:r>
        <w:rPr/>
        <w:t>Experience of influencing national policy, contributing to system reform or shaping funding and delivery frameworks.</w:t>
      </w:r>
    </w:p>
    <w:p>
      <w:pPr>
        <w:pStyle w:val="Default"/>
        <w:rPr/>
      </w:pPr>
      <w:r>
        <w:rPr/>
      </w:r>
    </w:p>
    <w:p>
      <w:pPr>
        <w:pStyle w:val="Default"/>
        <w:rPr/>
      </w:pPr>
      <w:r>
        <w:rPr/>
      </w:r>
    </w:p>
    <w:p>
      <w:pPr>
        <w:pStyle w:val="Heading3"/>
        <w:rPr/>
      </w:pPr>
      <w:r>
        <w:rPr>
          <w:rFonts w:cs="Arial"/>
          <w:b/>
          <w:bCs/>
          <w:sz w:val="24"/>
        </w:rPr>
        <w:t>Essential Skills, Values</w:t>
      </w:r>
      <w:r>
        <w:rPr>
          <w:rFonts w:cs="Arial"/>
          <w:b/>
          <w:bCs/>
          <w:spacing w:val="-3"/>
          <w:sz w:val="24"/>
        </w:rPr>
        <w:t xml:space="preserve"> </w:t>
      </w:r>
      <w:r>
        <w:rPr>
          <w:rFonts w:cs="Arial"/>
          <w:b/>
          <w:bCs/>
          <w:sz w:val="24"/>
        </w:rPr>
        <w:t>&amp;</w:t>
      </w:r>
      <w:r>
        <w:rPr>
          <w:rFonts w:cs="Arial"/>
          <w:b/>
          <w:bCs/>
          <w:spacing w:val="-3"/>
          <w:sz w:val="24"/>
        </w:rPr>
        <w:t xml:space="preserve"> </w:t>
      </w:r>
      <w:r>
        <w:rPr>
          <w:rFonts w:cs="Arial"/>
          <w:b/>
          <w:bCs/>
          <w:sz w:val="24"/>
        </w:rPr>
        <w:t>Behaviours</w:t>
      </w:r>
    </w:p>
    <w:p>
      <w:pPr>
        <w:pStyle w:val="ListParagraph"/>
        <w:widowControl/>
        <w:numPr>
          <w:ilvl w:val="0"/>
          <w:numId w:val="18"/>
        </w:numPr>
        <w:rPr/>
      </w:pPr>
      <w:r>
        <w:rPr/>
        <w:t>Exercises strong professional judgement, proactively identifying, managing and mitigating strategic and organisational risks in high-accountability environments</w:t>
      </w:r>
    </w:p>
    <w:p>
      <w:pPr>
        <w:pStyle w:val="ListParagraph"/>
        <w:widowControl/>
        <w:numPr>
          <w:ilvl w:val="0"/>
          <w:numId w:val="18"/>
        </w:numPr>
        <w:rPr>
          <w:color w:val="000000"/>
        </w:rPr>
      </w:pPr>
      <w:r>
        <w:rPr>
          <w:color w:val="000000"/>
        </w:rPr>
        <w:t>Strong financial, governance and organisational awareness, including oversight of budgets, controls, assurance arrangements and value for money</w:t>
      </w:r>
    </w:p>
    <w:p>
      <w:pPr>
        <w:pStyle w:val="ListParagraph"/>
        <w:widowControl/>
        <w:numPr>
          <w:ilvl w:val="0"/>
          <w:numId w:val="18"/>
        </w:numPr>
        <w:rPr/>
      </w:pPr>
      <w:r>
        <w:rPr/>
        <w:t>Communicates complex governance, performance and organisational issues clearly and persuasively to executive, political and partner audiences</w:t>
      </w:r>
    </w:p>
    <w:p>
      <w:pPr>
        <w:pStyle w:val="ListParagraph"/>
        <w:numPr>
          <w:ilvl w:val="0"/>
          <w:numId w:val="18"/>
        </w:numPr>
        <w:rPr>
          <w:b/>
          <w:b/>
          <w:bCs/>
        </w:rPr>
      </w:pPr>
      <w:r>
        <w:rPr>
          <w:b/>
          <w:bCs/>
        </w:rPr>
        <w:t>Collaboration</w:t>
      </w:r>
    </w:p>
    <w:p>
      <w:pPr>
        <w:pStyle w:val="ListParagraph"/>
        <w:numPr>
          <w:ilvl w:val="1"/>
          <w:numId w:val="18"/>
        </w:numPr>
        <w:rPr/>
      </w:pPr>
      <w:r>
        <w:rPr/>
        <w:t>Builds strong, trusted relationships across GMCA, districts, partners and stakeholders to enable shared ownership and delivery of system-wide outcomes</w:t>
      </w:r>
    </w:p>
    <w:p>
      <w:pPr>
        <w:pStyle w:val="ListParagraph"/>
        <w:numPr>
          <w:ilvl w:val="1"/>
          <w:numId w:val="18"/>
        </w:numPr>
        <w:rPr/>
      </w:pPr>
      <w:r>
        <w:rPr/>
        <w:t>Works across organisational and sector boundaries, aligning priorities and resolving dependencies to achieve collective impact</w:t>
      </w:r>
    </w:p>
    <w:p>
      <w:pPr>
        <w:pStyle w:val="ListParagraph"/>
        <w:numPr>
          <w:ilvl w:val="0"/>
          <w:numId w:val="18"/>
        </w:numPr>
        <w:rPr>
          <w:b/>
          <w:b/>
          <w:bCs/>
        </w:rPr>
      </w:pPr>
      <w:r>
        <w:rPr>
          <w:b/>
          <w:bCs/>
        </w:rPr>
        <w:t>Empowerment</w:t>
      </w:r>
    </w:p>
    <w:p>
      <w:pPr>
        <w:pStyle w:val="ListParagraph"/>
        <w:numPr>
          <w:ilvl w:val="1"/>
          <w:numId w:val="18"/>
        </w:numPr>
        <w:rPr/>
      </w:pPr>
      <w:r>
        <w:rPr/>
        <w:t>Creates an environment where individuals and teams are empowered to take ownership, make decisions and deliver at pace within clear frameworks</w:t>
      </w:r>
    </w:p>
    <w:p>
      <w:pPr>
        <w:pStyle w:val="ListParagraph"/>
        <w:numPr>
          <w:ilvl w:val="1"/>
          <w:numId w:val="18"/>
        </w:numPr>
        <w:rPr/>
      </w:pPr>
      <w:r>
        <w:rPr/>
        <w:t>Develops leadership capability and builds confidence at all levels, enabling others to perform at their best</w:t>
      </w:r>
    </w:p>
    <w:p>
      <w:pPr>
        <w:pStyle w:val="ListParagraph"/>
        <w:numPr>
          <w:ilvl w:val="1"/>
          <w:numId w:val="18"/>
        </w:numPr>
        <w:rPr/>
      </w:pPr>
      <w:r>
        <w:rPr/>
        <w:t>Encourages constructive challenge and diverse perspectives to strengthen decision-making and improve outcomes</w:t>
      </w:r>
    </w:p>
    <w:p>
      <w:pPr>
        <w:pStyle w:val="ListParagraph"/>
        <w:numPr>
          <w:ilvl w:val="0"/>
          <w:numId w:val="18"/>
        </w:numPr>
        <w:rPr>
          <w:b/>
          <w:b/>
          <w:bCs/>
        </w:rPr>
      </w:pPr>
      <w:r>
        <w:rPr>
          <w:b/>
          <w:bCs/>
        </w:rPr>
        <w:t>Delivery</w:t>
      </w:r>
    </w:p>
    <w:p>
      <w:pPr>
        <w:pStyle w:val="ListParagraph"/>
        <w:numPr>
          <w:ilvl w:val="1"/>
          <w:numId w:val="18"/>
        </w:numPr>
        <w:rPr/>
      </w:pPr>
      <w:r>
        <w:rPr/>
        <w:t>Sets clear expectations and direction, maintaining focus on outcomes, pace and impact across complex delivery environments</w:t>
      </w:r>
    </w:p>
    <w:p>
      <w:pPr>
        <w:pStyle w:val="ListParagraph"/>
        <w:numPr>
          <w:ilvl w:val="1"/>
          <w:numId w:val="18"/>
        </w:numPr>
        <w:rPr/>
      </w:pPr>
      <w:r>
        <w:rPr/>
        <w:t>Holds self and others to account for performance, ensuring delivery against agreed priorities and standards</w:t>
      </w:r>
    </w:p>
    <w:p>
      <w:pPr>
        <w:pStyle w:val="ListParagraph"/>
        <w:numPr>
          <w:ilvl w:val="1"/>
          <w:numId w:val="18"/>
        </w:numPr>
        <w:rPr/>
      </w:pPr>
      <w:r>
        <w:rPr/>
        <w:t>Uses data, insight and learning to drive continuous improvement, manage risk and maximise value for money</w:t>
      </w:r>
    </w:p>
    <w:p>
      <w:pPr>
        <w:pStyle w:val="Normal"/>
        <w:rPr/>
      </w:pPr>
      <w:r>
        <w:rPr/>
      </w:r>
    </w:p>
    <w:p>
      <w:pPr>
        <w:pStyle w:val="Normal"/>
        <w:spacing w:before="240" w:after="240"/>
        <w:rPr>
          <w:rFonts w:cs="Arial"/>
          <w:b/>
          <w:b/>
          <w:color w:val="auto"/>
          <w:sz w:val="22"/>
        </w:rPr>
      </w:pPr>
      <w:r>
        <w:rPr>
          <w:rFonts w:cs="Arial"/>
          <w:b/>
          <w:color w:val="auto"/>
          <w:sz w:val="22"/>
        </w:rPr>
        <w:t>FOR ROLES EXEMPT FROM THE REHABILITATION OF OFFENDERS ACT:</w:t>
      </w:r>
    </w:p>
    <w:p>
      <w:pPr>
        <w:pStyle w:val="Normal"/>
        <w:rPr>
          <w:rFonts w:cs="Arial"/>
          <w:b/>
          <w:b/>
          <w:color w:val="auto"/>
          <w:sz w:val="22"/>
        </w:rPr>
      </w:pPr>
      <w:r>
        <w:rPr>
          <w:rFonts w:cs="Arial"/>
          <w:b/>
          <w:color w:val="auto"/>
          <w:sz w:val="22"/>
        </w:rPr>
        <w:t>This role is exempt from the Rehabilitation of Offenders Act (1974) and will require disclosure of all convictions including those considered spent under the Act. The role holder will be subject to an Enhanced level check by the Disclosure &amp; Barring Service.</w:t>
      </w:r>
    </w:p>
    <w:p>
      <w:pPr>
        <w:pStyle w:val="Normal"/>
        <w:spacing w:before="240" w:after="240"/>
        <w:rPr>
          <w:rFonts w:cs="Arial"/>
          <w:b/>
          <w:b/>
          <w:color w:val="auto"/>
          <w:sz w:val="22"/>
        </w:rPr>
      </w:pPr>
      <w:r>
        <w:rPr>
          <w:rFonts w:cs="Arial"/>
          <w:b/>
          <w:color w:val="auto"/>
          <w:sz w:val="22"/>
        </w:rPr>
      </w:r>
    </w:p>
    <w:p>
      <w:pPr>
        <w:pStyle w:val="Normal"/>
        <w:spacing w:before="240" w:after="240"/>
        <w:rPr>
          <w:rFonts w:cs="Arial"/>
          <w:b/>
          <w:b/>
          <w:color w:val="auto"/>
          <w:sz w:val="22"/>
        </w:rPr>
      </w:pPr>
      <w:r>
        <w:rPr>
          <w:rFonts w:cs="Arial"/>
          <w:b/>
          <w:color w:val="auto"/>
          <w:sz w:val="22"/>
        </w:rPr>
        <w:t>FOR POLITICALLY RESTRICTED POSTS:</w:t>
      </w:r>
    </w:p>
    <w:p>
      <w:pPr>
        <w:pStyle w:val="Normal"/>
        <w:jc w:val="both"/>
        <w:rPr>
          <w:rFonts w:cs="Arial"/>
          <w:b/>
          <w:b/>
          <w:color w:val="auto"/>
          <w:sz w:val="22"/>
        </w:rPr>
      </w:pPr>
      <w:r>
        <w:rPr>
          <w:rFonts w:cs="Arial"/>
          <w:b/>
          <w:color w:val="auto"/>
          <w:sz w:val="22"/>
        </w:rPr>
        <w:t>This post is a politically restricted post, as defined by the Local Government and Housing Act 1989 (as amended by Section 30 of the Local Democracy, Economic Development and Construction Act 2009) on one of the following grounds:</w:t>
      </w:r>
    </w:p>
    <w:p>
      <w:pPr>
        <w:pStyle w:val="ListParagraph"/>
        <w:widowControl/>
        <w:numPr>
          <w:ilvl w:val="0"/>
          <w:numId w:val="5"/>
        </w:numPr>
        <w:spacing w:lineRule="auto" w:line="256" w:before="0" w:after="160"/>
        <w:contextualSpacing/>
        <w:jc w:val="both"/>
        <w:rPr>
          <w:b/>
          <w:b/>
          <w:color w:val="auto"/>
        </w:rPr>
      </w:pPr>
      <w:r>
        <w:rPr>
          <w:b/>
          <w:color w:val="auto"/>
        </w:rPr>
        <w:t>the post is that of a Chief Officer or Deputy Chief Officer or</w:t>
      </w:r>
    </w:p>
    <w:p>
      <w:pPr>
        <w:pStyle w:val="ListParagraph"/>
        <w:widowControl/>
        <w:numPr>
          <w:ilvl w:val="0"/>
          <w:numId w:val="5"/>
        </w:numPr>
        <w:spacing w:lineRule="auto" w:line="256" w:before="0" w:after="160"/>
        <w:contextualSpacing/>
        <w:jc w:val="both"/>
        <w:rPr>
          <w:b/>
          <w:b/>
          <w:color w:val="auto"/>
        </w:rPr>
      </w:pPr>
      <w:r>
        <w:rPr>
          <w:b/>
          <w:color w:val="auto"/>
        </w:rPr>
        <w:t>the post has delegated powers to discharge the functions of the Authority; or</w:t>
      </w:r>
    </w:p>
    <w:p>
      <w:pPr>
        <w:pStyle w:val="ListParagraph"/>
        <w:widowControl/>
        <w:numPr>
          <w:ilvl w:val="0"/>
          <w:numId w:val="5"/>
        </w:numPr>
        <w:spacing w:lineRule="auto" w:line="256" w:before="0" w:after="160"/>
        <w:contextualSpacing/>
        <w:jc w:val="both"/>
        <w:rPr>
          <w:b/>
          <w:b/>
          <w:color w:val="auto"/>
        </w:rPr>
      </w:pPr>
      <w:r>
        <w:rPr>
          <w:b/>
          <w:color w:val="auto"/>
        </w:rPr>
        <w:t>the duties associated with the post include giving advice on a regular basis to the Authority, to Committees or Sub-Committees of the Authority (including member panels, Sub-Committees etc.) or to joint committees on which the Authority is represented or give advice to Executive Members, Committees or speak to the media.</w:t>
      </w:r>
    </w:p>
    <w:p>
      <w:pPr>
        <w:pStyle w:val="Normal"/>
        <w:spacing w:before="240" w:after="240"/>
        <w:rPr>
          <w:rFonts w:cs="Arial"/>
          <w:b/>
          <w:b/>
          <w:color w:val="auto"/>
          <w:sz w:val="22"/>
        </w:rPr>
      </w:pPr>
      <w:r>
        <w:rPr>
          <w:rFonts w:cs="Arial"/>
          <w:b/>
          <w:color w:val="auto"/>
          <w:sz w:val="22"/>
        </w:rPr>
        <w:t>The post holder has a right to appeal to the GMCA Chief Executive against the classification of their post as politically restricted.</w:t>
      </w:r>
    </w:p>
    <w:p>
      <w:pPr>
        <w:pStyle w:val="Normal"/>
        <w:ind w:left="993" w:right="0" w:hanging="633"/>
        <w:rPr>
          <w:rFonts w:cs="Arial"/>
          <w:szCs w:val="24"/>
        </w:rPr>
      </w:pPr>
      <w:r>
        <w:rPr>
          <w:rFonts w:cs="Arial"/>
          <w:szCs w:val="24"/>
        </w:rPr>
      </w:r>
    </w:p>
    <w:p>
      <w:pPr>
        <w:pStyle w:val="Heading2"/>
        <w:shd w:fill="004F6E" w:val="clear"/>
        <w:rPr>
          <w:rFonts w:cs="Arial"/>
          <w:sz w:val="24"/>
          <w:szCs w:val="24"/>
        </w:rPr>
      </w:pPr>
      <w:r>
        <w:rPr>
          <w:rFonts w:cs="Arial"/>
          <w:sz w:val="24"/>
          <w:szCs w:val="24"/>
        </w:rPr>
        <w:t>Corporate Duties</w:t>
      </w:r>
    </w:p>
    <w:p>
      <w:pPr>
        <w:pStyle w:val="Normal"/>
        <w:rPr/>
      </w:pPr>
      <w:r>
        <w:rPr>
          <w:rFonts w:cs="Arial"/>
          <w:i/>
          <w:iCs/>
          <w:sz w:val="20"/>
          <w:szCs w:val="20"/>
        </w:rPr>
        <w:t>Do not behave in way which discriminates against your fellow employees, or potential</w:t>
      </w:r>
      <w:r>
        <w:rPr>
          <w:rFonts w:cs="Arial"/>
          <w:i/>
          <w:iCs/>
          <w:spacing w:val="1"/>
          <w:sz w:val="20"/>
          <w:szCs w:val="20"/>
        </w:rPr>
        <w:t xml:space="preserve"> </w:t>
      </w:r>
      <w:r>
        <w:rPr>
          <w:rFonts w:cs="Arial"/>
          <w:i/>
          <w:iCs/>
          <w:sz w:val="20"/>
          <w:szCs w:val="20"/>
        </w:rPr>
        <w:t>employees on the grounds of their sex, sexual orientation, marital status, race, religion,</w:t>
      </w:r>
      <w:r>
        <w:rPr>
          <w:rFonts w:cs="Arial"/>
          <w:i/>
          <w:iCs/>
          <w:spacing w:val="-59"/>
          <w:sz w:val="20"/>
          <w:szCs w:val="20"/>
        </w:rPr>
        <w:t xml:space="preserve"> </w:t>
      </w:r>
      <w:r>
        <w:rPr>
          <w:rFonts w:cs="Arial"/>
          <w:i/>
          <w:iCs/>
          <w:sz w:val="20"/>
          <w:szCs w:val="20"/>
        </w:rPr>
        <w:t>creed,</w:t>
      </w:r>
      <w:r>
        <w:rPr>
          <w:rFonts w:cs="Arial"/>
          <w:i/>
          <w:iCs/>
          <w:spacing w:val="-2"/>
          <w:sz w:val="20"/>
          <w:szCs w:val="20"/>
        </w:rPr>
        <w:t xml:space="preserve"> </w:t>
      </w:r>
      <w:r>
        <w:rPr>
          <w:rFonts w:cs="Arial"/>
          <w:i/>
          <w:iCs/>
          <w:sz w:val="20"/>
          <w:szCs w:val="20"/>
        </w:rPr>
        <w:t>colour,</w:t>
      </w:r>
      <w:r>
        <w:rPr>
          <w:rFonts w:cs="Arial"/>
          <w:i/>
          <w:iCs/>
          <w:spacing w:val="2"/>
          <w:sz w:val="20"/>
          <w:szCs w:val="20"/>
        </w:rPr>
        <w:t xml:space="preserve"> </w:t>
      </w:r>
      <w:r>
        <w:rPr>
          <w:rFonts w:cs="Arial"/>
          <w:i/>
          <w:iCs/>
          <w:sz w:val="20"/>
          <w:szCs w:val="20"/>
        </w:rPr>
        <w:t>nationality,</w:t>
      </w:r>
      <w:r>
        <w:rPr>
          <w:rFonts w:cs="Arial"/>
          <w:i/>
          <w:iCs/>
          <w:spacing w:val="2"/>
          <w:sz w:val="20"/>
          <w:szCs w:val="20"/>
        </w:rPr>
        <w:t xml:space="preserve"> </w:t>
      </w:r>
      <w:r>
        <w:rPr>
          <w:rFonts w:cs="Arial"/>
          <w:i/>
          <w:iCs/>
          <w:sz w:val="20"/>
          <w:szCs w:val="20"/>
        </w:rPr>
        <w:t>ethnic</w:t>
      </w:r>
      <w:r>
        <w:rPr>
          <w:rFonts w:cs="Arial"/>
          <w:i/>
          <w:iCs/>
          <w:spacing w:val="1"/>
          <w:sz w:val="20"/>
          <w:szCs w:val="20"/>
        </w:rPr>
        <w:t xml:space="preserve"> </w:t>
      </w:r>
      <w:r>
        <w:rPr>
          <w:rFonts w:cs="Arial"/>
          <w:i/>
          <w:iCs/>
          <w:sz w:val="20"/>
          <w:szCs w:val="20"/>
        </w:rPr>
        <w:t>origin</w:t>
      </w:r>
      <w:r>
        <w:rPr>
          <w:rFonts w:cs="Arial"/>
          <w:i/>
          <w:iCs/>
          <w:spacing w:val="1"/>
          <w:sz w:val="20"/>
          <w:szCs w:val="20"/>
        </w:rPr>
        <w:t xml:space="preserve"> </w:t>
      </w:r>
      <w:r>
        <w:rPr>
          <w:rFonts w:cs="Arial"/>
          <w:i/>
          <w:iCs/>
          <w:sz w:val="20"/>
          <w:szCs w:val="20"/>
        </w:rPr>
        <w:t>or</w:t>
      </w:r>
      <w:r>
        <w:rPr>
          <w:rFonts w:cs="Arial"/>
          <w:i/>
          <w:iCs/>
          <w:spacing w:val="-2"/>
          <w:sz w:val="20"/>
          <w:szCs w:val="20"/>
        </w:rPr>
        <w:t xml:space="preserve"> </w:t>
      </w:r>
      <w:r>
        <w:rPr>
          <w:rFonts w:cs="Arial"/>
          <w:i/>
          <w:iCs/>
          <w:sz w:val="20"/>
          <w:szCs w:val="20"/>
        </w:rPr>
        <w:t>disability.</w:t>
      </w:r>
    </w:p>
    <w:p>
      <w:pPr>
        <w:pStyle w:val="Normal"/>
        <w:rPr/>
      </w:pPr>
      <w:r>
        <w:rPr>
          <w:rFonts w:cs="Arial"/>
          <w:i/>
          <w:iCs/>
          <w:sz w:val="20"/>
          <w:szCs w:val="20"/>
        </w:rPr>
        <w:t xml:space="preserve">Safeguard at all times confidentiality of information relating to staff and pensioners. </w:t>
      </w:r>
      <w:r>
        <w:rPr>
          <w:rFonts w:cs="Arial"/>
          <w:i/>
          <w:iCs/>
          <w:spacing w:val="-59"/>
          <w:sz w:val="20"/>
          <w:szCs w:val="20"/>
        </w:rPr>
        <w:t xml:space="preserve"> </w:t>
      </w:r>
      <w:r>
        <w:rPr>
          <w:rFonts w:cs="Arial"/>
          <w:i/>
          <w:iCs/>
          <w:sz w:val="20"/>
          <w:szCs w:val="20"/>
        </w:rPr>
        <w:t>Refrain</w:t>
      </w:r>
      <w:r>
        <w:rPr>
          <w:rFonts w:cs="Arial"/>
          <w:i/>
          <w:iCs/>
          <w:spacing w:val="-3"/>
          <w:sz w:val="20"/>
          <w:szCs w:val="20"/>
        </w:rPr>
        <w:t xml:space="preserve"> </w:t>
      </w:r>
      <w:r>
        <w:rPr>
          <w:rFonts w:cs="Arial"/>
          <w:i/>
          <w:iCs/>
          <w:sz w:val="20"/>
          <w:szCs w:val="20"/>
        </w:rPr>
        <w:t>from</w:t>
      </w:r>
      <w:r>
        <w:rPr>
          <w:rFonts w:cs="Arial"/>
          <w:i/>
          <w:iCs/>
          <w:spacing w:val="2"/>
          <w:sz w:val="20"/>
          <w:szCs w:val="20"/>
        </w:rPr>
        <w:t xml:space="preserve"> </w:t>
      </w:r>
      <w:r>
        <w:rPr>
          <w:rFonts w:cs="Arial"/>
          <w:i/>
          <w:iCs/>
          <w:sz w:val="20"/>
          <w:szCs w:val="20"/>
        </w:rPr>
        <w:t>smoking</w:t>
      </w:r>
      <w:r>
        <w:rPr>
          <w:rFonts w:cs="Arial"/>
          <w:i/>
          <w:iCs/>
          <w:spacing w:val="4"/>
          <w:sz w:val="20"/>
          <w:szCs w:val="20"/>
        </w:rPr>
        <w:t xml:space="preserve"> </w:t>
      </w:r>
      <w:r>
        <w:rPr>
          <w:rFonts w:cs="Arial"/>
          <w:i/>
          <w:iCs/>
          <w:sz w:val="20"/>
          <w:szCs w:val="20"/>
        </w:rPr>
        <w:t>in</w:t>
      </w:r>
      <w:r>
        <w:rPr>
          <w:rFonts w:cs="Arial"/>
          <w:i/>
          <w:iCs/>
          <w:spacing w:val="-5"/>
          <w:sz w:val="20"/>
          <w:szCs w:val="20"/>
        </w:rPr>
        <w:t xml:space="preserve"> </w:t>
      </w:r>
      <w:r>
        <w:rPr>
          <w:rFonts w:cs="Arial"/>
          <w:i/>
          <w:iCs/>
          <w:sz w:val="20"/>
          <w:szCs w:val="20"/>
        </w:rPr>
        <w:t>any</w:t>
      </w:r>
      <w:r>
        <w:rPr>
          <w:rFonts w:cs="Arial"/>
          <w:i/>
          <w:iCs/>
          <w:spacing w:val="-1"/>
          <w:sz w:val="20"/>
          <w:szCs w:val="20"/>
        </w:rPr>
        <w:t xml:space="preserve"> </w:t>
      </w:r>
      <w:r>
        <w:rPr>
          <w:rFonts w:cs="Arial"/>
          <w:i/>
          <w:iCs/>
          <w:sz w:val="20"/>
          <w:szCs w:val="20"/>
        </w:rPr>
        <w:t>areas</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premises.</w:t>
      </w:r>
    </w:p>
    <w:p>
      <w:pPr>
        <w:pStyle w:val="Normal"/>
        <w:rPr/>
      </w:pPr>
      <w:r>
        <w:rPr>
          <w:rFonts w:cs="Arial"/>
          <w:i/>
          <w:iCs/>
          <w:sz w:val="20"/>
          <w:szCs w:val="20"/>
        </w:rPr>
        <w:t>Behave in a manner that ensures the security of property and resources.</w:t>
      </w:r>
      <w:r>
        <w:rPr>
          <w:rFonts w:cs="Arial"/>
          <w:i/>
          <w:iCs/>
          <w:spacing w:val="-59"/>
          <w:sz w:val="20"/>
          <w:szCs w:val="20"/>
        </w:rPr>
        <w:t xml:space="preserve"> </w:t>
      </w:r>
      <w:r>
        <w:rPr>
          <w:rFonts w:cs="Arial"/>
          <w:i/>
          <w:iCs/>
          <w:sz w:val="20"/>
          <w:szCs w:val="20"/>
        </w:rPr>
        <w:t>Abide</w:t>
      </w:r>
      <w:r>
        <w:rPr>
          <w:rFonts w:cs="Arial"/>
          <w:i/>
          <w:iCs/>
          <w:spacing w:val="-1"/>
          <w:sz w:val="20"/>
          <w:szCs w:val="20"/>
        </w:rPr>
        <w:t xml:space="preserve"> </w:t>
      </w:r>
      <w:r>
        <w:rPr>
          <w:rFonts w:cs="Arial"/>
          <w:i/>
          <w:iCs/>
          <w:sz w:val="20"/>
          <w:szCs w:val="20"/>
        </w:rPr>
        <w:t>by</w:t>
      </w:r>
      <w:r>
        <w:rPr>
          <w:rFonts w:cs="Arial"/>
          <w:i/>
          <w:iCs/>
          <w:spacing w:val="-2"/>
          <w:sz w:val="20"/>
          <w:szCs w:val="20"/>
        </w:rPr>
        <w:t xml:space="preserve"> </w:t>
      </w:r>
      <w:r>
        <w:rPr>
          <w:rFonts w:cs="Arial"/>
          <w:i/>
          <w:iCs/>
          <w:sz w:val="20"/>
          <w:szCs w:val="20"/>
        </w:rPr>
        <w:t>all relevant</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Policies and Procedures.</w:t>
      </w:r>
    </w:p>
    <w:p>
      <w:pPr>
        <w:pStyle w:val="Normal"/>
        <w:rPr/>
      </w:pPr>
      <w:r>
        <w:rPr>
          <w:rFonts w:cs="Arial"/>
          <w:b/>
          <w:bCs/>
          <w:i/>
          <w:iCs/>
          <w:sz w:val="20"/>
          <w:szCs w:val="20"/>
        </w:rPr>
        <w:t>Records Management / Data Protection</w:t>
      </w:r>
      <w:r>
        <w:rPr>
          <w:rFonts w:cs="Arial"/>
          <w:i/>
          <w:iCs/>
          <w:sz w:val="20"/>
          <w:szCs w:val="20"/>
        </w:rPr>
        <w:t xml:space="preserve"> - As an employee of the GMCA, you have a legal</w:t>
      </w:r>
      <w:r>
        <w:rPr>
          <w:rFonts w:cs="Arial"/>
          <w:i/>
          <w:iCs/>
          <w:spacing w:val="1"/>
          <w:sz w:val="20"/>
          <w:szCs w:val="20"/>
        </w:rPr>
        <w:t xml:space="preserve"> </w:t>
      </w:r>
      <w:r>
        <w:rPr>
          <w:rFonts w:cs="Arial"/>
          <w:i/>
          <w:iCs/>
          <w:spacing w:val="-1"/>
          <w:sz w:val="20"/>
          <w:szCs w:val="20"/>
        </w:rPr>
        <w:t>responsibility</w:t>
      </w:r>
      <w:r>
        <w:rPr>
          <w:rFonts w:cs="Arial"/>
          <w:i/>
          <w:iCs/>
          <w:spacing w:val="-16"/>
          <w:sz w:val="20"/>
          <w:szCs w:val="20"/>
        </w:rPr>
        <w:t xml:space="preserve"> </w:t>
      </w:r>
      <w:r>
        <w:rPr>
          <w:rFonts w:cs="Arial"/>
          <w:i/>
          <w:iCs/>
          <w:spacing w:val="-1"/>
          <w:sz w:val="20"/>
          <w:szCs w:val="20"/>
        </w:rPr>
        <w:t>for</w:t>
      </w:r>
      <w:r>
        <w:rPr>
          <w:rFonts w:cs="Arial"/>
          <w:i/>
          <w:iCs/>
          <w:spacing w:val="-15"/>
          <w:sz w:val="20"/>
          <w:szCs w:val="20"/>
        </w:rPr>
        <w:t xml:space="preserve"> </w:t>
      </w:r>
      <w:r>
        <w:rPr>
          <w:rFonts w:cs="Arial"/>
          <w:i/>
          <w:iCs/>
          <w:spacing w:val="-1"/>
          <w:sz w:val="20"/>
          <w:szCs w:val="20"/>
        </w:rPr>
        <w:t>all</w:t>
      </w:r>
      <w:r>
        <w:rPr>
          <w:rFonts w:cs="Arial"/>
          <w:i/>
          <w:iCs/>
          <w:spacing w:val="-14"/>
          <w:sz w:val="20"/>
          <w:szCs w:val="20"/>
        </w:rPr>
        <w:t xml:space="preserve"> </w:t>
      </w:r>
      <w:r>
        <w:rPr>
          <w:rFonts w:cs="Arial"/>
          <w:i/>
          <w:iCs/>
          <w:spacing w:val="-1"/>
          <w:sz w:val="20"/>
          <w:szCs w:val="20"/>
        </w:rPr>
        <w:t>records</w:t>
      </w:r>
      <w:r>
        <w:rPr>
          <w:rFonts w:cs="Arial"/>
          <w:i/>
          <w:iCs/>
          <w:spacing w:val="-13"/>
          <w:sz w:val="20"/>
          <w:szCs w:val="20"/>
        </w:rPr>
        <w:t xml:space="preserve"> </w:t>
      </w:r>
      <w:r>
        <w:rPr>
          <w:rFonts w:cs="Arial"/>
          <w:i/>
          <w:iCs/>
          <w:sz w:val="20"/>
          <w:szCs w:val="20"/>
        </w:rPr>
        <w:t>(including</w:t>
      </w:r>
      <w:r>
        <w:rPr>
          <w:rFonts w:cs="Arial"/>
          <w:i/>
          <w:iCs/>
          <w:spacing w:val="-11"/>
          <w:sz w:val="20"/>
          <w:szCs w:val="20"/>
        </w:rPr>
        <w:t xml:space="preserve"> </w:t>
      </w:r>
      <w:r>
        <w:rPr>
          <w:rFonts w:cs="Arial"/>
          <w:i/>
          <w:iCs/>
          <w:sz w:val="20"/>
          <w:szCs w:val="20"/>
        </w:rPr>
        <w:t>employee</w:t>
      </w:r>
      <w:r>
        <w:rPr>
          <w:rFonts w:cs="Arial"/>
          <w:i/>
          <w:iCs/>
          <w:spacing w:val="-13"/>
          <w:sz w:val="20"/>
          <w:szCs w:val="20"/>
        </w:rPr>
        <w:t xml:space="preserve"> </w:t>
      </w:r>
      <w:r>
        <w:rPr>
          <w:rFonts w:cs="Arial"/>
          <w:i/>
          <w:iCs/>
          <w:sz w:val="20"/>
          <w:szCs w:val="20"/>
        </w:rPr>
        <w:t>health,</w:t>
      </w:r>
      <w:r>
        <w:rPr>
          <w:rFonts w:cs="Arial"/>
          <w:i/>
          <w:iCs/>
          <w:spacing w:val="-15"/>
          <w:sz w:val="20"/>
          <w:szCs w:val="20"/>
        </w:rPr>
        <w:t xml:space="preserve"> </w:t>
      </w:r>
      <w:r>
        <w:rPr>
          <w:rFonts w:cs="Arial"/>
          <w:i/>
          <w:iCs/>
          <w:sz w:val="20"/>
          <w:szCs w:val="20"/>
        </w:rPr>
        <w:t>financial,</w:t>
      </w:r>
      <w:r>
        <w:rPr>
          <w:rFonts w:cs="Arial"/>
          <w:i/>
          <w:iCs/>
          <w:spacing w:val="-14"/>
          <w:sz w:val="20"/>
          <w:szCs w:val="20"/>
        </w:rPr>
        <w:t xml:space="preserve"> </w:t>
      </w:r>
      <w:r>
        <w:rPr>
          <w:rFonts w:cs="Arial"/>
          <w:i/>
          <w:iCs/>
          <w:sz w:val="20"/>
          <w:szCs w:val="20"/>
        </w:rPr>
        <w:t>personal</w:t>
      </w:r>
      <w:r>
        <w:rPr>
          <w:rFonts w:cs="Arial"/>
          <w:i/>
          <w:iCs/>
          <w:spacing w:val="-17"/>
          <w:sz w:val="20"/>
          <w:szCs w:val="20"/>
        </w:rPr>
        <w:t xml:space="preserve"> </w:t>
      </w:r>
      <w:r>
        <w:rPr>
          <w:rFonts w:cs="Arial"/>
          <w:i/>
          <w:iCs/>
          <w:sz w:val="20"/>
          <w:szCs w:val="20"/>
        </w:rPr>
        <w:t>and</w:t>
      </w:r>
      <w:r>
        <w:rPr>
          <w:rFonts w:cs="Arial"/>
          <w:i/>
          <w:iCs/>
          <w:spacing w:val="-13"/>
          <w:sz w:val="20"/>
          <w:szCs w:val="20"/>
        </w:rPr>
        <w:t xml:space="preserve"> </w:t>
      </w:r>
      <w:r>
        <w:rPr>
          <w:rFonts w:cs="Arial"/>
          <w:i/>
          <w:iCs/>
          <w:sz w:val="20"/>
          <w:szCs w:val="20"/>
        </w:rPr>
        <w:t>administrative)</w:t>
      </w:r>
      <w:r>
        <w:rPr>
          <w:rFonts w:cs="Arial"/>
          <w:i/>
          <w:iCs/>
          <w:spacing w:val="-58"/>
          <w:sz w:val="20"/>
          <w:szCs w:val="20"/>
        </w:rPr>
        <w:t xml:space="preserve"> </w:t>
      </w:r>
      <w:r>
        <w:rPr>
          <w:rFonts w:cs="Arial"/>
          <w:i/>
          <w:iCs/>
          <w:sz w:val="20"/>
          <w:szCs w:val="20"/>
        </w:rPr>
        <w:t>that you gather or use as part of your work with the Service. The records may be paper,</w:t>
      </w:r>
      <w:r>
        <w:rPr>
          <w:rFonts w:cs="Arial"/>
          <w:i/>
          <w:iCs/>
          <w:spacing w:val="1"/>
          <w:sz w:val="20"/>
          <w:szCs w:val="20"/>
        </w:rPr>
        <w:t xml:space="preserve"> </w:t>
      </w:r>
      <w:r>
        <w:rPr>
          <w:rFonts w:cs="Arial"/>
          <w:i/>
          <w:iCs/>
          <w:sz w:val="20"/>
          <w:szCs w:val="20"/>
        </w:rPr>
        <w:t>electronic, audio or videotapes. You must consult your manager if you have any doubt as to</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correct management</w:t>
      </w:r>
      <w:r>
        <w:rPr>
          <w:rFonts w:cs="Arial"/>
          <w:i/>
          <w:iCs/>
          <w:spacing w:val="-2"/>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records</w:t>
      </w:r>
      <w:r>
        <w:rPr>
          <w:rFonts w:cs="Arial"/>
          <w:i/>
          <w:iCs/>
          <w:spacing w:val="-2"/>
          <w:sz w:val="20"/>
          <w:szCs w:val="20"/>
        </w:rPr>
        <w:t xml:space="preserve"> </w:t>
      </w:r>
      <w:r>
        <w:rPr>
          <w:rFonts w:cs="Arial"/>
          <w:i/>
          <w:iCs/>
          <w:sz w:val="20"/>
          <w:szCs w:val="20"/>
        </w:rPr>
        <w:t>with</w:t>
      </w:r>
      <w:r>
        <w:rPr>
          <w:rFonts w:cs="Arial"/>
          <w:i/>
          <w:iCs/>
          <w:spacing w:val="1"/>
          <w:sz w:val="20"/>
          <w:szCs w:val="20"/>
        </w:rPr>
        <w:t xml:space="preserve"> </w:t>
      </w:r>
      <w:r>
        <w:rPr>
          <w:rFonts w:cs="Arial"/>
          <w:i/>
          <w:iCs/>
          <w:sz w:val="20"/>
          <w:szCs w:val="20"/>
        </w:rPr>
        <w:t>which</w:t>
      </w:r>
      <w:r>
        <w:rPr>
          <w:rFonts w:cs="Arial"/>
          <w:i/>
          <w:iCs/>
          <w:spacing w:val="2"/>
          <w:sz w:val="20"/>
          <w:szCs w:val="20"/>
        </w:rPr>
        <w:t xml:space="preserve"> </w:t>
      </w:r>
      <w:r>
        <w:rPr>
          <w:rFonts w:cs="Arial"/>
          <w:i/>
          <w:iCs/>
          <w:sz w:val="20"/>
          <w:szCs w:val="20"/>
        </w:rPr>
        <w:t>you work.</w:t>
      </w:r>
    </w:p>
    <w:p>
      <w:pPr>
        <w:pStyle w:val="Normal"/>
        <w:rPr/>
      </w:pPr>
      <w:r>
        <w:rPr>
          <w:rFonts w:cs="Arial"/>
          <w:b/>
          <w:bCs/>
          <w:i/>
          <w:iCs/>
          <w:spacing w:val="-1"/>
          <w:sz w:val="20"/>
          <w:szCs w:val="20"/>
        </w:rPr>
        <w:t>Confidentiality</w:t>
      </w:r>
      <w:r>
        <w:rPr>
          <w:rFonts w:cs="Arial"/>
          <w:b/>
          <w:bCs/>
          <w:i/>
          <w:iCs/>
          <w:spacing w:val="-15"/>
          <w:sz w:val="20"/>
          <w:szCs w:val="20"/>
        </w:rPr>
        <w:t xml:space="preserve"> </w:t>
      </w:r>
      <w:r>
        <w:rPr>
          <w:rFonts w:cs="Arial"/>
          <w:b/>
          <w:bCs/>
          <w:i/>
          <w:iCs/>
          <w:sz w:val="20"/>
          <w:szCs w:val="20"/>
        </w:rPr>
        <w:t>and</w:t>
      </w:r>
      <w:r>
        <w:rPr>
          <w:rFonts w:cs="Arial"/>
          <w:b/>
          <w:bCs/>
          <w:i/>
          <w:iCs/>
          <w:spacing w:val="-12"/>
          <w:sz w:val="20"/>
          <w:szCs w:val="20"/>
        </w:rPr>
        <w:t xml:space="preserve"> </w:t>
      </w:r>
      <w:r>
        <w:rPr>
          <w:rFonts w:cs="Arial"/>
          <w:b/>
          <w:bCs/>
          <w:i/>
          <w:iCs/>
          <w:sz w:val="20"/>
          <w:szCs w:val="20"/>
        </w:rPr>
        <w:t>Information</w:t>
      </w:r>
      <w:r>
        <w:rPr>
          <w:rFonts w:cs="Arial"/>
          <w:b/>
          <w:bCs/>
          <w:i/>
          <w:iCs/>
          <w:spacing w:val="-13"/>
          <w:sz w:val="20"/>
          <w:szCs w:val="20"/>
        </w:rPr>
        <w:t xml:space="preserve"> </w:t>
      </w:r>
      <w:r>
        <w:rPr>
          <w:rFonts w:cs="Arial"/>
          <w:b/>
          <w:bCs/>
          <w:i/>
          <w:iCs/>
          <w:sz w:val="20"/>
          <w:szCs w:val="20"/>
        </w:rPr>
        <w:t>Security</w:t>
      </w:r>
      <w:r>
        <w:rPr>
          <w:rFonts w:cs="Arial"/>
          <w:i/>
          <w:iCs/>
          <w:spacing w:val="-16"/>
          <w:sz w:val="20"/>
          <w:szCs w:val="20"/>
        </w:rPr>
        <w:t xml:space="preserve"> </w:t>
      </w:r>
      <w:r>
        <w:rPr>
          <w:rFonts w:cs="Arial"/>
          <w:i/>
          <w:iCs/>
          <w:sz w:val="20"/>
          <w:szCs w:val="20"/>
        </w:rPr>
        <w:t>-</w:t>
      </w:r>
      <w:r>
        <w:rPr>
          <w:rFonts w:cs="Arial"/>
          <w:i/>
          <w:iCs/>
          <w:spacing w:val="-10"/>
          <w:sz w:val="20"/>
          <w:szCs w:val="20"/>
        </w:rPr>
        <w:t xml:space="preserve"> </w:t>
      </w:r>
      <w:r>
        <w:rPr>
          <w:rFonts w:cs="Arial"/>
          <w:i/>
          <w:iCs/>
          <w:sz w:val="20"/>
          <w:szCs w:val="20"/>
        </w:rPr>
        <w:t>As</w:t>
      </w:r>
      <w:r>
        <w:rPr>
          <w:rFonts w:cs="Arial"/>
          <w:i/>
          <w:iCs/>
          <w:spacing w:val="-11"/>
          <w:sz w:val="20"/>
          <w:szCs w:val="20"/>
        </w:rPr>
        <w:t xml:space="preserve"> </w:t>
      </w:r>
      <w:r>
        <w:rPr>
          <w:rFonts w:cs="Arial"/>
          <w:i/>
          <w:iCs/>
          <w:sz w:val="20"/>
          <w:szCs w:val="20"/>
        </w:rPr>
        <w:t>a</w:t>
      </w:r>
      <w:r>
        <w:rPr>
          <w:rFonts w:cs="Arial"/>
          <w:i/>
          <w:iCs/>
          <w:spacing w:val="-16"/>
          <w:sz w:val="20"/>
          <w:szCs w:val="20"/>
        </w:rPr>
        <w:t xml:space="preserve"> </w:t>
      </w:r>
      <w:r>
        <w:rPr>
          <w:rFonts w:cs="Arial"/>
          <w:i/>
          <w:iCs/>
          <w:sz w:val="20"/>
          <w:szCs w:val="20"/>
        </w:rPr>
        <w:t>GMCA</w:t>
      </w:r>
      <w:r>
        <w:rPr>
          <w:rFonts w:cs="Arial"/>
          <w:i/>
          <w:iCs/>
          <w:spacing w:val="-11"/>
          <w:sz w:val="20"/>
          <w:szCs w:val="20"/>
        </w:rPr>
        <w:t xml:space="preserve"> </w:t>
      </w:r>
      <w:r>
        <w:rPr>
          <w:rFonts w:cs="Arial"/>
          <w:i/>
          <w:iCs/>
          <w:sz w:val="20"/>
          <w:szCs w:val="20"/>
        </w:rPr>
        <w:t>employee</w:t>
      </w:r>
      <w:r>
        <w:rPr>
          <w:rFonts w:cs="Arial"/>
          <w:i/>
          <w:iCs/>
          <w:spacing w:val="-12"/>
          <w:sz w:val="20"/>
          <w:szCs w:val="20"/>
        </w:rPr>
        <w:t xml:space="preserve"> </w:t>
      </w:r>
      <w:r>
        <w:rPr>
          <w:rFonts w:cs="Arial"/>
          <w:i/>
          <w:iCs/>
          <w:sz w:val="20"/>
          <w:szCs w:val="20"/>
        </w:rPr>
        <w:t>you</w:t>
      </w:r>
      <w:r>
        <w:rPr>
          <w:rFonts w:cs="Arial"/>
          <w:i/>
          <w:iCs/>
          <w:spacing w:val="-12"/>
          <w:sz w:val="20"/>
          <w:szCs w:val="20"/>
        </w:rPr>
        <w:t xml:space="preserve"> </w:t>
      </w:r>
      <w:r>
        <w:rPr>
          <w:rFonts w:cs="Arial"/>
          <w:i/>
          <w:iCs/>
          <w:sz w:val="20"/>
          <w:szCs w:val="20"/>
        </w:rPr>
        <w:t>are</w:t>
      </w:r>
      <w:r>
        <w:rPr>
          <w:rFonts w:cs="Arial"/>
          <w:i/>
          <w:iCs/>
          <w:spacing w:val="-11"/>
          <w:sz w:val="20"/>
          <w:szCs w:val="20"/>
        </w:rPr>
        <w:t xml:space="preserve"> </w:t>
      </w:r>
      <w:r>
        <w:rPr>
          <w:rFonts w:cs="Arial"/>
          <w:i/>
          <w:iCs/>
          <w:sz w:val="20"/>
          <w:szCs w:val="20"/>
        </w:rPr>
        <w:t>required</w:t>
      </w:r>
      <w:r>
        <w:rPr>
          <w:rFonts w:cs="Arial"/>
          <w:i/>
          <w:iCs/>
          <w:spacing w:val="-15"/>
          <w:sz w:val="20"/>
          <w:szCs w:val="20"/>
        </w:rPr>
        <w:t xml:space="preserve"> </w:t>
      </w:r>
      <w:r>
        <w:rPr>
          <w:rFonts w:cs="Arial"/>
          <w:i/>
          <w:iCs/>
          <w:sz w:val="20"/>
          <w:szCs w:val="20"/>
        </w:rPr>
        <w:t>to</w:t>
      </w:r>
      <w:r>
        <w:rPr>
          <w:rFonts w:cs="Arial"/>
          <w:i/>
          <w:iCs/>
          <w:spacing w:val="-12"/>
          <w:sz w:val="20"/>
          <w:szCs w:val="20"/>
        </w:rPr>
        <w:t xml:space="preserve"> </w:t>
      </w:r>
      <w:r>
        <w:rPr>
          <w:rFonts w:cs="Arial"/>
          <w:i/>
          <w:iCs/>
          <w:sz w:val="20"/>
          <w:szCs w:val="20"/>
        </w:rPr>
        <w:t>uphold</w:t>
      </w:r>
      <w:r>
        <w:rPr>
          <w:rFonts w:cs="Arial"/>
          <w:i/>
          <w:iCs/>
          <w:spacing w:val="-58"/>
          <w:sz w:val="20"/>
          <w:szCs w:val="20"/>
        </w:rPr>
        <w:t xml:space="preserve"> </w:t>
      </w:r>
      <w:r>
        <w:rPr>
          <w:rFonts w:cs="Arial"/>
          <w:i/>
          <w:iCs/>
          <w:sz w:val="20"/>
          <w:szCs w:val="20"/>
        </w:rPr>
        <w:t>the confidentiality of all records held by the GMCA, whether employee records or GMCA</w:t>
      </w:r>
      <w:r>
        <w:rPr>
          <w:rFonts w:cs="Arial"/>
          <w:i/>
          <w:iCs/>
          <w:spacing w:val="1"/>
          <w:sz w:val="20"/>
          <w:szCs w:val="20"/>
        </w:rPr>
        <w:t xml:space="preserve"> </w:t>
      </w:r>
      <w:r>
        <w:rPr>
          <w:rFonts w:cs="Arial"/>
          <w:i/>
          <w:iCs/>
          <w:sz w:val="20"/>
          <w:szCs w:val="20"/>
        </w:rPr>
        <w:t>information.</w:t>
      </w:r>
      <w:r>
        <w:rPr>
          <w:rFonts w:cs="Arial"/>
          <w:i/>
          <w:iCs/>
          <w:spacing w:val="1"/>
          <w:sz w:val="20"/>
          <w:szCs w:val="20"/>
        </w:rPr>
        <w:t xml:space="preserve"> </w:t>
      </w:r>
      <w:r>
        <w:rPr>
          <w:rFonts w:cs="Arial"/>
          <w:i/>
          <w:iCs/>
          <w:sz w:val="20"/>
          <w:szCs w:val="20"/>
        </w:rPr>
        <w:t>This</w:t>
      </w:r>
      <w:r>
        <w:rPr>
          <w:rFonts w:cs="Arial"/>
          <w:i/>
          <w:iCs/>
          <w:spacing w:val="1"/>
          <w:sz w:val="20"/>
          <w:szCs w:val="20"/>
        </w:rPr>
        <w:t xml:space="preserve"> </w:t>
      </w:r>
      <w:r>
        <w:rPr>
          <w:rFonts w:cs="Arial"/>
          <w:i/>
          <w:iCs/>
          <w:sz w:val="20"/>
          <w:szCs w:val="20"/>
        </w:rPr>
        <w:t>duty</w:t>
      </w:r>
      <w:r>
        <w:rPr>
          <w:rFonts w:cs="Arial"/>
          <w:i/>
          <w:iCs/>
          <w:spacing w:val="1"/>
          <w:sz w:val="20"/>
          <w:szCs w:val="20"/>
        </w:rPr>
        <w:t xml:space="preserve"> </w:t>
      </w:r>
      <w:r>
        <w:rPr>
          <w:rFonts w:cs="Arial"/>
          <w:i/>
          <w:iCs/>
          <w:sz w:val="20"/>
          <w:szCs w:val="20"/>
        </w:rPr>
        <w:t>lasts</w:t>
      </w:r>
      <w:r>
        <w:rPr>
          <w:rFonts w:cs="Arial"/>
          <w:i/>
          <w:iCs/>
          <w:spacing w:val="1"/>
          <w:sz w:val="20"/>
          <w:szCs w:val="20"/>
        </w:rPr>
        <w:t xml:space="preserve"> </w:t>
      </w:r>
      <w:r>
        <w:rPr>
          <w:rFonts w:cs="Arial"/>
          <w:i/>
          <w:iCs/>
          <w:sz w:val="20"/>
          <w:szCs w:val="20"/>
        </w:rPr>
        <w:t>indefinitely</w:t>
      </w:r>
      <w:r>
        <w:rPr>
          <w:rFonts w:cs="Arial"/>
          <w:i/>
          <w:iCs/>
          <w:spacing w:val="1"/>
          <w:sz w:val="20"/>
          <w:szCs w:val="20"/>
        </w:rPr>
        <w:t xml:space="preserve"> </w:t>
      </w:r>
      <w:r>
        <w:rPr>
          <w:rFonts w:cs="Arial"/>
          <w:i/>
          <w:iCs/>
          <w:sz w:val="20"/>
          <w:szCs w:val="20"/>
        </w:rPr>
        <w:t>and</w:t>
      </w:r>
      <w:r>
        <w:rPr>
          <w:rFonts w:cs="Arial"/>
          <w:i/>
          <w:iCs/>
          <w:spacing w:val="1"/>
          <w:sz w:val="20"/>
          <w:szCs w:val="20"/>
        </w:rPr>
        <w:t xml:space="preserve"> </w:t>
      </w:r>
      <w:r>
        <w:rPr>
          <w:rFonts w:cs="Arial"/>
          <w:i/>
          <w:iCs/>
          <w:sz w:val="20"/>
          <w:szCs w:val="20"/>
        </w:rPr>
        <w:t>will</w:t>
      </w:r>
      <w:r>
        <w:rPr>
          <w:rFonts w:cs="Arial"/>
          <w:i/>
          <w:iCs/>
          <w:spacing w:val="1"/>
          <w:sz w:val="20"/>
          <w:szCs w:val="20"/>
        </w:rPr>
        <w:t xml:space="preserve"> </w:t>
      </w:r>
      <w:r>
        <w:rPr>
          <w:rFonts w:cs="Arial"/>
          <w:i/>
          <w:iCs/>
          <w:sz w:val="20"/>
          <w:szCs w:val="20"/>
        </w:rPr>
        <w:t>continue</w:t>
      </w:r>
      <w:r>
        <w:rPr>
          <w:rFonts w:cs="Arial"/>
          <w:i/>
          <w:iCs/>
          <w:spacing w:val="1"/>
          <w:sz w:val="20"/>
          <w:szCs w:val="20"/>
        </w:rPr>
        <w:t xml:space="preserve"> </w:t>
      </w:r>
      <w:r>
        <w:rPr>
          <w:rFonts w:cs="Arial"/>
          <w:i/>
          <w:iCs/>
          <w:sz w:val="20"/>
          <w:szCs w:val="20"/>
        </w:rPr>
        <w:t>after</w:t>
      </w:r>
      <w:r>
        <w:rPr>
          <w:rFonts w:cs="Arial"/>
          <w:i/>
          <w:iCs/>
          <w:spacing w:val="1"/>
          <w:sz w:val="20"/>
          <w:szCs w:val="20"/>
        </w:rPr>
        <w:t xml:space="preserve"> </w:t>
      </w:r>
      <w:r>
        <w:rPr>
          <w:rFonts w:cs="Arial"/>
          <w:i/>
          <w:iCs/>
          <w:sz w:val="20"/>
          <w:szCs w:val="20"/>
        </w:rPr>
        <w:t>you</w:t>
      </w:r>
      <w:r>
        <w:rPr>
          <w:rFonts w:cs="Arial"/>
          <w:i/>
          <w:iCs/>
          <w:spacing w:val="1"/>
          <w:sz w:val="20"/>
          <w:szCs w:val="20"/>
        </w:rPr>
        <w:t xml:space="preserve"> </w:t>
      </w:r>
      <w:r>
        <w:rPr>
          <w:rFonts w:cs="Arial"/>
          <w:i/>
          <w:iCs/>
          <w:sz w:val="20"/>
          <w:szCs w:val="20"/>
        </w:rPr>
        <w:t>leave</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GMCA</w:t>
      </w:r>
      <w:r>
        <w:rPr>
          <w:rFonts w:cs="Arial"/>
          <w:i/>
          <w:iCs/>
          <w:spacing w:val="1"/>
          <w:sz w:val="20"/>
          <w:szCs w:val="20"/>
        </w:rPr>
        <w:t xml:space="preserve"> </w:t>
      </w:r>
      <w:r>
        <w:rPr>
          <w:rFonts w:cs="Arial"/>
          <w:i/>
          <w:iCs/>
          <w:sz w:val="20"/>
          <w:szCs w:val="20"/>
        </w:rPr>
        <w:t>employment. All employees must maintain confidentiality and abide by the Data 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Data</w:t>
      </w:r>
      <w:r>
        <w:rPr>
          <w:rFonts w:cs="Arial"/>
          <w:b/>
          <w:bCs/>
          <w:i/>
          <w:iCs/>
          <w:spacing w:val="1"/>
          <w:sz w:val="20"/>
          <w:szCs w:val="20"/>
        </w:rPr>
        <w:t xml:space="preserve"> </w:t>
      </w:r>
      <w:r>
        <w:rPr>
          <w:rFonts w:cs="Arial"/>
          <w:b/>
          <w:bCs/>
          <w:i/>
          <w:iCs/>
          <w:sz w:val="20"/>
          <w:szCs w:val="20"/>
        </w:rPr>
        <w:t>Quality</w:t>
      </w:r>
      <w:r>
        <w:rPr>
          <w:rFonts w:cs="Arial"/>
          <w:i/>
          <w:iCs/>
          <w:spacing w:val="1"/>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All</w:t>
      </w:r>
      <w:r>
        <w:rPr>
          <w:rFonts w:cs="Arial"/>
          <w:i/>
          <w:iCs/>
          <w:spacing w:val="1"/>
          <w:sz w:val="20"/>
          <w:szCs w:val="20"/>
        </w:rPr>
        <w:t xml:space="preserve"> </w:t>
      </w:r>
      <w:r>
        <w:rPr>
          <w:rFonts w:cs="Arial"/>
          <w:i/>
          <w:iCs/>
          <w:sz w:val="20"/>
          <w:szCs w:val="20"/>
        </w:rPr>
        <w:t>staff</w:t>
      </w:r>
      <w:r>
        <w:rPr>
          <w:rFonts w:cs="Arial"/>
          <w:i/>
          <w:iCs/>
          <w:spacing w:val="1"/>
          <w:sz w:val="20"/>
          <w:szCs w:val="20"/>
        </w:rPr>
        <w:t xml:space="preserve"> </w:t>
      </w:r>
      <w:r>
        <w:rPr>
          <w:rFonts w:cs="Arial"/>
          <w:i/>
          <w:iCs/>
          <w:sz w:val="20"/>
          <w:szCs w:val="20"/>
        </w:rPr>
        <w:t>are</w:t>
      </w:r>
      <w:r>
        <w:rPr>
          <w:rFonts w:cs="Arial"/>
          <w:i/>
          <w:iCs/>
          <w:spacing w:val="1"/>
          <w:sz w:val="20"/>
          <w:szCs w:val="20"/>
        </w:rPr>
        <w:t xml:space="preserve"> </w:t>
      </w:r>
      <w:r>
        <w:rPr>
          <w:rFonts w:cs="Arial"/>
          <w:i/>
          <w:iCs/>
          <w:sz w:val="20"/>
          <w:szCs w:val="20"/>
        </w:rPr>
        <w:t>personally</w:t>
      </w:r>
      <w:r>
        <w:rPr>
          <w:rFonts w:cs="Arial"/>
          <w:i/>
          <w:iCs/>
          <w:spacing w:val="1"/>
          <w:sz w:val="20"/>
          <w:szCs w:val="20"/>
        </w:rPr>
        <w:t xml:space="preserve"> </w:t>
      </w:r>
      <w:r>
        <w:rPr>
          <w:rFonts w:cs="Arial"/>
          <w:i/>
          <w:iCs/>
          <w:sz w:val="20"/>
          <w:szCs w:val="20"/>
        </w:rPr>
        <w:t>responsible</w:t>
      </w:r>
      <w:r>
        <w:rPr>
          <w:rFonts w:cs="Arial"/>
          <w:i/>
          <w:iCs/>
          <w:spacing w:val="1"/>
          <w:sz w:val="20"/>
          <w:szCs w:val="20"/>
        </w:rPr>
        <w:t xml:space="preserve"> </w:t>
      </w:r>
      <w:r>
        <w:rPr>
          <w:rFonts w:cs="Arial"/>
          <w:i/>
          <w:iCs/>
          <w:sz w:val="20"/>
          <w:szCs w:val="20"/>
        </w:rPr>
        <w:t>for</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quality</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entered</w:t>
      </w:r>
      <w:r>
        <w:rPr>
          <w:rFonts w:cs="Arial"/>
          <w:i/>
          <w:iCs/>
          <w:spacing w:val="1"/>
          <w:sz w:val="20"/>
          <w:szCs w:val="20"/>
        </w:rPr>
        <w:t xml:space="preserve"> </w:t>
      </w:r>
      <w:r>
        <w:rPr>
          <w:rFonts w:cs="Arial"/>
          <w:i/>
          <w:iCs/>
          <w:sz w:val="20"/>
          <w:szCs w:val="20"/>
        </w:rPr>
        <w:t>by</w:t>
      </w:r>
      <w:r>
        <w:rPr>
          <w:rFonts w:cs="Arial"/>
          <w:i/>
          <w:iCs/>
          <w:spacing w:val="1"/>
          <w:sz w:val="20"/>
          <w:szCs w:val="20"/>
        </w:rPr>
        <w:t xml:space="preserve"> </w:t>
      </w:r>
      <w:r>
        <w:rPr>
          <w:rFonts w:cs="Arial"/>
          <w:i/>
          <w:iCs/>
          <w:sz w:val="20"/>
          <w:szCs w:val="20"/>
        </w:rPr>
        <w:t>themselves, or on their behalf, on GMCAs computerised systems or manual records (paper</w:t>
      </w:r>
      <w:r>
        <w:rPr>
          <w:rFonts w:cs="Arial"/>
          <w:i/>
          <w:iCs/>
          <w:spacing w:val="1"/>
          <w:sz w:val="20"/>
          <w:szCs w:val="20"/>
        </w:rPr>
        <w:t xml:space="preserve"> </w:t>
      </w:r>
      <w:r>
        <w:rPr>
          <w:rFonts w:cs="Arial"/>
          <w:i/>
          <w:iCs/>
          <w:sz w:val="20"/>
          <w:szCs w:val="20"/>
        </w:rPr>
        <w:t>records) and must ensure that such data is entered accurately and, in a timely manner, to</w:t>
      </w:r>
      <w:r>
        <w:rPr>
          <w:rFonts w:cs="Arial"/>
          <w:i/>
          <w:iCs/>
          <w:spacing w:val="1"/>
          <w:sz w:val="20"/>
          <w:szCs w:val="20"/>
        </w:rPr>
        <w:t xml:space="preserve"> </w:t>
      </w:r>
      <w:r>
        <w:rPr>
          <w:rFonts w:cs="Arial"/>
          <w:i/>
          <w:iCs/>
          <w:sz w:val="20"/>
          <w:szCs w:val="20"/>
        </w:rPr>
        <w:t>ensure high</w:t>
      </w:r>
      <w:r>
        <w:rPr>
          <w:rFonts w:cs="Arial"/>
          <w:i/>
          <w:iCs/>
          <w:spacing w:val="-3"/>
          <w:sz w:val="20"/>
          <w:szCs w:val="20"/>
        </w:rPr>
        <w:t xml:space="preserve"> </w:t>
      </w:r>
      <w:r>
        <w:rPr>
          <w:rFonts w:cs="Arial"/>
          <w:i/>
          <w:iCs/>
          <w:sz w:val="20"/>
          <w:szCs w:val="20"/>
        </w:rPr>
        <w:t>standards of data</w:t>
      </w:r>
      <w:r>
        <w:rPr>
          <w:rFonts w:cs="Arial"/>
          <w:i/>
          <w:iCs/>
          <w:spacing w:val="-5"/>
          <w:sz w:val="20"/>
          <w:szCs w:val="20"/>
        </w:rPr>
        <w:t xml:space="preserve"> </w:t>
      </w:r>
      <w:r>
        <w:rPr>
          <w:rFonts w:cs="Arial"/>
          <w:i/>
          <w:iCs/>
          <w:sz w:val="20"/>
          <w:szCs w:val="20"/>
        </w:rPr>
        <w:t>quality</w:t>
      </w:r>
      <w:r>
        <w:rPr>
          <w:rFonts w:cs="Arial"/>
          <w:i/>
          <w:iCs/>
          <w:spacing w:val="-2"/>
          <w:sz w:val="20"/>
          <w:szCs w:val="20"/>
        </w:rPr>
        <w:t xml:space="preserve"> </w:t>
      </w:r>
      <w:r>
        <w:rPr>
          <w:rFonts w:cs="Arial"/>
          <w:i/>
          <w:iCs/>
          <w:sz w:val="20"/>
          <w:szCs w:val="20"/>
        </w:rPr>
        <w:t>in accordance with Departmental protocols. To ensure data is handled in a secure manner protecting the confidentiality of any personal</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held in</w:t>
      </w:r>
      <w:r>
        <w:rPr>
          <w:rFonts w:cs="Arial"/>
          <w:i/>
          <w:iCs/>
          <w:spacing w:val="-2"/>
          <w:sz w:val="20"/>
          <w:szCs w:val="20"/>
        </w:rPr>
        <w:t xml:space="preserve"> </w:t>
      </w:r>
      <w:r>
        <w:rPr>
          <w:rFonts w:cs="Arial"/>
          <w:i/>
          <w:iCs/>
          <w:sz w:val="20"/>
          <w:szCs w:val="20"/>
        </w:rPr>
        <w:t>meeting</w:t>
      </w:r>
      <w:r>
        <w:rPr>
          <w:rFonts w:cs="Arial"/>
          <w:i/>
          <w:iCs/>
          <w:spacing w:val="-1"/>
          <w:sz w:val="20"/>
          <w:szCs w:val="20"/>
        </w:rPr>
        <w:t xml:space="preserve"> </w:t>
      </w:r>
      <w:r>
        <w:rPr>
          <w:rFonts w:cs="Arial"/>
          <w:i/>
          <w:iCs/>
          <w:sz w:val="20"/>
          <w:szCs w:val="20"/>
        </w:rPr>
        <w:t>the</w:t>
      </w:r>
      <w:r>
        <w:rPr>
          <w:rFonts w:cs="Arial"/>
          <w:i/>
          <w:iCs/>
          <w:spacing w:val="-4"/>
          <w:sz w:val="20"/>
          <w:szCs w:val="20"/>
        </w:rPr>
        <w:t xml:space="preserve"> </w:t>
      </w:r>
      <w:r>
        <w:rPr>
          <w:rFonts w:cs="Arial"/>
          <w:i/>
          <w:iCs/>
          <w:sz w:val="20"/>
          <w:szCs w:val="20"/>
        </w:rPr>
        <w:t>requirements</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Health and Safety</w:t>
      </w:r>
      <w:r>
        <w:rPr>
          <w:rFonts w:cs="Arial"/>
          <w:i/>
          <w:iCs/>
          <w:sz w:val="20"/>
          <w:szCs w:val="20"/>
        </w:rPr>
        <w:t xml:space="preserve"> - All employees of GMCA have a statutory duty of care for their own</w:t>
      </w:r>
      <w:r>
        <w:rPr>
          <w:rFonts w:cs="Arial"/>
          <w:i/>
          <w:iCs/>
          <w:spacing w:val="1"/>
          <w:sz w:val="20"/>
          <w:szCs w:val="20"/>
        </w:rPr>
        <w:t xml:space="preserve"> </w:t>
      </w:r>
      <w:r>
        <w:rPr>
          <w:rFonts w:cs="Arial"/>
          <w:i/>
          <w:iCs/>
          <w:sz w:val="20"/>
          <w:szCs w:val="20"/>
        </w:rPr>
        <w:t>personal</w:t>
      </w:r>
      <w:r>
        <w:rPr>
          <w:rFonts w:cs="Arial"/>
          <w:i/>
          <w:iCs/>
          <w:spacing w:val="-9"/>
          <w:sz w:val="20"/>
          <w:szCs w:val="20"/>
        </w:rPr>
        <w:t xml:space="preserve"> </w:t>
      </w:r>
      <w:r>
        <w:rPr>
          <w:rFonts w:cs="Arial"/>
          <w:i/>
          <w:iCs/>
          <w:sz w:val="20"/>
          <w:szCs w:val="20"/>
        </w:rPr>
        <w:t>safety</w:t>
      </w:r>
      <w:r>
        <w:rPr>
          <w:rFonts w:cs="Arial"/>
          <w:i/>
          <w:iCs/>
          <w:spacing w:val="-9"/>
          <w:sz w:val="20"/>
          <w:szCs w:val="20"/>
        </w:rPr>
        <w:t xml:space="preserve"> </w:t>
      </w:r>
      <w:r>
        <w:rPr>
          <w:rFonts w:cs="Arial"/>
          <w:i/>
          <w:iCs/>
          <w:sz w:val="20"/>
          <w:szCs w:val="20"/>
        </w:rPr>
        <w:t>and</w:t>
      </w:r>
      <w:r>
        <w:rPr>
          <w:rFonts w:cs="Arial"/>
          <w:i/>
          <w:iCs/>
          <w:spacing w:val="-8"/>
          <w:sz w:val="20"/>
          <w:szCs w:val="20"/>
        </w:rPr>
        <w:t xml:space="preserve"> </w:t>
      </w:r>
      <w:r>
        <w:rPr>
          <w:rFonts w:cs="Arial"/>
          <w:i/>
          <w:iCs/>
          <w:sz w:val="20"/>
          <w:szCs w:val="20"/>
        </w:rPr>
        <w:t>that</w:t>
      </w:r>
      <w:r>
        <w:rPr>
          <w:rFonts w:cs="Arial"/>
          <w:i/>
          <w:iCs/>
          <w:spacing w:val="-9"/>
          <w:sz w:val="20"/>
          <w:szCs w:val="20"/>
        </w:rPr>
        <w:t xml:space="preserve"> </w:t>
      </w:r>
      <w:r>
        <w:rPr>
          <w:rFonts w:cs="Arial"/>
          <w:i/>
          <w:iCs/>
          <w:sz w:val="20"/>
          <w:szCs w:val="20"/>
        </w:rPr>
        <w:t>of</w:t>
      </w:r>
      <w:r>
        <w:rPr>
          <w:rFonts w:cs="Arial"/>
          <w:i/>
          <w:iCs/>
          <w:spacing w:val="-3"/>
          <w:sz w:val="20"/>
          <w:szCs w:val="20"/>
        </w:rPr>
        <w:t xml:space="preserve"> </w:t>
      </w:r>
      <w:r>
        <w:rPr>
          <w:rFonts w:cs="Arial"/>
          <w:i/>
          <w:iCs/>
          <w:sz w:val="20"/>
          <w:szCs w:val="20"/>
        </w:rPr>
        <w:t>others</w:t>
      </w:r>
      <w:r>
        <w:rPr>
          <w:rFonts w:cs="Arial"/>
          <w:i/>
          <w:iCs/>
          <w:spacing w:val="-7"/>
          <w:sz w:val="20"/>
          <w:szCs w:val="20"/>
        </w:rPr>
        <w:t xml:space="preserve"> </w:t>
      </w:r>
      <w:r>
        <w:rPr>
          <w:rFonts w:cs="Arial"/>
          <w:i/>
          <w:iCs/>
          <w:sz w:val="20"/>
          <w:szCs w:val="20"/>
        </w:rPr>
        <w:t>who</w:t>
      </w:r>
      <w:r>
        <w:rPr>
          <w:rFonts w:cs="Arial"/>
          <w:i/>
          <w:iCs/>
          <w:spacing w:val="-7"/>
          <w:sz w:val="20"/>
          <w:szCs w:val="20"/>
        </w:rPr>
        <w:t xml:space="preserve"> </w:t>
      </w:r>
      <w:r>
        <w:rPr>
          <w:rFonts w:cs="Arial"/>
          <w:i/>
          <w:iCs/>
          <w:sz w:val="20"/>
          <w:szCs w:val="20"/>
        </w:rPr>
        <w:t>may</w:t>
      </w:r>
      <w:r>
        <w:rPr>
          <w:rFonts w:cs="Arial"/>
          <w:i/>
          <w:iCs/>
          <w:spacing w:val="-10"/>
          <w:sz w:val="20"/>
          <w:szCs w:val="20"/>
        </w:rPr>
        <w:t xml:space="preserve"> </w:t>
      </w:r>
      <w:r>
        <w:rPr>
          <w:rFonts w:cs="Arial"/>
          <w:i/>
          <w:iCs/>
          <w:sz w:val="20"/>
          <w:szCs w:val="20"/>
        </w:rPr>
        <w:t>be</w:t>
      </w:r>
      <w:r>
        <w:rPr>
          <w:rFonts w:cs="Arial"/>
          <w:i/>
          <w:iCs/>
          <w:spacing w:val="-8"/>
          <w:sz w:val="20"/>
          <w:szCs w:val="20"/>
        </w:rPr>
        <w:t xml:space="preserve"> </w:t>
      </w:r>
      <w:r>
        <w:rPr>
          <w:rFonts w:cs="Arial"/>
          <w:i/>
          <w:iCs/>
          <w:sz w:val="20"/>
          <w:szCs w:val="20"/>
        </w:rPr>
        <w:t>affected</w:t>
      </w:r>
      <w:r>
        <w:rPr>
          <w:rFonts w:cs="Arial"/>
          <w:i/>
          <w:iCs/>
          <w:spacing w:val="-7"/>
          <w:sz w:val="20"/>
          <w:szCs w:val="20"/>
        </w:rPr>
        <w:t xml:space="preserve"> </w:t>
      </w:r>
      <w:r>
        <w:rPr>
          <w:rFonts w:cs="Arial"/>
          <w:i/>
          <w:iCs/>
          <w:sz w:val="20"/>
          <w:szCs w:val="20"/>
        </w:rPr>
        <w:t>by</w:t>
      </w:r>
      <w:r>
        <w:rPr>
          <w:rFonts w:cs="Arial"/>
          <w:i/>
          <w:iCs/>
          <w:spacing w:val="-10"/>
          <w:sz w:val="20"/>
          <w:szCs w:val="20"/>
        </w:rPr>
        <w:t xml:space="preserve"> </w:t>
      </w:r>
      <w:r>
        <w:rPr>
          <w:rFonts w:cs="Arial"/>
          <w:i/>
          <w:iCs/>
          <w:sz w:val="20"/>
          <w:szCs w:val="20"/>
        </w:rPr>
        <w:t>their</w:t>
      </w:r>
      <w:r>
        <w:rPr>
          <w:rFonts w:cs="Arial"/>
          <w:i/>
          <w:iCs/>
          <w:spacing w:val="-6"/>
          <w:sz w:val="20"/>
          <w:szCs w:val="20"/>
        </w:rPr>
        <w:t xml:space="preserve"> </w:t>
      </w:r>
      <w:r>
        <w:rPr>
          <w:rFonts w:cs="Arial"/>
          <w:i/>
          <w:iCs/>
          <w:sz w:val="20"/>
          <w:szCs w:val="20"/>
        </w:rPr>
        <w:t>acts</w:t>
      </w:r>
      <w:r>
        <w:rPr>
          <w:rFonts w:cs="Arial"/>
          <w:i/>
          <w:iCs/>
          <w:spacing w:val="-7"/>
          <w:sz w:val="20"/>
          <w:szCs w:val="20"/>
        </w:rPr>
        <w:t xml:space="preserve"> </w:t>
      </w:r>
      <w:r>
        <w:rPr>
          <w:rFonts w:cs="Arial"/>
          <w:i/>
          <w:iCs/>
          <w:sz w:val="20"/>
          <w:szCs w:val="20"/>
        </w:rPr>
        <w:t>or</w:t>
      </w:r>
      <w:r>
        <w:rPr>
          <w:rFonts w:cs="Arial"/>
          <w:i/>
          <w:iCs/>
          <w:spacing w:val="-6"/>
          <w:sz w:val="20"/>
          <w:szCs w:val="20"/>
        </w:rPr>
        <w:t xml:space="preserve"> </w:t>
      </w:r>
      <w:r>
        <w:rPr>
          <w:rFonts w:cs="Arial"/>
          <w:i/>
          <w:iCs/>
          <w:sz w:val="20"/>
          <w:szCs w:val="20"/>
        </w:rPr>
        <w:t>omissions.</w:t>
      </w:r>
      <w:r>
        <w:rPr>
          <w:rFonts w:cs="Arial"/>
          <w:i/>
          <w:iCs/>
          <w:spacing w:val="-5"/>
          <w:sz w:val="20"/>
          <w:szCs w:val="20"/>
        </w:rPr>
        <w:t xml:space="preserve"> </w:t>
      </w:r>
      <w:r>
        <w:rPr>
          <w:rFonts w:cs="Arial"/>
          <w:i/>
          <w:iCs/>
          <w:sz w:val="20"/>
          <w:szCs w:val="20"/>
        </w:rPr>
        <w:t>Employees</w:t>
      </w:r>
      <w:r>
        <w:rPr>
          <w:rFonts w:cs="Arial"/>
          <w:i/>
          <w:iCs/>
          <w:spacing w:val="-59"/>
          <w:sz w:val="20"/>
          <w:szCs w:val="20"/>
        </w:rPr>
        <w:t xml:space="preserve"> </w:t>
      </w:r>
      <w:r>
        <w:rPr>
          <w:rFonts w:cs="Arial"/>
          <w:i/>
          <w:iCs/>
          <w:sz w:val="20"/>
          <w:szCs w:val="20"/>
        </w:rPr>
        <w:t>are required to co-operate with management to enable GMCA to meet its own legal duties</w:t>
      </w:r>
      <w:r>
        <w:rPr>
          <w:rFonts w:cs="Arial"/>
          <w:i/>
          <w:iCs/>
          <w:spacing w:val="1"/>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to</w:t>
      </w:r>
      <w:r>
        <w:rPr>
          <w:rFonts w:cs="Arial"/>
          <w:i/>
          <w:iCs/>
          <w:spacing w:val="-5"/>
          <w:sz w:val="20"/>
          <w:szCs w:val="20"/>
        </w:rPr>
        <w:t xml:space="preserve"> </w:t>
      </w:r>
      <w:r>
        <w:rPr>
          <w:rFonts w:cs="Arial"/>
          <w:i/>
          <w:iCs/>
          <w:sz w:val="20"/>
          <w:szCs w:val="20"/>
        </w:rPr>
        <w:t>report</w:t>
      </w:r>
      <w:r>
        <w:rPr>
          <w:rFonts w:cs="Arial"/>
          <w:i/>
          <w:iCs/>
          <w:spacing w:val="-4"/>
          <w:sz w:val="20"/>
          <w:szCs w:val="20"/>
        </w:rPr>
        <w:t xml:space="preserve"> </w:t>
      </w:r>
      <w:r>
        <w:rPr>
          <w:rFonts w:cs="Arial"/>
          <w:i/>
          <w:iCs/>
          <w:sz w:val="20"/>
          <w:szCs w:val="20"/>
        </w:rPr>
        <w:t>any</w:t>
      </w:r>
      <w:r>
        <w:rPr>
          <w:rFonts w:cs="Arial"/>
          <w:i/>
          <w:iCs/>
          <w:spacing w:val="-8"/>
          <w:sz w:val="20"/>
          <w:szCs w:val="20"/>
        </w:rPr>
        <w:t xml:space="preserve"> </w:t>
      </w:r>
      <w:r>
        <w:rPr>
          <w:rFonts w:cs="Arial"/>
          <w:i/>
          <w:iCs/>
          <w:sz w:val="20"/>
          <w:szCs w:val="20"/>
        </w:rPr>
        <w:t>circumstances</w:t>
      </w:r>
      <w:r>
        <w:rPr>
          <w:rFonts w:cs="Arial"/>
          <w:i/>
          <w:iCs/>
          <w:spacing w:val="-7"/>
          <w:sz w:val="20"/>
          <w:szCs w:val="20"/>
        </w:rPr>
        <w:t xml:space="preserve"> </w:t>
      </w:r>
      <w:r>
        <w:rPr>
          <w:rFonts w:cs="Arial"/>
          <w:i/>
          <w:iCs/>
          <w:sz w:val="20"/>
          <w:szCs w:val="20"/>
        </w:rPr>
        <w:t>that</w:t>
      </w:r>
      <w:r>
        <w:rPr>
          <w:rFonts w:cs="Arial"/>
          <w:i/>
          <w:iCs/>
          <w:spacing w:val="-5"/>
          <w:sz w:val="20"/>
          <w:szCs w:val="20"/>
        </w:rPr>
        <w:t xml:space="preserve"> </w:t>
      </w:r>
      <w:r>
        <w:rPr>
          <w:rFonts w:cs="Arial"/>
          <w:i/>
          <w:iCs/>
          <w:sz w:val="20"/>
          <w:szCs w:val="20"/>
        </w:rPr>
        <w:t>may</w:t>
      </w:r>
      <w:r>
        <w:rPr>
          <w:rFonts w:cs="Arial"/>
          <w:i/>
          <w:iCs/>
          <w:spacing w:val="-8"/>
          <w:sz w:val="20"/>
          <w:szCs w:val="20"/>
        </w:rPr>
        <w:t xml:space="preserve"> </w:t>
      </w:r>
      <w:r>
        <w:rPr>
          <w:rFonts w:cs="Arial"/>
          <w:i/>
          <w:iCs/>
          <w:sz w:val="20"/>
          <w:szCs w:val="20"/>
        </w:rPr>
        <w:t>compromise</w:t>
      </w:r>
      <w:r>
        <w:rPr>
          <w:rFonts w:cs="Arial"/>
          <w:i/>
          <w:iCs/>
          <w:spacing w:val="-4"/>
          <w:sz w:val="20"/>
          <w:szCs w:val="20"/>
        </w:rPr>
        <w:t xml:space="preserve"> </w:t>
      </w:r>
      <w:r>
        <w:rPr>
          <w:rFonts w:cs="Arial"/>
          <w:i/>
          <w:iCs/>
          <w:sz w:val="20"/>
          <w:szCs w:val="20"/>
        </w:rPr>
        <w:t>the</w:t>
      </w:r>
      <w:r>
        <w:rPr>
          <w:rFonts w:cs="Arial"/>
          <w:i/>
          <w:iCs/>
          <w:spacing w:val="-6"/>
          <w:sz w:val="20"/>
          <w:szCs w:val="20"/>
        </w:rPr>
        <w:t xml:space="preserve"> </w:t>
      </w:r>
      <w:r>
        <w:rPr>
          <w:rFonts w:cs="Arial"/>
          <w:i/>
          <w:iCs/>
          <w:sz w:val="20"/>
          <w:szCs w:val="20"/>
        </w:rPr>
        <w:t>health,</w:t>
      </w:r>
      <w:r>
        <w:rPr>
          <w:rFonts w:cs="Arial"/>
          <w:i/>
          <w:iCs/>
          <w:spacing w:val="-4"/>
          <w:sz w:val="20"/>
          <w:szCs w:val="20"/>
        </w:rPr>
        <w:t xml:space="preserve"> </w:t>
      </w:r>
      <w:r>
        <w:rPr>
          <w:rFonts w:cs="Arial"/>
          <w:i/>
          <w:iCs/>
          <w:sz w:val="20"/>
          <w:szCs w:val="20"/>
        </w:rPr>
        <w:t>safety</w:t>
      </w:r>
      <w:r>
        <w:rPr>
          <w:rFonts w:cs="Arial"/>
          <w:i/>
          <w:iCs/>
          <w:spacing w:val="-7"/>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welfare</w:t>
      </w:r>
      <w:r>
        <w:rPr>
          <w:rFonts w:cs="Arial"/>
          <w:i/>
          <w:iCs/>
          <w:spacing w:val="-4"/>
          <w:sz w:val="20"/>
          <w:szCs w:val="20"/>
        </w:rPr>
        <w:t xml:space="preserve"> </w:t>
      </w:r>
      <w:r>
        <w:rPr>
          <w:rFonts w:cs="Arial"/>
          <w:i/>
          <w:iCs/>
          <w:sz w:val="20"/>
          <w:szCs w:val="20"/>
        </w:rPr>
        <w:t>of</w:t>
      </w:r>
      <w:r>
        <w:rPr>
          <w:rFonts w:cs="Arial"/>
          <w:i/>
          <w:iCs/>
          <w:spacing w:val="-4"/>
          <w:sz w:val="20"/>
          <w:szCs w:val="20"/>
        </w:rPr>
        <w:t xml:space="preserve"> </w:t>
      </w:r>
      <w:r>
        <w:rPr>
          <w:rFonts w:cs="Arial"/>
          <w:i/>
          <w:iCs/>
          <w:sz w:val="20"/>
          <w:szCs w:val="20"/>
        </w:rPr>
        <w:t>those</w:t>
      </w:r>
      <w:r>
        <w:rPr>
          <w:rFonts w:cs="Arial"/>
          <w:i/>
          <w:iCs/>
          <w:spacing w:val="-59"/>
          <w:sz w:val="20"/>
          <w:szCs w:val="20"/>
        </w:rPr>
        <w:t xml:space="preserve"> </w:t>
      </w:r>
      <w:r>
        <w:rPr>
          <w:rFonts w:cs="Arial"/>
          <w:i/>
          <w:iCs/>
          <w:sz w:val="20"/>
          <w:szCs w:val="20"/>
        </w:rPr>
        <w:t>affected by</w:t>
      </w:r>
      <w:r>
        <w:rPr>
          <w:rFonts w:cs="Arial"/>
          <w:i/>
          <w:iCs/>
          <w:spacing w:val="-4"/>
          <w:sz w:val="20"/>
          <w:szCs w:val="20"/>
        </w:rPr>
        <w:t xml:space="preserve"> </w:t>
      </w:r>
      <w:r>
        <w:rPr>
          <w:rFonts w:cs="Arial"/>
          <w:i/>
          <w:iCs/>
          <w:sz w:val="20"/>
          <w:szCs w:val="20"/>
        </w:rPr>
        <w:t>the Service’s</w:t>
      </w:r>
      <w:r>
        <w:rPr>
          <w:rFonts w:cs="Arial"/>
          <w:i/>
          <w:iCs/>
          <w:spacing w:val="2"/>
          <w:sz w:val="20"/>
          <w:szCs w:val="20"/>
        </w:rPr>
        <w:t xml:space="preserve"> </w:t>
      </w:r>
      <w:r>
        <w:rPr>
          <w:rFonts w:cs="Arial"/>
          <w:i/>
          <w:iCs/>
          <w:sz w:val="20"/>
          <w:szCs w:val="20"/>
        </w:rPr>
        <w:t>undertakings.</w:t>
      </w:r>
    </w:p>
    <w:p>
      <w:pPr>
        <w:pStyle w:val="Normal"/>
        <w:rPr/>
      </w:pPr>
      <w:r>
        <w:rPr>
          <w:rFonts w:cs="Arial"/>
          <w:b/>
          <w:bCs/>
          <w:i/>
          <w:iCs/>
          <w:sz w:val="20"/>
          <w:szCs w:val="20"/>
        </w:rPr>
        <w:t>Service Policies</w:t>
      </w:r>
      <w:r>
        <w:rPr>
          <w:rFonts w:cs="Arial"/>
          <w:i/>
          <w:iCs/>
          <w:sz w:val="20"/>
          <w:szCs w:val="20"/>
        </w:rPr>
        <w:t xml:space="preserve"> - All GMCA employees must observe and adhere to the provisions outlined</w:t>
      </w:r>
      <w:r>
        <w:rPr>
          <w:rFonts w:cs="Arial"/>
          <w:i/>
          <w:iCs/>
          <w:spacing w:val="-59"/>
          <w:sz w:val="20"/>
          <w:szCs w:val="20"/>
        </w:rPr>
        <w:t xml:space="preserve"> </w:t>
      </w:r>
      <w:r>
        <w:rPr>
          <w:rFonts w:cs="Arial"/>
          <w:i/>
          <w:iCs/>
          <w:sz w:val="20"/>
          <w:szCs w:val="20"/>
        </w:rPr>
        <w:t>in</w:t>
      </w:r>
      <w:r>
        <w:rPr>
          <w:rFonts w:cs="Arial"/>
          <w:i/>
          <w:iCs/>
          <w:spacing w:val="-1"/>
          <w:sz w:val="20"/>
          <w:szCs w:val="20"/>
        </w:rPr>
        <w:t xml:space="preserve"> </w:t>
      </w:r>
      <w:r>
        <w:rPr>
          <w:rFonts w:cs="Arial"/>
          <w:i/>
          <w:iCs/>
          <w:sz w:val="20"/>
          <w:szCs w:val="20"/>
        </w:rPr>
        <w:t>these policies.</w:t>
      </w:r>
    </w:p>
    <w:p>
      <w:pPr>
        <w:pStyle w:val="Normal"/>
        <w:widowControl w:val="false"/>
        <w:bidi w:val="0"/>
        <w:spacing w:lineRule="auto" w:line="360" w:before="0" w:after="240"/>
        <w:jc w:val="left"/>
        <w:rPr/>
      </w:pPr>
      <w:r>
        <w:rPr>
          <w:rFonts w:cs="Arial"/>
          <w:b/>
          <w:bCs/>
          <w:i/>
          <w:iCs/>
          <w:sz w:val="20"/>
          <w:szCs w:val="20"/>
        </w:rPr>
        <w:t>Equal Opportunities</w:t>
      </w:r>
      <w:r>
        <w:rPr>
          <w:rFonts w:cs="Arial"/>
          <w:i/>
          <w:iCs/>
          <w:sz w:val="20"/>
          <w:szCs w:val="20"/>
        </w:rPr>
        <w:t xml:space="preserve"> - GMCA provides a range of services and employment</w:t>
      </w:r>
      <w:r>
        <w:rPr>
          <w:rFonts w:cs="Arial"/>
          <w:i/>
          <w:iCs/>
          <w:spacing w:val="1"/>
          <w:sz w:val="20"/>
          <w:szCs w:val="20"/>
        </w:rPr>
        <w:t xml:space="preserve"> </w:t>
      </w:r>
      <w:r>
        <w:rPr>
          <w:rFonts w:cs="Arial"/>
          <w:i/>
          <w:iCs/>
          <w:sz w:val="20"/>
          <w:szCs w:val="20"/>
        </w:rPr>
        <w:t xml:space="preserve">opportunities for a diverse population. As a GMCA employee you are expected to treat all </w:t>
      </w:r>
      <w:r>
        <w:rPr>
          <w:rFonts w:cs="Arial"/>
          <w:i/>
          <w:iCs/>
          <w:spacing w:val="-59"/>
          <w:sz w:val="20"/>
          <w:szCs w:val="20"/>
        </w:rPr>
        <w:t xml:space="preserve"> </w:t>
      </w:r>
      <w:r>
        <w:rPr>
          <w:rFonts w:cs="Arial"/>
          <w:i/>
          <w:iCs/>
          <w:sz w:val="20"/>
          <w:szCs w:val="20"/>
        </w:rPr>
        <w:t>employees / partners / members of the public and work colleagues with dignity and</w:t>
      </w:r>
      <w:r>
        <w:rPr>
          <w:rFonts w:cs="Arial"/>
          <w:i/>
          <w:iCs/>
          <w:spacing w:val="1"/>
          <w:sz w:val="20"/>
          <w:szCs w:val="20"/>
        </w:rPr>
        <w:t xml:space="preserve"> </w:t>
      </w:r>
      <w:r>
        <w:rPr>
          <w:rFonts w:cs="Arial"/>
          <w:i/>
          <w:iCs/>
          <w:sz w:val="20"/>
          <w:szCs w:val="20"/>
        </w:rPr>
        <w:t>respect</w:t>
      </w:r>
      <w:r>
        <w:rPr>
          <w:rFonts w:cs="Arial"/>
          <w:i/>
          <w:iCs/>
          <w:spacing w:val="-2"/>
          <w:sz w:val="20"/>
          <w:szCs w:val="20"/>
        </w:rPr>
        <w:t xml:space="preserve"> </w:t>
      </w:r>
      <w:r>
        <w:rPr>
          <w:rFonts w:cs="Arial"/>
          <w:i/>
          <w:iCs/>
          <w:sz w:val="20"/>
          <w:szCs w:val="20"/>
        </w:rPr>
        <w:t>irrespective</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their</w:t>
      </w:r>
      <w:r>
        <w:rPr>
          <w:rFonts w:cs="Arial"/>
          <w:i/>
          <w:iCs/>
          <w:spacing w:val="2"/>
          <w:sz w:val="20"/>
          <w:szCs w:val="20"/>
        </w:rPr>
        <w:t xml:space="preserve"> </w:t>
      </w:r>
      <w:r>
        <w:rPr>
          <w:rFonts w:cs="Arial"/>
          <w:i/>
          <w:iCs/>
          <w:sz w:val="20"/>
          <w:szCs w:val="20"/>
        </w:rPr>
        <w:t>background.</w:t>
      </w:r>
    </w:p>
    <w:sectPr>
      <w:headerReference w:type="default" r:id="rId2"/>
      <w:headerReference w:type="first" r:id="rId3"/>
      <w:type w:val="nextPage"/>
      <w:pgSz w:w="11906" w:h="16850"/>
      <w:pgMar w:left="720" w:right="720" w:header="709" w:top="766" w:footer="0" w:bottom="720"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Arial">
    <w:charset w:val="01"/>
    <w:family w:val="swiss"/>
    <w:pitch w:val="variable"/>
  </w:font>
  <w:font w:name="Calibri">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drawing>
        <wp:anchor behindDoc="1" distT="0" distB="0" distL="0" distR="0" simplePos="0" locked="0" layoutInCell="1" allowOverlap="1" relativeHeight="2">
          <wp:simplePos x="0" y="0"/>
          <wp:positionH relativeFrom="column">
            <wp:posOffset>4718050</wp:posOffset>
          </wp:positionH>
          <wp:positionV relativeFrom="paragraph">
            <wp:posOffset>-343535</wp:posOffset>
          </wp:positionV>
          <wp:extent cx="2190115" cy="68643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Arial" w:hAnsi="Arial" w:cs="Arial" w:hint="default"/>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1080" w:hanging="360"/>
      </w:pPr>
      <w:rPr>
        <w:rFonts w:ascii="Symbol" w:hAnsi="Symbol" w:cs="Symbol" w:hint="default"/>
        <w:rFonts w:cs="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9">
    <w:lvl w:ilvl="0">
      <w:start w:val="1"/>
      <w:numFmt w:val="bullet"/>
      <w:lvlText w:val=""/>
      <w:lvlJc w:val="left"/>
      <w:pPr>
        <w:ind w:left="1080" w:hanging="360"/>
      </w:pPr>
      <w:rPr>
        <w:rFonts w:ascii="Symbol" w:hAnsi="Symbol" w:cs="Symbol" w:hint="default"/>
        <w:rFonts w:cs="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10">
    <w:lvl w:ilvl="0">
      <w:start w:val="1"/>
      <w:numFmt w:val="bullet"/>
      <w:lvlText w:val=""/>
      <w:lvlJc w:val="left"/>
      <w:pPr>
        <w:ind w:left="1080" w:hanging="360"/>
      </w:pPr>
      <w:rPr>
        <w:rFonts w:ascii="Symbol" w:hAnsi="Symbol" w:cs="Symbol" w:hint="default"/>
        <w:rFonts w:cs="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11">
    <w:lvl w:ilvl="0">
      <w:start w:val="1"/>
      <w:numFmt w:val="bullet"/>
      <w:lvlText w:val=""/>
      <w:lvlJc w:val="left"/>
      <w:pPr>
        <w:ind w:left="1080" w:hanging="360"/>
      </w:pPr>
      <w:rPr>
        <w:rFonts w:ascii="Symbol" w:hAnsi="Symbol" w:cs="Symbol" w:hint="default"/>
        <w:rFonts w:cs="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12">
    <w:lvl w:ilvl="0">
      <w:start w:val="1"/>
      <w:numFmt w:val="bullet"/>
      <w:lvlText w:val=""/>
      <w:lvlJc w:val="left"/>
      <w:pPr>
        <w:ind w:left="1080" w:hanging="360"/>
      </w:pPr>
      <w:rPr>
        <w:rFonts w:ascii="Symbol" w:hAnsi="Symbol" w:cs="Symbol" w:hint="default"/>
        <w:rFonts w:cs="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13">
    <w:lvl w:ilvl="0">
      <w:start w:val="1"/>
      <w:numFmt w:val="bullet"/>
      <w:lvlText w:val=""/>
      <w:lvlJc w:val="left"/>
      <w:pPr>
        <w:ind w:left="1080" w:hanging="360"/>
      </w:pPr>
      <w:rPr>
        <w:rFonts w:ascii="Symbol" w:hAnsi="Symbol" w:cs="Symbol" w:hint="default"/>
        <w:rFonts w:cs="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14">
    <w:lvl w:ilvl="0">
      <w:start w:val="1"/>
      <w:numFmt w:val="bullet"/>
      <w:lvlText w:val=""/>
      <w:lvlJc w:val="left"/>
      <w:pPr>
        <w:ind w:left="1080" w:hanging="360"/>
      </w:pPr>
      <w:rPr>
        <w:rFonts w:ascii="Symbol" w:hAnsi="Symbol" w:cs="Symbol" w:hint="default"/>
        <w:rFonts w:cs="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15">
    <w:lvl w:ilvl="0">
      <w:start w:val="1"/>
      <w:numFmt w:val="bullet"/>
      <w:lvlText w:val=""/>
      <w:lvlJc w:val="left"/>
      <w:pPr>
        <w:ind w:left="1080" w:hanging="360"/>
      </w:pPr>
      <w:rPr>
        <w:rFonts w:ascii="Symbol" w:hAnsi="Symbol" w:cs="Symbol" w:hint="default"/>
        <w:rFonts w:cs="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16">
    <w:lvl w:ilvl="0">
      <w:start w:val="1"/>
      <w:numFmt w:val="bullet"/>
      <w:lvlText w:val=""/>
      <w:lvlJc w:val="left"/>
      <w:pPr>
        <w:ind w:left="1080" w:hanging="360"/>
      </w:pPr>
      <w:rPr>
        <w:rFonts w:ascii="Symbol" w:hAnsi="Symbol" w:cs="Symbol" w:hint="default"/>
        <w:rFonts w:cs="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17">
    <w:lvl w:ilvl="0">
      <w:start w:val="1"/>
      <w:numFmt w:val="bullet"/>
      <w:lvlText w:val=""/>
      <w:lvlJc w:val="left"/>
      <w:pPr>
        <w:ind w:left="1080" w:hanging="360"/>
      </w:pPr>
      <w:rPr>
        <w:rFonts w:ascii="Symbol" w:hAnsi="Symbol" w:cs="Symbol" w:hint="default"/>
        <w:rFonts w:cs="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18">
    <w:lvl w:ilvl="0">
      <w:start w:val="1"/>
      <w:numFmt w:val="bullet"/>
      <w:lvlText w:val="o"/>
      <w:lvlJc w:val="left"/>
      <w:pPr>
        <w:ind w:left="720" w:hanging="360"/>
      </w:pPr>
      <w:rPr>
        <w:rFonts w:ascii="Courier New" w:hAnsi="Courier New" w:cs="Courier New" w:hint="default"/>
        <w:rFonts w:cs="Courier New"/>
      </w:rPr>
    </w:lvl>
    <w:lvl w:ilvl="1">
      <w:start w:val="1"/>
      <w:numFmt w:val="bullet"/>
      <w:lvlText w:val="o"/>
      <w:lvlJc w:val="left"/>
      <w:pPr>
        <w:ind w:left="1440" w:hanging="360"/>
      </w:pPr>
      <w:rPr>
        <w:rFonts w:ascii="Courier New" w:hAnsi="Courier New" w:cs="Courier New" w:hint="default"/>
        <w:rFonts w:cs="Courier New"/>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bullet"/>
      <w:lvlText w:val=""/>
      <w:lvlJc w:val="left"/>
      <w:pPr>
        <w:ind w:left="720" w:hanging="360"/>
      </w:pPr>
      <w:rPr>
        <w:rFonts w:ascii="Symbol" w:hAnsi="Symbol" w:cs="Symbol" w:hint="default"/>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Arial" w:hAnsi="Arial" w:cs="Aria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7z0">
    <w:name w:val="WW8Num17z0"/>
    <w:qFormat/>
    <w:rPr>
      <w:rFonts w:ascii="Courier New" w:hAnsi="Courier New" w:cs="Courier New"/>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Symbol" w:hAnsi="Symbol" w:cs="Symbol"/>
      <w:szCs w:val="24"/>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ind w:left="993" w:right="0" w:hanging="633"/>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2026-06-25T12:53:00Z</dcterms:created>
  <dc:creator>Caddy-Dale, Anna (Manchester Growth Company)</dc:creator>
  <dc:description/>
  <dc:language>en-US</dc:language>
  <cp:lastModifiedBy>Westcott, Jamie</cp:lastModifiedBy>
  <cp:lastPrinted>1995-11-21T17:41:00Z</cp:lastPrinted>
  <dcterms:modified xsi:type="dcterms:W3CDTF">2026-06-25T12:53:00Z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0x01010039F157BCC7051E4F9C468500D16E67D8</vt:lpwstr>
  </property>
  <property fmtid="{D5CDD505-2E9C-101B-9397-08002B2CF9AE}" pid="4" name="Created">
    <vt:filetime>2018-12-06T00:00:00Z</vt:filetime>
  </property>
  <property fmtid="{D5CDD505-2E9C-101B-9397-08002B2CF9AE}" pid="5" name="Creator">
    <vt:lpwstr>Microsoft® Word 2016</vt:lpwstr>
  </property>
  <property fmtid="{D5CDD505-2E9C-101B-9397-08002B2CF9AE}" pid="6" name="DocSecurity">
    <vt:i4>4</vt:i4>
  </property>
  <property fmtid="{D5CDD505-2E9C-101B-9397-08002B2CF9AE}" pid="7" name="HyperlinksChanged">
    <vt:bool>0</vt:bool>
  </property>
  <property fmtid="{D5CDD505-2E9C-101B-9397-08002B2CF9AE}" pid="8" name="LastSaved">
    <vt:filetime>2021-02-17T00:00:00Z</vt:filetime>
  </property>
  <property fmtid="{D5CDD505-2E9C-101B-9397-08002B2CF9AE}" pid="9" name="LinksUpToDate">
    <vt:bool>0</vt:bool>
  </property>
  <property fmtid="{D5CDD505-2E9C-101B-9397-08002B2CF9AE}" pid="10" name="ScaleCrop">
    <vt:bool>0</vt:bool>
  </property>
  <property fmtid="{D5CDD505-2E9C-101B-9397-08002B2CF9AE}" pid="11" name="ShareDoc">
    <vt:bool>0</vt:bool>
  </property>
  <property fmtid="{D5CDD505-2E9C-101B-9397-08002B2CF9AE}" pid="12" name="docLang">
    <vt:lpwstr>en</vt:lpwstr>
  </property>
</Properties>
</file>