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Management Trainee</w:t>
      </w:r>
    </w:p>
    <w:p>
      <w:pPr>
        <w:pStyle w:val="ListParagraph"/>
        <w:numPr>
          <w:ilvl w:val="0"/>
          <w:numId w:val="2"/>
        </w:numPr>
        <w:rPr/>
      </w:pPr>
      <w:r>
        <w:rPr>
          <w:rFonts w:cs="Arial"/>
          <w:b/>
          <w:bCs/>
          <w:szCs w:val="24"/>
        </w:rPr>
        <w:t>Grade:</w:t>
      </w:r>
      <w:r>
        <w:rPr>
          <w:rFonts w:cs="Arial"/>
          <w:szCs w:val="24"/>
        </w:rPr>
        <w:t xml:space="preserve"> 5</w:t>
      </w:r>
    </w:p>
    <w:p>
      <w:pPr>
        <w:pStyle w:val="ListParagraph"/>
        <w:numPr>
          <w:ilvl w:val="0"/>
          <w:numId w:val="2"/>
        </w:numPr>
        <w:rPr/>
      </w:pPr>
      <w:r>
        <w:rPr>
          <w:rFonts w:cs="Arial"/>
          <w:b/>
          <w:bCs/>
          <w:szCs w:val="24"/>
        </w:rPr>
        <w:t>Business area:</w:t>
      </w:r>
      <w:r>
        <w:rPr>
          <w:rFonts w:cs="Arial"/>
          <w:szCs w:val="24"/>
        </w:rPr>
        <w:t xml:space="preserve"> </w:t>
      </w:r>
      <w:r>
        <w:rPr>
          <w:rFonts w:cs="Arial"/>
          <w:bCs/>
          <w:iCs/>
          <w:color w:val="000000"/>
          <w:szCs w:val="24"/>
          <w:u w:val="none" w:color="000000"/>
        </w:rPr>
        <w:t>Various departments</w:t>
      </w:r>
    </w:p>
    <w:p>
      <w:pPr>
        <w:pStyle w:val="ListParagraph"/>
        <w:numPr>
          <w:ilvl w:val="0"/>
          <w:numId w:val="2"/>
        </w:numPr>
        <w:rPr/>
      </w:pPr>
      <w:r>
        <w:rPr>
          <w:rFonts w:cs="Arial"/>
          <w:b/>
          <w:bCs/>
          <w:szCs w:val="24"/>
        </w:rPr>
        <w:t>Job title</w:t>
      </w:r>
      <w:r>
        <w:rPr>
          <w:rFonts w:cs="Arial"/>
          <w:szCs w:val="24"/>
        </w:rPr>
        <w:t xml:space="preserve">: </w:t>
      </w:r>
      <w:r>
        <w:rPr>
          <w:rFonts w:cs="Arial"/>
          <w:bCs/>
          <w:iCs/>
          <w:color w:val="000000"/>
          <w:szCs w:val="24"/>
          <w:u w:val="none" w:color="000000"/>
        </w:rPr>
        <w:t>Management</w:t>
      </w:r>
      <w:r>
        <w:rPr>
          <w:rFonts w:cs="Arial"/>
          <w:color w:val="000000"/>
          <w:szCs w:val="24"/>
          <w:u w:val="none" w:color="000000"/>
        </w:rPr>
        <w:t xml:space="preserve"> Trainee</w:t>
      </w:r>
    </w:p>
    <w:p>
      <w:pPr>
        <w:pStyle w:val="ListParagraph"/>
        <w:numPr>
          <w:ilvl w:val="0"/>
          <w:numId w:val="2"/>
        </w:numPr>
        <w:rPr/>
      </w:pPr>
      <w:r>
        <w:rPr>
          <w:rFonts w:cs="Arial"/>
          <w:b/>
          <w:bCs/>
          <w:szCs w:val="24"/>
        </w:rPr>
        <w:t>Reporting line:</w:t>
      </w:r>
      <w:r>
        <w:rPr>
          <w:rFonts w:cs="Arial"/>
          <w:szCs w:val="24"/>
        </w:rPr>
        <w:t xml:space="preserve"> </w:t>
      </w:r>
      <w:r>
        <w:rPr>
          <w:rFonts w:cs="Arial"/>
          <w:bCs/>
          <w:iCs/>
          <w:color w:val="000000"/>
          <w:szCs w:val="24"/>
          <w:u w:val="none" w:color="000000"/>
        </w:rPr>
        <w:t>Various departments</w:t>
      </w:r>
    </w:p>
    <w:p>
      <w:pPr>
        <w:pStyle w:val="ListParagraph"/>
        <w:numPr>
          <w:ilvl w:val="0"/>
          <w:numId w:val="2"/>
        </w:numPr>
        <w:rPr/>
      </w:pPr>
      <w:r>
        <w:rPr>
          <w:rFonts w:cs="Arial"/>
          <w:b/>
          <w:bCs/>
          <w:szCs w:val="24"/>
        </w:rPr>
        <w:t>Team:</w:t>
      </w:r>
      <w:r>
        <w:rPr>
          <w:rFonts w:cs="Arial"/>
          <w:szCs w:val="24"/>
        </w:rPr>
        <w:t xml:space="preserve"> </w:t>
      </w:r>
      <w:r>
        <w:rPr>
          <w:rFonts w:cs="Arial"/>
          <w:bCs/>
          <w:iCs/>
          <w:color w:val="000000"/>
          <w:szCs w:val="24"/>
          <w:u w:val="none" w:color="000000"/>
        </w:rPr>
        <w:t>2 x 12-month placements in various departments</w:t>
      </w:r>
    </w:p>
    <w:p>
      <w:pPr>
        <w:pStyle w:val="Heading2"/>
        <w:shd w:fill="004F6E" w:val="clear"/>
        <w:rPr>
          <w:rFonts w:cs="Arial"/>
          <w:sz w:val="24"/>
          <w:szCs w:val="24"/>
        </w:rPr>
      </w:pPr>
      <w:r>
        <w:rPr>
          <w:rFonts w:cs="Arial"/>
          <w:sz w:val="24"/>
          <w:szCs w:val="24"/>
        </w:rPr>
        <w:t>Job Purpose</w:t>
      </w:r>
    </w:p>
    <w:p>
      <w:pPr>
        <w:pStyle w:val="Normal"/>
        <w:spacing w:before="120" w:after="120"/>
        <w:rPr>
          <w:rFonts w:cs="Arial"/>
          <w:szCs w:val="24"/>
        </w:rPr>
      </w:pPr>
      <w:r>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and invest. </w:t>
      </w:r>
    </w:p>
    <w:p>
      <w:pPr>
        <w:pStyle w:val="Normal"/>
        <w:spacing w:before="120" w:after="120"/>
        <w:rPr>
          <w:rFonts w:cs="Arial"/>
          <w:szCs w:val="24"/>
          <w:lang w:eastAsia="en-GB"/>
        </w:rPr>
      </w:pPr>
      <w:r>
        <w:rPr>
          <w:rFonts w:cs="Arial"/>
          <w:szCs w:val="24"/>
          <w:lang w:eastAsia="en-GB"/>
        </w:rPr>
        <w:t xml:space="preserve">Our Management Trainee Programme provides a unique development opportunity for high calibre trainees wishing to pursue a career with a dynamic, exciting, and socially responsible employer. </w:t>
      </w:r>
    </w:p>
    <w:p>
      <w:pPr>
        <w:pStyle w:val="Normal"/>
        <w:spacing w:before="120" w:after="120"/>
        <w:rPr>
          <w:rFonts w:cs="Arial"/>
          <w:szCs w:val="24"/>
          <w:lang w:eastAsia="en-GB"/>
        </w:rPr>
      </w:pPr>
      <w:r>
        <w:rPr>
          <w:rFonts w:cs="Arial"/>
          <w:szCs w:val="24"/>
          <w:lang w:eastAsia="en-GB"/>
        </w:rPr>
        <w:t>The scheme provides a rich experience; based around placements that will engage you in work that is core to the GMCA’s priorities.</w:t>
      </w:r>
    </w:p>
    <w:p>
      <w:pPr>
        <w:pStyle w:val="Normal"/>
        <w:spacing w:before="120" w:after="120"/>
        <w:rPr>
          <w:rFonts w:cs="Arial"/>
          <w:szCs w:val="24"/>
          <w:lang w:eastAsia="en-GB"/>
        </w:rPr>
      </w:pPr>
      <w:r>
        <w:rPr>
          <w:rFonts w:cs="Arial"/>
          <w:szCs w:val="24"/>
          <w:lang w:eastAsia="en-GB"/>
        </w:rPr>
        <w:t>Our wide range of services and the speed of change in local government mean that we need high calibre trainees who will thrive in a challenging and fast-paced environment.  As a Management Trainee you are able to work effectively in complex and diverse situations, work in partnership with people at all levels from a variety of disciplines, aspire to become future managers, are prepared to challenge the status quo to bring about change, are prepared to learn and share knowledge and experiences, have resilience and show dedication to our aim of making Greater Manchester (GM) a great place to live, work and visit.</w:t>
      </w:r>
    </w:p>
    <w:p>
      <w:pPr>
        <w:pStyle w:val="ListParagraph"/>
        <w:numPr>
          <w:ilvl w:val="0"/>
          <w:numId w:val="5"/>
        </w:numPr>
        <w:spacing w:before="120" w:after="120"/>
        <w:rPr/>
      </w:pPr>
      <w:r>
        <w:rPr>
          <w:rFonts w:cs="Arial"/>
          <w:szCs w:val="24"/>
        </w:rPr>
        <w:t xml:space="preserve">As a </w:t>
      </w:r>
      <w:r>
        <w:rPr>
          <w:rFonts w:cs="Arial"/>
          <w:szCs w:val="24"/>
          <w:lang w:eastAsia="en-GB"/>
        </w:rPr>
        <w:t xml:space="preserve">Management </w:t>
      </w:r>
      <w:r>
        <w:rPr>
          <w:rFonts w:cs="Arial"/>
          <w:szCs w:val="24"/>
        </w:rPr>
        <w:t>Trainee, you will:</w:t>
      </w:r>
    </w:p>
    <w:p>
      <w:pPr>
        <w:pStyle w:val="ListParagraph"/>
        <w:numPr>
          <w:ilvl w:val="0"/>
          <w:numId w:val="5"/>
        </w:numPr>
        <w:spacing w:before="120" w:after="120"/>
        <w:rPr>
          <w:rFonts w:cs="Arial"/>
          <w:szCs w:val="24"/>
        </w:rPr>
      </w:pPr>
      <w:r>
        <w:rPr>
          <w:rFonts w:cs="Arial"/>
          <w:szCs w:val="24"/>
        </w:rPr>
        <w:t>Be involved in project work across the 10 GM local authorities and with other public sector partners.</w:t>
      </w:r>
    </w:p>
    <w:p>
      <w:pPr>
        <w:pStyle w:val="ListParagraph"/>
        <w:numPr>
          <w:ilvl w:val="0"/>
          <w:numId w:val="5"/>
        </w:numPr>
        <w:spacing w:before="120" w:after="120"/>
        <w:rPr>
          <w:rFonts w:cs="Arial"/>
          <w:szCs w:val="24"/>
        </w:rPr>
      </w:pPr>
      <w:r>
        <w:rPr>
          <w:rFonts w:cs="Arial"/>
          <w:szCs w:val="24"/>
        </w:rPr>
        <w:t xml:space="preserve">Undertake an apprenticeship qualification and take part in a range of local and national training and development opportunities that meet the needs of your team in GMCA and the local communities it serves. </w:t>
      </w:r>
    </w:p>
    <w:p>
      <w:pPr>
        <w:pStyle w:val="ListParagraph"/>
        <w:numPr>
          <w:ilvl w:val="0"/>
          <w:numId w:val="5"/>
        </w:numPr>
        <w:spacing w:before="120" w:after="120"/>
        <w:rPr/>
      </w:pPr>
      <w:r>
        <w:rPr>
          <w:rFonts w:cs="Arial"/>
          <w:szCs w:val="24"/>
        </w:rPr>
        <w:t>Work collaboratively</w:t>
      </w:r>
      <w:r>
        <w:rPr/>
        <w:t xml:space="preserve"> within the group structure of GMCA, Greater Manchester Fire and Rescue Service and TfGM </w:t>
      </w:r>
      <w:r>
        <w:rPr>
          <w:rFonts w:cs="Arial"/>
          <w:szCs w:val="24"/>
        </w:rPr>
        <w:t xml:space="preserve"> Individual local authorities, central government departments, trade unions and other key stakeholders. </w:t>
      </w:r>
    </w:p>
    <w:p>
      <w:pPr>
        <w:pStyle w:val="ListParagraph"/>
        <w:numPr>
          <w:ilvl w:val="0"/>
          <w:numId w:val="5"/>
        </w:numPr>
        <w:spacing w:before="120" w:after="120"/>
        <w:rPr/>
      </w:pPr>
      <w:r>
        <w:rPr/>
        <w:t>Always hold yourself and others to a high standard of professionalism, demonstrating your commitment to our values and behaviours as well as ensuring confidentiality is maintained throughout all you do.</w:t>
      </w:r>
    </w:p>
    <w:p>
      <w:pPr>
        <w:pStyle w:val="ListParagraph"/>
        <w:numPr>
          <w:ilvl w:val="0"/>
          <w:numId w:val="5"/>
        </w:numPr>
        <w:spacing w:before="120" w:after="120"/>
        <w:rPr/>
      </w:pPr>
      <w:r>
        <w:rPr/>
        <w:t xml:space="preserve">Ensure the services you deliver internally and externally are inclusive and accessible, integrated with the organisations values &amp; strategic intent. </w:t>
      </w:r>
    </w:p>
    <w:p>
      <w:pPr>
        <w:pStyle w:val="Heading2"/>
        <w:shd w:fill="004F6E" w:val="clear"/>
        <w:rPr>
          <w:rFonts w:cs="Arial"/>
          <w:sz w:val="24"/>
          <w:szCs w:val="24"/>
        </w:rPr>
      </w:pPr>
      <w:r>
        <w:rPr>
          <w:rFonts w:cs="Arial"/>
          <w:sz w:val="24"/>
          <w:szCs w:val="24"/>
        </w:rPr>
        <w:t>Key working relationships</w:t>
      </w:r>
    </w:p>
    <w:p>
      <w:pPr>
        <w:pStyle w:val="Normal"/>
        <w:widowControl/>
        <w:spacing w:lineRule="auto" w:line="240" w:before="0" w:after="0"/>
        <w:rPr>
          <w:rFonts w:eastAsia="Times New Roman" w:cs="Arial"/>
          <w:color w:val="auto"/>
          <w:szCs w:val="24"/>
          <w:lang w:val="en-US"/>
        </w:rPr>
      </w:pPr>
      <w:r>
        <w:rPr>
          <w:rFonts w:eastAsia="Times New Roman" w:cs="Arial"/>
          <w:color w:val="auto"/>
          <w:szCs w:val="24"/>
          <w:lang w:val="en-US"/>
        </w:rPr>
        <w:t>Work with key strategic partners at local and national levels including:</w:t>
      </w:r>
    </w:p>
    <w:p>
      <w:pPr>
        <w:pStyle w:val="Normal"/>
        <w:spacing w:lineRule="auto" w:line="240" w:before="0" w:after="0"/>
        <w:ind w:left="303" w:right="0" w:hanging="0"/>
        <w:rPr>
          <w:rFonts w:eastAsia="Times New Roman" w:cs="Arial"/>
          <w:bCs/>
          <w:iCs/>
          <w:color w:val="auto"/>
          <w:szCs w:val="24"/>
          <w:u w:val="none" w:color="000000"/>
          <w:lang w:val="en-US"/>
        </w:rPr>
      </w:pPr>
      <w:r>
        <w:rPr>
          <w:rFonts w:eastAsia="Times New Roman" w:cs="Arial"/>
          <w:bCs/>
          <w:iCs/>
          <w:color w:val="auto"/>
          <w:szCs w:val="24"/>
          <w:u w:val="none" w:color="000000"/>
          <w:lang w:val="en-US"/>
        </w:rPr>
      </w:r>
    </w:p>
    <w:p>
      <w:pPr>
        <w:pStyle w:val="Normal"/>
        <w:widowControl/>
        <w:numPr>
          <w:ilvl w:val="0"/>
          <w:numId w:val="6"/>
        </w:numPr>
        <w:spacing w:lineRule="auto" w:line="240" w:before="0" w:after="0"/>
        <w:rPr>
          <w:rFonts w:eastAsia="Arial Unicode MS" w:cs="Arial"/>
          <w:color w:val="auto"/>
          <w:szCs w:val="24"/>
          <w:lang w:val="en-US"/>
        </w:rPr>
      </w:pPr>
      <w:r>
        <w:rPr>
          <w:rFonts w:eastAsia="Arial Unicode MS" w:cs="Arial"/>
          <w:color w:val="auto"/>
          <w:szCs w:val="24"/>
          <w:lang w:val="en-US"/>
        </w:rPr>
        <w:t xml:space="preserve">GMCA Senior and Extended Leadership Teams </w:t>
      </w:r>
    </w:p>
    <w:p>
      <w:pPr>
        <w:pStyle w:val="Normal"/>
        <w:widowControl/>
        <w:numPr>
          <w:ilvl w:val="0"/>
          <w:numId w:val="6"/>
        </w:numPr>
        <w:spacing w:lineRule="auto" w:line="240" w:before="0" w:after="0"/>
        <w:rPr>
          <w:rFonts w:eastAsia="Arial Unicode MS" w:cs="Arial"/>
          <w:color w:val="auto"/>
          <w:szCs w:val="24"/>
          <w:lang w:val="en-US"/>
        </w:rPr>
      </w:pPr>
      <w:r>
        <w:rPr>
          <w:rFonts w:eastAsia="Arial Unicode MS" w:cs="Arial"/>
          <w:color w:val="auto"/>
          <w:szCs w:val="24"/>
          <w:lang w:val="en-US"/>
        </w:rPr>
        <w:t>Group working with TfGM</w:t>
      </w:r>
    </w:p>
    <w:p>
      <w:pPr>
        <w:pStyle w:val="Normal"/>
        <w:widowControl/>
        <w:numPr>
          <w:ilvl w:val="0"/>
          <w:numId w:val="6"/>
        </w:numPr>
        <w:spacing w:lineRule="auto" w:line="240" w:before="0" w:after="0"/>
        <w:rPr>
          <w:rFonts w:eastAsia="Arial Unicode MS" w:cs="Arial"/>
          <w:bCs/>
          <w:iCs/>
          <w:color w:val="auto"/>
          <w:szCs w:val="24"/>
          <w:lang w:val="en-US"/>
        </w:rPr>
      </w:pPr>
      <w:r>
        <w:rPr>
          <w:rFonts w:eastAsia="Arial Unicode MS" w:cs="Arial"/>
          <w:bCs/>
          <w:iCs/>
          <w:color w:val="auto"/>
          <w:szCs w:val="24"/>
          <w:lang w:val="en-US"/>
        </w:rPr>
        <w:t xml:space="preserve">Greater Manchester’s ten local authorities </w:t>
      </w:r>
    </w:p>
    <w:p>
      <w:pPr>
        <w:pStyle w:val="Normal"/>
        <w:widowControl/>
        <w:numPr>
          <w:ilvl w:val="0"/>
          <w:numId w:val="6"/>
        </w:numPr>
        <w:spacing w:lineRule="auto" w:line="240" w:before="0" w:after="0"/>
        <w:rPr>
          <w:rFonts w:eastAsia="Arial Unicode MS" w:cs="Arial"/>
          <w:bCs/>
          <w:iCs/>
          <w:color w:val="auto"/>
          <w:szCs w:val="24"/>
          <w:lang w:val="en-US"/>
        </w:rPr>
      </w:pPr>
      <w:r>
        <w:rPr>
          <w:rFonts w:eastAsia="Arial Unicode MS" w:cs="Arial"/>
          <w:bCs/>
          <w:iCs/>
          <w:color w:val="auto"/>
          <w:szCs w:val="24"/>
          <w:lang w:val="en-US"/>
        </w:rPr>
        <w:t>The Greater Manchester Local Enterprise Partnership</w:t>
      </w:r>
    </w:p>
    <w:p>
      <w:pPr>
        <w:pStyle w:val="Heading2"/>
        <w:shd w:fill="004F6E" w:val="clear"/>
        <w:rPr>
          <w:rFonts w:cs="Arial"/>
          <w:sz w:val="24"/>
          <w:szCs w:val="24"/>
        </w:rPr>
      </w:pPr>
      <w:r>
        <w:rPr>
          <w:rFonts w:cs="Arial"/>
          <w:sz w:val="24"/>
          <w:szCs w:val="24"/>
        </w:rPr>
        <w:t>Key Responsibilities</w:t>
      </w:r>
    </w:p>
    <w:p>
      <w:pPr>
        <w:pStyle w:val="Heading3"/>
        <w:numPr>
          <w:ilvl w:val="0"/>
          <w:numId w:val="3"/>
        </w:numPr>
        <w:rPr>
          <w:rFonts w:cs="Arial"/>
          <w:color w:val="auto"/>
          <w:sz w:val="24"/>
        </w:rPr>
      </w:pPr>
      <w:r>
        <w:rPr>
          <w:rFonts w:cs="Arial"/>
          <w:color w:val="auto"/>
          <w:sz w:val="24"/>
        </w:rPr>
        <w:t>Maintain high standards of professionalism, ensuring all work meets organisational expectations and reflects the values and behaviours of Greater Manchester Combined Authority.</w:t>
      </w:r>
    </w:p>
    <w:p>
      <w:pPr>
        <w:pStyle w:val="Heading3"/>
        <w:numPr>
          <w:ilvl w:val="0"/>
          <w:numId w:val="3"/>
        </w:numPr>
        <w:rPr>
          <w:rFonts w:cs="Arial"/>
          <w:color w:val="auto"/>
          <w:sz w:val="24"/>
        </w:rPr>
      </w:pPr>
      <w:r>
        <w:rPr>
          <w:rFonts w:cs="Arial"/>
          <w:color w:val="auto"/>
          <w:sz w:val="24"/>
        </w:rPr>
        <w:t>Address queries from internal and external stakeholders promptly and effectively, providing clear, accurate information and ensuring a responsive and customer-focused approach.</w:t>
      </w:r>
    </w:p>
    <w:p>
      <w:pPr>
        <w:pStyle w:val="Heading3"/>
        <w:numPr>
          <w:ilvl w:val="0"/>
          <w:numId w:val="3"/>
        </w:numPr>
        <w:rPr>
          <w:rFonts w:cs="Arial"/>
          <w:color w:val="auto"/>
          <w:sz w:val="24"/>
        </w:rPr>
      </w:pPr>
      <w:r>
        <w:rPr>
          <w:rFonts w:cs="Arial"/>
          <w:color w:val="auto"/>
          <w:sz w:val="24"/>
        </w:rPr>
        <w:t>Contribute to the development, implementation and review of strategies that support the directorate's objectives, ensuring alignment with local and national priorities.</w:t>
      </w:r>
    </w:p>
    <w:p>
      <w:pPr>
        <w:pStyle w:val="Heading3"/>
        <w:numPr>
          <w:ilvl w:val="0"/>
          <w:numId w:val="3"/>
        </w:numPr>
        <w:rPr>
          <w:rFonts w:cs="Arial"/>
          <w:color w:val="auto"/>
          <w:sz w:val="24"/>
        </w:rPr>
      </w:pPr>
      <w:r>
        <w:rPr>
          <w:rFonts w:cs="Arial"/>
          <w:color w:val="auto"/>
          <w:sz w:val="24"/>
        </w:rPr>
        <w:t>Performance against KPIs: Work to achieve and exceed internal Key Performance Indicators (KPIs), regularly monitoring progress and implementing improvements where necessary.</w:t>
      </w:r>
    </w:p>
    <w:p>
      <w:pPr>
        <w:pStyle w:val="Heading3"/>
        <w:numPr>
          <w:ilvl w:val="0"/>
          <w:numId w:val="3"/>
        </w:numPr>
        <w:rPr>
          <w:rFonts w:cs="Arial"/>
          <w:color w:val="auto"/>
          <w:sz w:val="24"/>
        </w:rPr>
      </w:pPr>
      <w:r>
        <w:rPr>
          <w:rFonts w:cs="Arial"/>
          <w:color w:val="auto"/>
          <w:sz w:val="24"/>
        </w:rPr>
        <w:t>Demonstrate a commitment to professional development by actively participating in courses offered throughout the programme.</w:t>
      </w:r>
    </w:p>
    <w:p>
      <w:pPr>
        <w:pStyle w:val="Heading3"/>
        <w:numPr>
          <w:ilvl w:val="0"/>
          <w:numId w:val="3"/>
        </w:numPr>
        <w:rPr>
          <w:rFonts w:cs="Arial"/>
          <w:color w:val="auto"/>
          <w:sz w:val="24"/>
        </w:rPr>
      </w:pPr>
      <w:r>
        <w:rPr>
          <w:rFonts w:cs="Arial"/>
          <w:color w:val="auto"/>
          <w:sz w:val="24"/>
        </w:rPr>
        <w:t>Ensure all data systems are maintained accurately and updated in a timely manner, supporting effective decision-making and service delivery.</w:t>
      </w:r>
    </w:p>
    <w:p>
      <w:pPr>
        <w:pStyle w:val="Heading3"/>
        <w:numPr>
          <w:ilvl w:val="0"/>
          <w:numId w:val="3"/>
        </w:numPr>
        <w:rPr>
          <w:rFonts w:cs="Arial"/>
          <w:color w:val="auto"/>
          <w:sz w:val="24"/>
        </w:rPr>
      </w:pPr>
      <w:r>
        <w:rPr>
          <w:rFonts w:cs="Arial"/>
          <w:color w:val="auto"/>
          <w:sz w:val="24"/>
        </w:rPr>
        <w:t>Data Protection and Confidentiality: Adhere strictly to data protection legislation and organisational policies, ensuring all information is handled confidentially and securely at all times.</w:t>
      </w:r>
    </w:p>
    <w:p>
      <w:pPr>
        <w:pStyle w:val="Heading3"/>
        <w:numPr>
          <w:ilvl w:val="0"/>
          <w:numId w:val="3"/>
        </w:numPr>
        <w:rPr>
          <w:rFonts w:cs="Arial"/>
          <w:color w:val="auto"/>
          <w:sz w:val="24"/>
        </w:rPr>
      </w:pPr>
      <w:r>
        <w:rPr>
          <w:rFonts w:cs="Arial"/>
          <w:color w:val="auto"/>
          <w:sz w:val="24"/>
        </w:rPr>
        <w:t>Willing to adapt and learn new methods while working with various teams.</w:t>
      </w:r>
    </w:p>
    <w:p>
      <w:pPr>
        <w:pStyle w:val="Heading3"/>
        <w:numPr>
          <w:ilvl w:val="0"/>
          <w:numId w:val="3"/>
        </w:numPr>
        <w:rPr>
          <w:rFonts w:cs="Arial"/>
          <w:color w:val="auto"/>
          <w:sz w:val="24"/>
        </w:rPr>
      </w:pPr>
      <w:r>
        <w:rPr>
          <w:rFonts w:cs="Arial"/>
          <w:color w:val="auto"/>
          <w:sz w:val="24"/>
        </w:rPr>
        <w:t>Motivated to achieve an apprenticeship in addition to their regular duties.</w:t>
      </w:r>
    </w:p>
    <w:p>
      <w:pPr>
        <w:pStyle w:val="Heading2"/>
        <w:shd w:fill="004F6E" w:val="clear"/>
        <w:rPr>
          <w:rFonts w:cs="Arial"/>
          <w:sz w:val="24"/>
          <w:szCs w:val="24"/>
        </w:rPr>
      </w:pPr>
      <w:r>
        <w:rPr>
          <w:rFonts w:cs="Arial"/>
          <w:sz w:val="24"/>
          <w:szCs w:val="24"/>
        </w:rPr>
        <w:t>General</w:t>
      </w:r>
    </w:p>
    <w:p>
      <w:pPr>
        <w:pStyle w:val="ListParagraph"/>
        <w:numPr>
          <w:ilvl w:val="0"/>
          <w:numId w:val="4"/>
        </w:numPr>
        <w:rPr>
          <w:rFonts w:cs="Arial"/>
          <w:color w:val="auto"/>
        </w:rPr>
      </w:pPr>
      <w:r>
        <w:rPr>
          <w:rFonts w:cs="Arial"/>
          <w:color w:val="auto"/>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4"/>
        </w:numPr>
        <w:rPr>
          <w:rFonts w:eastAsia="Arial" w:cs="Arial"/>
          <w:color w:val="auto"/>
          <w:szCs w:val="24"/>
        </w:rPr>
      </w:pPr>
      <w:r>
        <w:rPr>
          <w:rFonts w:eastAsia="Arial" w:cs="Arial"/>
          <w:color w:val="auto"/>
          <w:szCs w:val="24"/>
        </w:rPr>
        <w:t>Working with other teams internally and externally collaboration is maximised and supporting on activity where appropriate</w:t>
      </w:r>
    </w:p>
    <w:p>
      <w:pPr>
        <w:pStyle w:val="ListParagraph"/>
        <w:numPr>
          <w:ilvl w:val="0"/>
          <w:numId w:val="4"/>
        </w:numPr>
        <w:rPr>
          <w:color w:val="auto"/>
        </w:rPr>
      </w:pPr>
      <w:r>
        <w:rPr>
          <w:color w:val="auto"/>
        </w:rPr>
        <w:t xml:space="preserve">Ensure the services delivered internally and externally are inclusive and accessible, integrated with the service </w:t>
      </w:r>
    </w:p>
    <w:p>
      <w:pPr>
        <w:pStyle w:val="ListParagraph"/>
        <w:numPr>
          <w:ilvl w:val="0"/>
          <w:numId w:val="4"/>
        </w:numPr>
        <w:rPr>
          <w:rFonts w:cs="Arial"/>
          <w:color w:val="auto"/>
        </w:rPr>
      </w:pPr>
      <w:r>
        <w:rPr>
          <w:rFonts w:cs="Arial"/>
          <w:color w:val="auto"/>
        </w:rPr>
        <w:t xml:space="preserve">To align work area to the Sustainability Strategy and ensure work practices are inclusive of this values &amp; strategic intent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Knowledge &amp; Experience</w:t>
      </w:r>
    </w:p>
    <w:p>
      <w:pPr>
        <w:pStyle w:val="Heading3"/>
        <w:rPr>
          <w:rFonts w:cs="Arial"/>
          <w:bCs/>
          <w:sz w:val="24"/>
          <w:lang w:eastAsia="en-GB"/>
        </w:rPr>
      </w:pPr>
      <w:r>
        <w:rPr>
          <w:rFonts w:cs="Arial"/>
          <w:bCs/>
          <w:sz w:val="24"/>
          <w:lang w:eastAsia="en-GB"/>
        </w:rPr>
        <w:t xml:space="preserve">Essential Qualifications </w:t>
      </w:r>
    </w:p>
    <w:p>
      <w:pPr>
        <w:pStyle w:val="Default"/>
        <w:numPr>
          <w:ilvl w:val="0"/>
          <w:numId w:val="3"/>
        </w:numPr>
        <w:rPr/>
      </w:pPr>
      <w:r>
        <w:rPr/>
        <w:t>English and Maths GCSE (grade 4 or C and above), and 3 A-levels (Grade C or above) or T-level (Pass C or above) or equivalent.</w:t>
      </w:r>
    </w:p>
    <w:p>
      <w:pPr>
        <w:pStyle w:val="Default"/>
        <w:ind w:left="720" w:right="0" w:hanging="0"/>
        <w:rPr/>
      </w:pPr>
      <w:r>
        <w:rPr/>
      </w:r>
    </w:p>
    <w:p>
      <w:pPr>
        <w:pStyle w:val="Heading3"/>
        <w:rPr/>
      </w:pPr>
      <w:r>
        <w:rPr>
          <w:rFonts w:cs="Arial"/>
          <w:sz w:val="24"/>
        </w:rPr>
        <w:t>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ListParagraph"/>
        <w:numPr>
          <w:ilvl w:val="0"/>
          <w:numId w:val="7"/>
        </w:numPr>
        <w:rPr/>
      </w:pPr>
      <w:r>
        <w:rPr>
          <w:rFonts w:cs="Arial"/>
          <w:b/>
          <w:bCs/>
          <w:color w:val="auto"/>
          <w:szCs w:val="24"/>
        </w:rPr>
        <w:t>Communication</w:t>
      </w:r>
      <w:r>
        <w:rPr>
          <w:rFonts w:cs="Arial"/>
          <w:color w:val="auto"/>
          <w:szCs w:val="24"/>
        </w:rPr>
        <w:t>: Ability to negotiate difficult agreements with wide impact; ability to influence or persuade internal or external stakeholders.  Expresses opinions, information and key points of an argument clearly, makes presentations and undertakes public speaking with skill and confidence.  Writes in a well-structured and logical way and structures information to meet the needs and understanding of the intended audience.</w:t>
      </w:r>
    </w:p>
    <w:p>
      <w:pPr>
        <w:pStyle w:val="ListParagraph"/>
        <w:numPr>
          <w:ilvl w:val="0"/>
          <w:numId w:val="7"/>
        </w:numPr>
        <w:rPr/>
      </w:pPr>
      <w:r>
        <w:rPr>
          <w:rFonts w:cs="Arial"/>
          <w:b/>
          <w:bCs/>
          <w:color w:val="auto"/>
          <w:szCs w:val="24"/>
        </w:rPr>
        <w:t>Analytical Skills</w:t>
      </w:r>
      <w:r>
        <w:rPr>
          <w:rFonts w:cs="Arial"/>
          <w:color w:val="auto"/>
          <w:szCs w:val="24"/>
        </w:rPr>
        <w:t>:  Application of strong analytical reasoning skills and intellectual focus, taking in the wider external and internal environments and proactively thinks through problems rather than reactively following a procedure-driven approach.</w:t>
      </w:r>
    </w:p>
    <w:p>
      <w:pPr>
        <w:pStyle w:val="ListParagraph"/>
        <w:numPr>
          <w:ilvl w:val="0"/>
          <w:numId w:val="7"/>
        </w:numPr>
        <w:rPr/>
      </w:pPr>
      <w:r>
        <w:rPr>
          <w:rFonts w:cs="Arial"/>
          <w:b/>
          <w:bCs/>
          <w:color w:val="auto"/>
          <w:szCs w:val="24"/>
        </w:rPr>
        <w:t>Planning and Organising</w:t>
      </w:r>
      <w:r>
        <w:rPr>
          <w:rFonts w:cs="Arial"/>
          <w:color w:val="auto"/>
          <w:szCs w:val="24"/>
        </w:rPr>
        <w:t>: 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pPr>
        <w:pStyle w:val="ListParagraph"/>
        <w:numPr>
          <w:ilvl w:val="0"/>
          <w:numId w:val="7"/>
        </w:numPr>
        <w:rPr/>
      </w:pPr>
      <w:r>
        <w:rPr>
          <w:rFonts w:cs="Arial"/>
          <w:b/>
          <w:bCs/>
          <w:color w:val="auto"/>
          <w:szCs w:val="24"/>
        </w:rPr>
        <w:t>Problem Solving and Decision Making</w:t>
      </w:r>
      <w:r>
        <w:rPr>
          <w:rFonts w:cs="Arial"/>
          <w:color w:val="auto"/>
          <w:szCs w:val="24"/>
        </w:rPr>
        <w:t>:  Strong decision-making skills and the ability to resolve issues in a pressurised environment. Continually performs at a high-level demonstrating commitment to achieve desired results.  Prepared to challenge the status quo to bring about improvements.</w:t>
      </w:r>
    </w:p>
    <w:p>
      <w:pPr>
        <w:pStyle w:val="ListParagraph"/>
        <w:numPr>
          <w:ilvl w:val="0"/>
          <w:numId w:val="7"/>
        </w:numPr>
        <w:rPr/>
      </w:pPr>
      <w:r>
        <w:rPr>
          <w:rFonts w:cs="Arial"/>
          <w:b/>
          <w:bCs/>
          <w:color w:val="auto"/>
          <w:szCs w:val="24"/>
        </w:rPr>
        <w:t>Collaborative working</w:t>
      </w:r>
      <w:r>
        <w:rPr>
          <w:rFonts w:cs="Arial"/>
          <w:color w:val="auto"/>
          <w:szCs w:val="24"/>
        </w:rPr>
        <w:t>: Ability to lead and work as part of a team, experience of working in a team environment in an academic, work or voluntary capacity.</w:t>
      </w:r>
    </w:p>
    <w:p>
      <w:pPr>
        <w:pStyle w:val="ListParagraph"/>
        <w:numPr>
          <w:ilvl w:val="0"/>
          <w:numId w:val="7"/>
        </w:numPr>
        <w:rPr/>
      </w:pPr>
      <w:r>
        <w:rPr>
          <w:rFonts w:cs="Arial"/>
          <w:b/>
          <w:bCs/>
          <w:color w:val="auto"/>
          <w:szCs w:val="24"/>
        </w:rPr>
        <w:t>Creative Skills</w:t>
      </w:r>
      <w:r>
        <w:rPr>
          <w:rFonts w:cs="Arial"/>
          <w:color w:val="auto"/>
          <w:szCs w:val="24"/>
        </w:rPr>
        <w:t>: Ability to find creative solutions where there are no existing parameters or procedural framework.</w:t>
      </w:r>
    </w:p>
    <w:p>
      <w:pPr>
        <w:pStyle w:val="ListParagraph"/>
        <w:numPr>
          <w:ilvl w:val="0"/>
          <w:numId w:val="7"/>
        </w:numPr>
        <w:rPr/>
      </w:pPr>
      <w:r>
        <w:rPr>
          <w:rFonts w:cs="Arial"/>
          <w:b/>
          <w:bCs/>
          <w:color w:val="auto"/>
          <w:szCs w:val="24"/>
        </w:rPr>
        <w:t>Strategic Thinking</w:t>
      </w:r>
      <w:r>
        <w:rPr>
          <w:rFonts w:cs="Arial"/>
          <w:color w:val="auto"/>
          <w:szCs w:val="24"/>
        </w:rPr>
        <w:t>:  Ability to contribute to the development, implementation and evaluation of strategy to shape future plans.</w:t>
      </w:r>
    </w:p>
    <w:p>
      <w:pPr>
        <w:pStyle w:val="ListParagraph"/>
        <w:numPr>
          <w:ilvl w:val="0"/>
          <w:numId w:val="7"/>
        </w:numPr>
        <w:rPr/>
      </w:pPr>
      <w:r>
        <w:rPr>
          <w:rFonts w:cs="Arial"/>
          <w:b/>
          <w:bCs/>
          <w:color w:val="auto"/>
          <w:szCs w:val="24"/>
        </w:rPr>
        <w:t>Digital Skills</w:t>
      </w:r>
      <w:r>
        <w:rPr>
          <w:rFonts w:cs="Arial"/>
          <w:color w:val="auto"/>
          <w:szCs w:val="24"/>
        </w:rPr>
        <w:t>: Ability to use multiple applications, systems and associated software packages.</w:t>
      </w:r>
    </w:p>
    <w:p>
      <w:pPr>
        <w:pStyle w:val="ListParagraph"/>
        <w:numPr>
          <w:ilvl w:val="0"/>
          <w:numId w:val="7"/>
        </w:numPr>
        <w:rPr/>
      </w:pPr>
      <w:r>
        <w:rPr>
          <w:rFonts w:cs="Arial"/>
          <w:b/>
          <w:bCs/>
          <w:color w:val="auto"/>
          <w:szCs w:val="24"/>
        </w:rPr>
        <w:t>Personal style</w:t>
      </w:r>
      <w:r>
        <w:rPr>
          <w:rFonts w:cs="Arial"/>
          <w:color w:val="auto"/>
          <w:szCs w:val="24"/>
        </w:rPr>
        <w:t>: Ability to understand, demonstrate and apply GMCA values.</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p>
      <w:pPr>
        <w:pStyle w:val="Normal"/>
        <w:spacing w:before="0" w:after="240"/>
        <w:rPr/>
      </w:pPr>
      <w:r>
        <w:rPr/>
      </w:r>
    </w:p>
    <w:sectPr>
      <w:headerReference w:type="default" r:id="rId2"/>
      <w:headerReference w:type="first" r:id="rId3"/>
      <w:type w:val="nextPage"/>
      <w:pgSz w:w="11906" w:h="16850"/>
      <w:pgMar w:left="1276" w:right="1410" w:header="709"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o"/>
      <w:lvlJc w:val="left"/>
      <w:pPr>
        <w:tabs>
          <w:tab w:val="num" w:pos="900"/>
        </w:tabs>
        <w:ind w:left="900" w:hanging="360"/>
      </w:pPr>
      <w:rPr>
        <w:rFonts w:ascii="Courier New" w:hAnsi="Courier New" w:cs="Courier New" w:hint="default"/>
        <w:rFonts w:cs="Courier New"/>
      </w:rPr>
    </w:lvl>
    <w:lvl w:ilvl="1">
      <w:start w:val="1"/>
      <w:numFmt w:val="bullet"/>
      <w:lvlText w:val="o"/>
      <w:lvlJc w:val="left"/>
      <w:pPr>
        <w:tabs>
          <w:tab w:val="num" w:pos="1620"/>
        </w:tabs>
        <w:ind w:left="1620" w:hanging="360"/>
      </w:pPr>
      <w:rPr>
        <w:rFonts w:ascii="Courier New" w:hAnsi="Courier New" w:cs="Courier New" w:hint="default"/>
        <w:rFonts w:cs="Courier New"/>
      </w:rPr>
    </w:lvl>
    <w:lvl w:ilvl="2">
      <w:start w:val="1"/>
      <w:numFmt w:val="bullet"/>
      <w:lvlText w:val=""/>
      <w:lvlJc w:val="left"/>
      <w:pPr>
        <w:tabs>
          <w:tab w:val="num" w:pos="2340"/>
        </w:tabs>
        <w:ind w:left="2340" w:hanging="360"/>
      </w:pPr>
      <w:rPr>
        <w:rFonts w:ascii="Wingdings" w:hAnsi="Wingdings" w:cs="Wingdings" w:hint="default"/>
        <w:rFonts w:cs="Wingdings"/>
      </w:rPr>
    </w:lvl>
    <w:lvl w:ilvl="3">
      <w:start w:val="1"/>
      <w:numFmt w:val="bullet"/>
      <w:lvlText w:val=""/>
      <w:lvlJc w:val="left"/>
      <w:pPr>
        <w:tabs>
          <w:tab w:val="num" w:pos="3060"/>
        </w:tabs>
        <w:ind w:left="3060" w:hanging="360"/>
      </w:pPr>
      <w:rPr>
        <w:rFonts w:ascii="Symbol" w:hAnsi="Symbol" w:cs="Symbol" w:hint="default"/>
        <w:rFonts w:cs="Symbol"/>
      </w:rPr>
    </w:lvl>
    <w:lvl w:ilvl="4">
      <w:start w:val="1"/>
      <w:numFmt w:val="bullet"/>
      <w:lvlText w:val="o"/>
      <w:lvlJc w:val="left"/>
      <w:pPr>
        <w:tabs>
          <w:tab w:val="num" w:pos="3780"/>
        </w:tabs>
        <w:ind w:left="3780" w:hanging="360"/>
      </w:pPr>
      <w:rPr>
        <w:rFonts w:ascii="Courier New" w:hAnsi="Courier New" w:cs="Courier New" w:hint="default"/>
        <w:rFonts w:cs="Courier New"/>
      </w:rPr>
    </w:lvl>
    <w:lvl w:ilvl="5">
      <w:start w:val="1"/>
      <w:numFmt w:val="bullet"/>
      <w:lvlText w:val=""/>
      <w:lvlJc w:val="left"/>
      <w:pPr>
        <w:tabs>
          <w:tab w:val="num" w:pos="4500"/>
        </w:tabs>
        <w:ind w:left="4500" w:hanging="360"/>
      </w:pPr>
      <w:rPr>
        <w:rFonts w:ascii="Wingdings" w:hAnsi="Wingdings" w:cs="Wingdings" w:hint="default"/>
        <w:rFonts w:cs="Wingdings"/>
      </w:rPr>
    </w:lvl>
    <w:lvl w:ilvl="6">
      <w:start w:val="1"/>
      <w:numFmt w:val="bullet"/>
      <w:lvlText w:val=""/>
      <w:lvlJc w:val="left"/>
      <w:pPr>
        <w:tabs>
          <w:tab w:val="num" w:pos="5220"/>
        </w:tabs>
        <w:ind w:left="5220" w:hanging="360"/>
      </w:pPr>
      <w:rPr>
        <w:rFonts w:ascii="Symbol" w:hAnsi="Symbol" w:cs="Symbol" w:hint="default"/>
        <w:rFonts w:cs="Symbol"/>
      </w:rPr>
    </w:lvl>
    <w:lvl w:ilvl="7">
      <w:start w:val="1"/>
      <w:numFmt w:val="bullet"/>
      <w:lvlText w:val="o"/>
      <w:lvlJc w:val="left"/>
      <w:pPr>
        <w:tabs>
          <w:tab w:val="num" w:pos="5940"/>
        </w:tabs>
        <w:ind w:left="5940" w:hanging="360"/>
      </w:pPr>
      <w:rPr>
        <w:rFonts w:ascii="Courier New" w:hAnsi="Courier New" w:cs="Courier New" w:hint="default"/>
        <w:rFonts w:cs="Courier New"/>
      </w:rPr>
    </w:lvl>
    <w:lvl w:ilvl="8">
      <w:start w:val="1"/>
      <w:numFmt w:val="bullet"/>
      <w:lvlText w:val=""/>
      <w:lvlJc w:val="left"/>
      <w:pPr>
        <w:tabs>
          <w:tab w:val="num" w:pos="6660"/>
        </w:tabs>
        <w:ind w:left="666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szCs w:val="24"/>
        <w:rFonts w:cs="Symbo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color w:val="000000"/>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Cs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auto"/>
      <w:szCs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Cf01">
    <w:name w:val="cf01"/>
    <w:basedOn w:val="DefaultParagraphFont"/>
    <w:qFormat/>
    <w:rPr>
      <w:rFonts w:ascii="Segoe UI" w:hAnsi="Segoe UI" w:cs="Segoe UI"/>
      <w:color w:val="FF0000"/>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2026-04-29T14:12:00Z</dcterms:created>
  <dc:creator>Caddy-Dale, Anna (Manchester Growth Company)</dc:creator>
  <dc:description/>
  <dc:language>en-US</dc:language>
  <cp:lastModifiedBy>Bramley, Isobel</cp:lastModifiedBy>
  <cp:lastPrinted>1995-11-21T17:41:00Z</cp:lastPrinted>
  <dcterms:modified xsi:type="dcterms:W3CDTF">2026-04-29T14:12:00Z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0x01010034DBE1EFE37B584DB8A3743236213B38</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