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numPr>
          <w:ilvl w:val="0"/>
          <w:numId w:val="0"/>
        </w:numPr>
        <w:pBdr>
          <w:top w:val="single" w:sz="4" w:space="10" w:color="000000"/>
          <w:left w:val="single" w:sz="4" w:space="10" w:color="000000"/>
          <w:bottom w:val="single" w:sz="4" w:space="10" w:color="000000"/>
          <w:right w:val="single" w:sz="4" w:space="10" w:color="000000"/>
        </w:pBdr>
        <w:shd w:fill="004F6E" w:val="clear"/>
        <w:suppressAutoHyphens w:val="true"/>
        <w:spacing w:lineRule="auto" w:line="240" w:before="0" w:after="240"/>
        <w:ind w:left="0" w:hanging="0"/>
        <w:jc w:val="center"/>
        <w:rPr>
          <w:rFonts w:ascii="Arial" w:hAnsi="Arial" w:eastAsia="Calibri" w:cs="Arial"/>
          <w:b/>
          <w:b/>
          <w:bCs/>
          <w:color w:val="FFFFFF"/>
          <w:kern w:val="0"/>
          <w:sz w:val="24"/>
          <w:szCs w:val="24"/>
        </w:rPr>
      </w:pPr>
      <w:r>
        <w:rPr>
          <w:rFonts w:eastAsia="Calibri" w:cs="Arial" w:ascii="Arial" w:hAnsi="Arial"/>
          <w:b/>
          <w:bCs/>
          <w:color w:val="FFFFFF"/>
          <w:kern w:val="0"/>
          <w:sz w:val="24"/>
          <w:szCs w:val="24"/>
        </w:rPr>
        <w:t>Role Profile</w:t>
        <w:br/>
        <w:t>Principal International Growth</w:t>
      </w:r>
    </w:p>
    <w:p>
      <w:pPr>
        <w:pStyle w:val="Normal"/>
        <w:widowControl w:val="false"/>
        <w:numPr>
          <w:ilvl w:val="0"/>
          <w:numId w:val="16"/>
        </w:numPr>
        <w:suppressAutoHyphens w:val="true"/>
        <w:spacing w:lineRule="auto" w:line="360" w:before="60" w:after="240"/>
        <w:rPr/>
      </w:pPr>
      <w:r>
        <w:rPr>
          <w:rFonts w:eastAsia="Calibri" w:cs="Arial" w:ascii="Arial" w:hAnsi="Arial"/>
          <w:b/>
          <w:bCs/>
          <w:color w:val="262626"/>
          <w:kern w:val="0"/>
          <w:sz w:val="24"/>
          <w:szCs w:val="24"/>
        </w:rPr>
        <w:t>Grade:</w:t>
      </w:r>
      <w:r>
        <w:rPr>
          <w:rFonts w:eastAsia="Calibri" w:cs="Arial" w:ascii="Arial" w:hAnsi="Arial"/>
          <w:color w:val="262626"/>
          <w:kern w:val="0"/>
          <w:sz w:val="24"/>
          <w:szCs w:val="24"/>
        </w:rPr>
        <w:t xml:space="preserve"> Grade 10</w:t>
      </w:r>
    </w:p>
    <w:p>
      <w:pPr>
        <w:pStyle w:val="Normal"/>
        <w:widowControl w:val="false"/>
        <w:numPr>
          <w:ilvl w:val="0"/>
          <w:numId w:val="16"/>
        </w:numPr>
        <w:suppressAutoHyphens w:val="true"/>
        <w:spacing w:lineRule="auto" w:line="360" w:before="60" w:after="240"/>
        <w:rPr/>
      </w:pPr>
      <w:r>
        <w:rPr>
          <w:rFonts w:eastAsia="Calibri" w:cs="Arial" w:ascii="Arial" w:hAnsi="Arial"/>
          <w:b/>
          <w:bCs/>
          <w:color w:val="262626"/>
          <w:kern w:val="0"/>
          <w:sz w:val="24"/>
          <w:szCs w:val="24"/>
        </w:rPr>
        <w:t>Business area:</w:t>
      </w:r>
      <w:r>
        <w:rPr>
          <w:rFonts w:eastAsia="Calibri" w:cs="Arial" w:ascii="Arial" w:hAnsi="Arial"/>
          <w:color w:val="262626"/>
          <w:kern w:val="0"/>
          <w:sz w:val="24"/>
          <w:szCs w:val="24"/>
        </w:rPr>
        <w:t xml:space="preserve"> </w:t>
      </w:r>
      <w:r>
        <w:rPr>
          <w:rFonts w:eastAsia="Calibri" w:cs="Arial" w:ascii="Arial" w:hAnsi="Arial"/>
          <w:bCs/>
          <w:iCs/>
          <w:color w:val="262626"/>
          <w:kern w:val="0"/>
          <w:sz w:val="24"/>
        </w:rPr>
        <w:t>Policy and Strategy</w:t>
      </w:r>
    </w:p>
    <w:p>
      <w:pPr>
        <w:pStyle w:val="ListParagraph"/>
        <w:numPr>
          <w:ilvl w:val="0"/>
          <w:numId w:val="16"/>
        </w:numPr>
        <w:rPr/>
      </w:pPr>
      <w:r>
        <w:rPr>
          <w:rFonts w:eastAsia="Calibri" w:cs="Arial" w:ascii="Arial" w:hAnsi="Arial"/>
          <w:b/>
          <w:bCs/>
          <w:color w:val="262626"/>
          <w:kern w:val="0"/>
          <w:sz w:val="24"/>
          <w:szCs w:val="24"/>
        </w:rPr>
        <w:t>Job title</w:t>
      </w:r>
      <w:r>
        <w:rPr>
          <w:rFonts w:eastAsia="Calibri" w:cs="Arial" w:ascii="Arial" w:hAnsi="Arial"/>
          <w:color w:val="262626"/>
          <w:kern w:val="0"/>
          <w:sz w:val="24"/>
          <w:szCs w:val="24"/>
        </w:rPr>
        <w:t xml:space="preserve">: </w:t>
      </w:r>
      <w:r>
        <w:rPr>
          <w:sz w:val="24"/>
          <w:szCs w:val="24"/>
        </w:rPr>
        <w:t>Principal International Growth</w:t>
      </w:r>
    </w:p>
    <w:p>
      <w:pPr>
        <w:pStyle w:val="Normal"/>
        <w:widowControl w:val="false"/>
        <w:numPr>
          <w:ilvl w:val="0"/>
          <w:numId w:val="16"/>
        </w:numPr>
        <w:suppressAutoHyphens w:val="true"/>
        <w:spacing w:lineRule="auto" w:line="360" w:before="60" w:after="240"/>
        <w:rPr/>
      </w:pPr>
      <w:r>
        <w:rPr>
          <w:rFonts w:eastAsia="Calibri" w:cs="Arial" w:ascii="Arial" w:hAnsi="Arial"/>
          <w:b/>
          <w:bCs/>
          <w:color w:val="262626"/>
          <w:kern w:val="0"/>
          <w:sz w:val="24"/>
          <w:szCs w:val="24"/>
        </w:rPr>
        <w:t>Reporting line:</w:t>
      </w:r>
      <w:r>
        <w:rPr>
          <w:rFonts w:eastAsia="Calibri" w:cs="Arial" w:ascii="Arial" w:hAnsi="Arial"/>
          <w:color w:val="262626"/>
          <w:kern w:val="0"/>
          <w:sz w:val="24"/>
          <w:szCs w:val="24"/>
        </w:rPr>
        <w:t xml:space="preserve"> Head of International </w:t>
      </w:r>
    </w:p>
    <w:p>
      <w:pPr>
        <w:pStyle w:val="Normal"/>
        <w:widowControl w:val="false"/>
        <w:numPr>
          <w:ilvl w:val="0"/>
          <w:numId w:val="16"/>
        </w:numPr>
        <w:suppressAutoHyphens w:val="true"/>
        <w:spacing w:lineRule="auto" w:line="360" w:before="60" w:after="240"/>
        <w:rPr/>
      </w:pPr>
      <w:r>
        <w:rPr>
          <w:rFonts w:eastAsia="Calibri" w:cs="Arial" w:ascii="Arial" w:hAnsi="Arial"/>
          <w:b/>
          <w:bCs/>
          <w:color w:val="262626"/>
          <w:kern w:val="0"/>
          <w:sz w:val="24"/>
          <w:szCs w:val="24"/>
        </w:rPr>
        <w:t>Team:</w:t>
      </w:r>
      <w:r>
        <w:rPr>
          <w:rFonts w:eastAsia="Calibri" w:cs="Arial" w:ascii="Arial" w:hAnsi="Arial"/>
          <w:color w:val="262626"/>
          <w:kern w:val="0"/>
          <w:sz w:val="24"/>
          <w:szCs w:val="24"/>
        </w:rPr>
        <w:t xml:space="preserve"> International Team - Economy, Innovation, Culture and International Directorate </w:t>
      </w:r>
    </w:p>
    <w:p>
      <w:pPr>
        <w:pStyle w:val="Normal"/>
        <w:widowControl w:val="false"/>
        <w:numPr>
          <w:ilvl w:val="0"/>
          <w:numId w:val="0"/>
        </w:numPr>
        <w:pBdr>
          <w:top w:val="single" w:sz="4" w:space="10" w:color="000000"/>
          <w:left w:val="single" w:sz="4" w:space="10" w:color="000000"/>
          <w:bottom w:val="single" w:sz="4" w:space="10" w:color="000000"/>
          <w:right w:val="single" w:sz="4" w:space="10" w:color="000000"/>
        </w:pBdr>
        <w:shd w:fill="004F6E" w:val="clear"/>
        <w:suppressAutoHyphens w:val="true"/>
        <w:spacing w:lineRule="auto" w:line="360" w:before="480" w:after="240"/>
        <w:ind w:left="0" w:hanging="0"/>
        <w:rPr>
          <w:rFonts w:ascii="Arial" w:hAnsi="Arial" w:eastAsia="Calibri" w:cs="Arial"/>
          <w:b/>
          <w:b/>
          <w:bCs/>
          <w:color w:val="FFFFFF"/>
          <w:kern w:val="0"/>
          <w:sz w:val="24"/>
          <w:szCs w:val="24"/>
        </w:rPr>
      </w:pPr>
      <w:r>
        <w:rPr>
          <w:rFonts w:eastAsia="Calibri" w:cs="Arial" w:ascii="Arial" w:hAnsi="Arial"/>
          <w:b/>
          <w:bCs/>
          <w:color w:val="FFFFFF"/>
          <w:kern w:val="0"/>
          <w:sz w:val="24"/>
          <w:szCs w:val="24"/>
        </w:rPr>
        <w:t>Job Purpose</w:t>
      </w:r>
    </w:p>
    <w:p>
      <w:pPr>
        <w:pStyle w:val="Normal"/>
        <w:rPr>
          <w:rFonts w:ascii="Arial" w:hAnsi="Arial" w:cs="Arial"/>
          <w:sz w:val="24"/>
          <w:szCs w:val="24"/>
        </w:rPr>
      </w:pPr>
      <w:r>
        <w:rPr>
          <w:rFonts w:cs="Arial" w:ascii="Arial" w:hAnsi="Arial"/>
          <w:sz w:val="24"/>
          <w:szCs w:val="24"/>
        </w:rPr>
        <w:t xml:space="preserve">As a senior manager within the Economy, Innovation, Culture &amp; International Directorate at the Greater Manchester Combined Authority (GMCA) this role provides strategic leadership and accountability for the development of GMCA’s strategic direction and policy priorities and leads delivery of GMCA’s International Strategy and related elements of our economic strategy. </w:t>
      </w:r>
    </w:p>
    <w:p>
      <w:pPr>
        <w:pStyle w:val="Normal"/>
        <w:rPr>
          <w:rFonts w:ascii="Arial" w:hAnsi="Arial" w:cs="Arial"/>
          <w:sz w:val="24"/>
          <w:szCs w:val="24"/>
        </w:rPr>
      </w:pPr>
      <w:r>
        <w:rPr>
          <w:rFonts w:cs="Arial" w:ascii="Arial" w:hAnsi="Arial"/>
          <w:sz w:val="24"/>
          <w:szCs w:val="24"/>
        </w:rPr>
        <w:t xml:space="preserve">The role acts as a principal adviser to the leadership of the CA, and  is a leadership role within the International Team, along with being responsible for leading system wide coordination, maintaining and developing relationships with senior external stakeholders, and ensuring international activity delivers measurable economic outcomes for Greater Manchester. </w:t>
      </w:r>
    </w:p>
    <w:p>
      <w:pPr>
        <w:pStyle w:val="Normal"/>
        <w:rPr>
          <w:rFonts w:ascii="Arial" w:hAnsi="Arial" w:cs="Arial"/>
          <w:sz w:val="24"/>
          <w:szCs w:val="24"/>
        </w:rPr>
      </w:pPr>
      <w:r>
        <w:rPr>
          <w:rFonts w:cs="Arial" w:ascii="Arial" w:hAnsi="Arial"/>
          <w:sz w:val="24"/>
          <w:szCs w:val="24"/>
        </w:rPr>
        <w:t xml:space="preserve">The post-holder will do this by: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Leading and owning the development and delivery of policies and initiatives relating to the International Strategy and related parts of the Local Industrial Strategy.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Provide senior strategic challenge and Influence to policy leads and stakeholders delivering the International Strategy and Local Industrial Strategy.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Lead senior oversight and accountability for  effective programme management, including working with associated boards to provide assurance and ensure effective governance for key decisions. </w:t>
      </w:r>
    </w:p>
    <w:p>
      <w:pPr>
        <w:pStyle w:val="Normal"/>
        <w:rPr>
          <w:rFonts w:ascii="Arial" w:hAnsi="Arial" w:cs="Arial"/>
          <w:sz w:val="24"/>
          <w:szCs w:val="24"/>
        </w:rPr>
      </w:pPr>
      <w:r>
        <w:rPr>
          <w:rFonts w:cs="Arial" w:ascii="Arial" w:hAnsi="Arial"/>
          <w:sz w:val="24"/>
          <w:szCs w:val="24"/>
        </w:rPr>
        <w:t xml:space="preserve">The role requires excellent understanding of economic issues and policy, including international trade, exporting and inward investment, as well as an understanding of how this relates to the wider priorities and strategies of the Greater Manchester Combined Authority. </w:t>
      </w:r>
    </w:p>
    <w:p>
      <w:pPr>
        <w:pStyle w:val="Normal"/>
        <w:widowControl w:val="false"/>
        <w:numPr>
          <w:ilvl w:val="0"/>
          <w:numId w:val="0"/>
        </w:numPr>
        <w:pBdr>
          <w:top w:val="single" w:sz="4" w:space="10" w:color="000000"/>
          <w:left w:val="single" w:sz="4" w:space="10" w:color="000000"/>
          <w:bottom w:val="single" w:sz="4" w:space="10" w:color="000000"/>
          <w:right w:val="single" w:sz="4" w:space="10" w:color="000000"/>
        </w:pBdr>
        <w:shd w:fill="004F6E" w:val="clear"/>
        <w:suppressAutoHyphens w:val="true"/>
        <w:spacing w:lineRule="auto" w:line="360" w:before="480" w:after="240"/>
        <w:ind w:left="0" w:hanging="0"/>
        <w:rPr>
          <w:rFonts w:ascii="Arial" w:hAnsi="Arial" w:eastAsia="Calibri" w:cs="Arial"/>
          <w:b/>
          <w:b/>
          <w:bCs/>
          <w:color w:val="FFFFFF"/>
          <w:kern w:val="0"/>
          <w:sz w:val="24"/>
          <w:szCs w:val="24"/>
        </w:rPr>
      </w:pPr>
      <w:r>
        <w:rPr>
          <w:rFonts w:eastAsia="Calibri" w:cs="Arial" w:ascii="Arial" w:hAnsi="Arial"/>
          <w:b/>
          <w:bCs/>
          <w:color w:val="FFFFFF"/>
          <w:kern w:val="0"/>
          <w:sz w:val="24"/>
          <w:szCs w:val="24"/>
        </w:rPr>
        <w:t>Key working relationships</w:t>
      </w:r>
    </w:p>
    <w:p>
      <w:pPr>
        <w:pStyle w:val="Normal"/>
        <w:numPr>
          <w:ilvl w:val="0"/>
          <w:numId w:val="2"/>
        </w:numPr>
        <w:rPr>
          <w:rFonts w:ascii="Arial" w:hAnsi="Arial" w:cs="Arial"/>
          <w:sz w:val="24"/>
          <w:szCs w:val="24"/>
        </w:rPr>
      </w:pPr>
      <w:r>
        <w:rPr>
          <w:rFonts w:cs="Arial" w:ascii="Arial" w:hAnsi="Arial"/>
          <w:sz w:val="24"/>
          <w:szCs w:val="24"/>
        </w:rPr>
        <w:t>Chief Exec GMCA  </w:t>
      </w:r>
    </w:p>
    <w:p>
      <w:pPr>
        <w:pStyle w:val="Normal"/>
        <w:numPr>
          <w:ilvl w:val="0"/>
          <w:numId w:val="14"/>
        </w:numPr>
        <w:rPr>
          <w:rFonts w:ascii="Arial" w:hAnsi="Arial" w:cs="Arial"/>
          <w:sz w:val="24"/>
          <w:szCs w:val="24"/>
        </w:rPr>
      </w:pPr>
      <w:r>
        <w:rPr>
          <w:rFonts w:cs="Arial" w:ascii="Arial" w:hAnsi="Arial"/>
          <w:sz w:val="24"/>
          <w:szCs w:val="24"/>
        </w:rPr>
        <w:t>Mayor of Greater Manchester  </w:t>
      </w:r>
    </w:p>
    <w:p>
      <w:pPr>
        <w:pStyle w:val="Normal"/>
        <w:numPr>
          <w:ilvl w:val="0"/>
          <w:numId w:val="6"/>
        </w:numPr>
        <w:rPr>
          <w:rFonts w:ascii="Arial" w:hAnsi="Arial" w:cs="Arial"/>
          <w:sz w:val="24"/>
          <w:szCs w:val="24"/>
        </w:rPr>
      </w:pPr>
      <w:r>
        <w:rPr>
          <w:rFonts w:cs="Arial" w:ascii="Arial" w:hAnsi="Arial"/>
          <w:sz w:val="24"/>
          <w:szCs w:val="24"/>
        </w:rPr>
        <w:t>Senior Leaders of Organisation  </w:t>
      </w:r>
    </w:p>
    <w:p>
      <w:pPr>
        <w:pStyle w:val="Normal"/>
        <w:numPr>
          <w:ilvl w:val="0"/>
          <w:numId w:val="3"/>
        </w:numPr>
        <w:rPr>
          <w:rFonts w:ascii="Arial" w:hAnsi="Arial" w:cs="Arial"/>
          <w:sz w:val="24"/>
          <w:szCs w:val="24"/>
        </w:rPr>
      </w:pPr>
      <w:r>
        <w:rPr>
          <w:rFonts w:cs="Arial" w:ascii="Arial" w:hAnsi="Arial"/>
          <w:sz w:val="24"/>
          <w:szCs w:val="24"/>
        </w:rPr>
        <w:t>Public, Private &amp; Academic Organisation Senior Leaders  </w:t>
      </w:r>
    </w:p>
    <w:p>
      <w:pPr>
        <w:pStyle w:val="Normal"/>
        <w:numPr>
          <w:ilvl w:val="0"/>
          <w:numId w:val="20"/>
        </w:numPr>
        <w:rPr>
          <w:rFonts w:ascii="Arial" w:hAnsi="Arial" w:cs="Arial"/>
          <w:sz w:val="24"/>
          <w:szCs w:val="24"/>
        </w:rPr>
      </w:pPr>
      <w:r>
        <w:rPr>
          <w:rFonts w:cs="Arial" w:ascii="Arial" w:hAnsi="Arial"/>
          <w:sz w:val="24"/>
          <w:szCs w:val="24"/>
        </w:rPr>
        <w:t>Partnership Boards &amp; wider Government Depts  </w:t>
      </w:r>
    </w:p>
    <w:p>
      <w:pPr>
        <w:pStyle w:val="Normal"/>
        <w:ind w:left="720" w:right="0" w:hanging="0"/>
        <w:rPr>
          <w:rFonts w:ascii="Arial" w:hAnsi="Arial" w:cs="Arial"/>
          <w:sz w:val="24"/>
          <w:szCs w:val="24"/>
        </w:rPr>
      </w:pPr>
      <w:r>
        <w:rPr>
          <w:rFonts w:cs="Arial" w:ascii="Arial" w:hAnsi="Arial"/>
          <w:sz w:val="24"/>
          <w:szCs w:val="24"/>
        </w:rPr>
      </w:r>
    </w:p>
    <w:p>
      <w:pPr>
        <w:pStyle w:val="Normal"/>
        <w:numPr>
          <w:ilvl w:val="0"/>
          <w:numId w:val="20"/>
        </w:numPr>
        <w:rPr>
          <w:rFonts w:ascii="Arial" w:hAnsi="Arial" w:cs="Arial"/>
          <w:sz w:val="24"/>
          <w:szCs w:val="24"/>
        </w:rPr>
      </w:pPr>
      <w:r>
        <w:rPr>
          <w:rFonts w:cs="Arial" w:ascii="Arial" w:hAnsi="Arial"/>
          <w:sz w:val="24"/>
          <w:szCs w:val="24"/>
        </w:rPr>
        <w:t>Internal and external delivery partners, particularly GM’s Local Authorities and universities, the GM Business Growth Hub , Marketing Manchester and Invest Manchester. </w:t>
      </w:r>
    </w:p>
    <w:p>
      <w:pPr>
        <w:pStyle w:val="Normal"/>
        <w:numPr>
          <w:ilvl w:val="0"/>
          <w:numId w:val="20"/>
        </w:numPr>
        <w:rPr>
          <w:rFonts w:ascii="Arial" w:hAnsi="Arial" w:cs="Arial"/>
          <w:sz w:val="24"/>
          <w:szCs w:val="24"/>
        </w:rPr>
      </w:pPr>
      <w:r>
        <w:rPr>
          <w:rFonts w:cs="Arial" w:ascii="Arial" w:hAnsi="Arial"/>
          <w:sz w:val="24"/>
          <w:szCs w:val="24"/>
        </w:rPr>
        <w:t>Senior Managers from across GM’s public sector, including Local Authorities,  TfGM, Integrated Care Partnership, GM Police, GM Fire and Rescue. </w:t>
      </w:r>
    </w:p>
    <w:p>
      <w:pPr>
        <w:pStyle w:val="Normal"/>
        <w:numPr>
          <w:ilvl w:val="0"/>
          <w:numId w:val="20"/>
        </w:numPr>
        <w:rPr>
          <w:rFonts w:ascii="Arial" w:hAnsi="Arial" w:cs="Arial"/>
          <w:sz w:val="24"/>
          <w:szCs w:val="24"/>
        </w:rPr>
      </w:pPr>
      <w:r>
        <w:rPr>
          <w:rFonts w:cs="Arial" w:ascii="Arial" w:hAnsi="Arial"/>
          <w:sz w:val="24"/>
          <w:szCs w:val="24"/>
        </w:rPr>
        <w:t>Senior Managers and Directors within GMCA (including policy and strategy teams and corporate functions). </w:t>
      </w:r>
    </w:p>
    <w:p>
      <w:pPr>
        <w:pStyle w:val="Normal"/>
        <w:numPr>
          <w:ilvl w:val="0"/>
          <w:numId w:val="20"/>
        </w:numPr>
        <w:rPr>
          <w:rFonts w:ascii="Arial" w:hAnsi="Arial" w:cs="Arial"/>
          <w:sz w:val="24"/>
          <w:szCs w:val="24"/>
        </w:rPr>
      </w:pPr>
      <w:r>
        <w:rPr>
          <w:rFonts w:cs="Arial" w:ascii="Arial" w:hAnsi="Arial"/>
          <w:sz w:val="24"/>
          <w:szCs w:val="24"/>
        </w:rPr>
        <w:t>Commissioned service providers and strategic delivery partners (including at a senior level). </w:t>
      </w:r>
    </w:p>
    <w:p>
      <w:pPr>
        <w:pStyle w:val="Normal"/>
        <w:numPr>
          <w:ilvl w:val="0"/>
          <w:numId w:val="20"/>
        </w:numPr>
        <w:rPr>
          <w:rFonts w:ascii="Arial" w:hAnsi="Arial" w:cs="Arial"/>
          <w:sz w:val="24"/>
          <w:szCs w:val="24"/>
        </w:rPr>
      </w:pPr>
      <w:r>
        <w:rPr>
          <w:rFonts w:cs="Arial" w:ascii="Arial" w:hAnsi="Arial"/>
          <w:sz w:val="24"/>
          <w:szCs w:val="24"/>
        </w:rPr>
        <w:t>Officials from the, Department for Business, Innovation, ScienceTrade, Foreign Commonwealth and Development Office, Department for Digitial, Culture, Media and Sport, HM Treasury and more widely across Government where necessary. </w:t>
      </w:r>
    </w:p>
    <w:p>
      <w:pPr>
        <w:pStyle w:val="Normal"/>
        <w:ind w:left="720" w:right="0" w:hanging="0"/>
        <w:rPr>
          <w:rFonts w:ascii="Arial" w:hAnsi="Arial" w:cs="Arial"/>
          <w:sz w:val="24"/>
          <w:szCs w:val="24"/>
        </w:rPr>
      </w:pPr>
      <w:r>
        <w:rPr>
          <w:rFonts w:cs="Arial" w:ascii="Arial" w:hAnsi="Arial"/>
          <w:sz w:val="24"/>
          <w:szCs w:val="24"/>
        </w:rPr>
      </w:r>
    </w:p>
    <w:p>
      <w:pPr>
        <w:pStyle w:val="Normal"/>
        <w:widowControl w:val="false"/>
        <w:numPr>
          <w:ilvl w:val="0"/>
          <w:numId w:val="0"/>
        </w:numPr>
        <w:pBdr>
          <w:top w:val="single" w:sz="4" w:space="10" w:color="000000"/>
          <w:left w:val="single" w:sz="4" w:space="10" w:color="000000"/>
          <w:bottom w:val="single" w:sz="4" w:space="10" w:color="000000"/>
          <w:right w:val="single" w:sz="4" w:space="10" w:color="000000"/>
        </w:pBdr>
        <w:shd w:fill="004F6E" w:val="clear"/>
        <w:suppressAutoHyphens w:val="true"/>
        <w:spacing w:lineRule="auto" w:line="360" w:before="480" w:after="240"/>
        <w:ind w:left="0" w:hanging="0"/>
        <w:rPr>
          <w:rFonts w:ascii="Arial" w:hAnsi="Arial" w:eastAsia="Calibri" w:cs="Arial"/>
          <w:b/>
          <w:b/>
          <w:bCs/>
          <w:color w:val="FFFFFF"/>
          <w:kern w:val="0"/>
          <w:sz w:val="24"/>
          <w:szCs w:val="24"/>
        </w:rPr>
      </w:pPr>
      <w:r>
        <w:rPr>
          <w:rFonts w:eastAsia="Calibri" w:cs="Arial" w:ascii="Arial" w:hAnsi="Arial"/>
          <w:b/>
          <w:bCs/>
          <w:color w:val="FFFFFF"/>
          <w:kern w:val="0"/>
          <w:sz w:val="24"/>
          <w:szCs w:val="24"/>
        </w:rPr>
        <w:t>Key Responsibilities</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Provide leadership and advise on direction within the International team. Including direct line management of a number of staff</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Lead on the strategic design, development and oversight of evidence-based initiatives to deliver priorities within the Greater Manchester International and Local Industrial Strategies, ensuring delivery of priorities relating to growth opportunities, sector collaboration and knowledge exchange.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Act as the principal GMCA lead for international growth opportunities spanning trade,  investment, economic diplomacy, sector collaboration and knowledge exchange.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Manage and oversee the International Strategy Budget within the Local Industrial Strategy Budget ensuring alignment with strategic goals and cost efficiency.</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Provide strategic leadership for the international elements of the Greater Manchester Sector Development Plans, including stakeholder engagement, policy development, knowledge exchangeand programme delivery.</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Develop, maintain and lead strategic partnerships at senior level with, and influence the policy and investment decisions of, the Department for Business, Innovation, Science and Trade, His Majesty’s Treasury, Foreign, Commonwealth, Development Office, Invest Manchester, The Growth Company, The Greater Manchester Chamber of Commerce and other key stakeholders Including the Great North, higher education institutions, and bodies that represent industry at a national and local level.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Influence and negotiate at senior level with the Department for Business Science, Innovation and Trade, The Greater Manchester Chamber of Commerce and The Growth Company to ensure that trade.investment and business growth delivery are aligned to Greater Manchester’s international activity. </w:t>
      </w:r>
    </w:p>
    <w:p>
      <w:pPr>
        <w:pStyle w:val="Normal"/>
        <w:rPr>
          <w:rFonts w:ascii="Arial" w:hAnsi="Arial" w:cs="Arial"/>
          <w:sz w:val="24"/>
          <w:szCs w:val="24"/>
        </w:rPr>
      </w:pPr>
      <w:r>
        <w:rPr>
          <w:rFonts w:cs="Arial" w:ascii="Arial" w:hAnsi="Arial"/>
          <w:sz w:val="24"/>
          <w:szCs w:val="24"/>
        </w:rPr>
        <w:t>Develop and coordinate GMCA’s international knowledge exchange activity, working with internal teams, universities, local authorities and strategic partners to identify where global learning, policy collaboration and international partnerships can help address Greater Manchester’s strategic challenges and support the ambitions of the Greater Manchester Strategy and International Strategy Delivery Plan.</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Negotiate and secure resources for implementing the International Strategy and Local industrial Strategy priorities. This includes convening local and national partners in order to bid for external funding.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Provide senior strategic oversight, working with the Chamber of Commerce, the University of Manchester and DBIST to improve GMCA’s export intelligence, ensuring insights directly inform policy direction and delivery.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Provide direct support and advice to the Mayor, Chief Executive of the CA and CA Leaders through briefing, preparation of presentations, participation in senior  meetings, and other activity.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Lead GM’s work with Government departments on the implementation of Free Trade Agreements, and monitor trade negotiations between the UK and key strategic international markets.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Provide direction  and challenge to GMCA policy leads as well as to partner agencies relating to wider Local Industrial Strategy priorities.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Provide leadership and programme management oversight of the delivery of the International Strategy and relevant parts of the Local Industrial Strategy. This involves collating and presenting regular progress updates to senior leaders, identifying and mitigating key risks, and identifying and coordinating dependence.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Work with related Boards and Board Members such as, but not limited to, the Greater Manchester Local Industrial Strategy Delivery Executive, the Greater Manchester Growth Board, the International Marketing Advisory Board and the Greater Manchester Local Enterprise Partnership.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Commission and manage external contracts to agreed time, cost and quality parameters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Provide timely expertise, advice and comment to senior officers and political and business leaders on issues relating to the Greater Manchester International Strategy Delivery Plan and Greater Manchester Local Industrial Strategy, as well as any related economic policy areas. This includes attending meetings and forums alongside senior political and business leaders.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Lead and coordinate political and officer led missions with a primary focus on driving economic growth, and knowledge exchange opportunities.</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Lead the development and oversight of coordinated international market activity, including missions and partner led programmes that support growth opportunities for Greater Manchester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Develop, manage, and strengthen strategic international relationships that support growth opportunities, sector collaboration,  investment, trade partnerships, and promote the city region’swider economic interests.</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Act as a thought leader on internationaland local economic growth agendas, advocating the benefits and impacts of devolution to a wide range of stakeholders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Represent the CA at a senior level locally, sub regionally, regionally, nationally and internationally in order to ensure the aims of the Greater Manchester International Strategy are achieved and at all times act as an ambassador for Greater Manchester as a whole.</w:t>
      </w:r>
    </w:p>
    <w:p>
      <w:pPr>
        <w:pStyle w:val="Normal"/>
        <w:widowControl w:val="false"/>
        <w:numPr>
          <w:ilvl w:val="0"/>
          <w:numId w:val="0"/>
        </w:numPr>
        <w:pBdr>
          <w:top w:val="single" w:sz="4" w:space="10" w:color="000000"/>
          <w:left w:val="single" w:sz="4" w:space="10" w:color="000000"/>
          <w:bottom w:val="single" w:sz="4" w:space="10" w:color="000000"/>
          <w:right w:val="single" w:sz="4" w:space="10" w:color="000000"/>
        </w:pBdr>
        <w:shd w:fill="004F6E" w:val="clear"/>
        <w:suppressAutoHyphens w:val="true"/>
        <w:spacing w:lineRule="auto" w:line="360" w:before="480" w:after="240"/>
        <w:ind w:left="0" w:hanging="0"/>
        <w:rPr>
          <w:rFonts w:ascii="Arial" w:hAnsi="Arial" w:eastAsia="Calibri" w:cs="Arial"/>
          <w:b/>
          <w:b/>
          <w:bCs/>
          <w:color w:val="FFFFFF"/>
          <w:kern w:val="0"/>
          <w:sz w:val="24"/>
          <w:szCs w:val="24"/>
        </w:rPr>
      </w:pPr>
      <w:r>
        <w:rPr>
          <w:rFonts w:eastAsia="Calibri" w:cs="Arial" w:ascii="Arial" w:hAnsi="Arial"/>
          <w:b/>
          <w:bCs/>
          <w:color w:val="FFFFFF"/>
          <w:kern w:val="0"/>
          <w:sz w:val="24"/>
          <w:szCs w:val="24"/>
        </w:rPr>
        <w:t>General</w:t>
      </w:r>
    </w:p>
    <w:p>
      <w:pPr>
        <w:pStyle w:val="Normal"/>
        <w:rPr>
          <w:rFonts w:ascii="Arial" w:hAnsi="Arial" w:cs="Arial"/>
          <w:sz w:val="24"/>
          <w:szCs w:val="24"/>
        </w:rPr>
      </w:pPr>
      <w:r>
        <w:rPr>
          <w:rFonts w:cs="Arial" w:ascii="Arial" w:hAnsi="Arial"/>
          <w:sz w:val="24"/>
          <w:szCs w:val="24"/>
        </w:rPr>
      </w:r>
    </w:p>
    <w:p>
      <w:pPr>
        <w:pStyle w:val="Normal"/>
        <w:numPr>
          <w:ilvl w:val="0"/>
          <w:numId w:val="15"/>
        </w:numPr>
        <w:rPr>
          <w:rFonts w:ascii="Arial" w:hAnsi="Arial" w:cs="Arial"/>
          <w:sz w:val="24"/>
          <w:szCs w:val="24"/>
        </w:rPr>
      </w:pPr>
      <w:r>
        <w:rPr>
          <w:rFonts w:cs="Arial" w:ascii="Arial" w:hAnsi="Arial"/>
          <w:sz w:val="24"/>
          <w:szCs w:val="24"/>
        </w:rPr>
        <w:t>Provide cover across the directorate as required. </w:t>
      </w:r>
    </w:p>
    <w:p>
      <w:pPr>
        <w:pStyle w:val="Normal"/>
        <w:numPr>
          <w:ilvl w:val="0"/>
          <w:numId w:val="19"/>
        </w:numPr>
        <w:rPr>
          <w:rFonts w:ascii="Arial" w:hAnsi="Arial" w:cs="Arial"/>
          <w:sz w:val="24"/>
          <w:szCs w:val="24"/>
        </w:rPr>
      </w:pPr>
      <w:r>
        <w:rPr>
          <w:rFonts w:cs="Arial" w:ascii="Arial" w:hAnsi="Arial"/>
          <w:sz w:val="24"/>
          <w:szCs w:val="24"/>
        </w:rPr>
        <w:t>Writing and present reports and papers for GMCA meeting, governance boards and other forums. </w:t>
      </w:r>
    </w:p>
    <w:p>
      <w:pPr>
        <w:pStyle w:val="Normal"/>
        <w:numPr>
          <w:ilvl w:val="0"/>
          <w:numId w:val="5"/>
        </w:numPr>
        <w:rPr>
          <w:rFonts w:ascii="Arial" w:hAnsi="Arial" w:cs="Arial"/>
          <w:sz w:val="24"/>
          <w:szCs w:val="24"/>
        </w:rPr>
      </w:pPr>
      <w:r>
        <w:rPr>
          <w:rFonts w:cs="Arial" w:ascii="Arial" w:hAnsi="Arial"/>
          <w:sz w:val="24"/>
          <w:szCs w:val="24"/>
        </w:rPr>
        <w:t>Take responsibility for identifying personal development needs and commitment to continuous professional development. </w:t>
      </w:r>
    </w:p>
    <w:p>
      <w:pPr>
        <w:pStyle w:val="Normal"/>
        <w:numPr>
          <w:ilvl w:val="0"/>
          <w:numId w:val="17"/>
        </w:numPr>
        <w:rPr>
          <w:rFonts w:ascii="Arial" w:hAnsi="Arial" w:cs="Arial"/>
          <w:sz w:val="24"/>
          <w:szCs w:val="24"/>
        </w:rPr>
      </w:pPr>
      <w:r>
        <w:rPr>
          <w:rFonts w:cs="Arial" w:ascii="Arial" w:hAnsi="Arial"/>
          <w:sz w:val="24"/>
          <w:szCs w:val="24"/>
        </w:rPr>
        <w:t>Line manage staff and resources where required, in line with the level of this role, and support the effective use of matrix management across the Integrated Settlement model. </w:t>
      </w:r>
    </w:p>
    <w:p>
      <w:pPr>
        <w:pStyle w:val="Normal"/>
        <w:numPr>
          <w:ilvl w:val="0"/>
          <w:numId w:val="10"/>
        </w:numPr>
        <w:rPr>
          <w:rFonts w:ascii="Arial" w:hAnsi="Arial" w:cs="Arial"/>
          <w:sz w:val="24"/>
          <w:szCs w:val="24"/>
        </w:rPr>
      </w:pPr>
      <w:r>
        <w:rPr>
          <w:rFonts w:cs="Arial" w:ascii="Arial" w:hAnsi="Arial"/>
          <w:sz w:val="24"/>
          <w:szCs w:val="24"/>
        </w:rPr>
        <w:t>Through personal example, open commitment and clear action, ensure diversity is positively valued, resulting in equal access and treatment in employment, service delivery and communications. </w:t>
      </w:r>
    </w:p>
    <w:p>
      <w:pPr>
        <w:pStyle w:val="Normal"/>
        <w:numPr>
          <w:ilvl w:val="0"/>
          <w:numId w:val="11"/>
        </w:numPr>
        <w:rPr>
          <w:rFonts w:ascii="Arial" w:hAnsi="Arial" w:cs="Arial"/>
          <w:sz w:val="24"/>
          <w:szCs w:val="24"/>
        </w:rPr>
      </w:pPr>
      <w:r>
        <w:rPr>
          <w:rFonts w:cs="Arial" w:ascii="Arial" w:hAnsi="Arial"/>
          <w:sz w:val="24"/>
          <w:szCs w:val="24"/>
        </w:rPr>
        <w:t>Hold yourself and others to a high standard of professionalism at all times, demonstrating your commitment to our values and behaviours as well as ensuring service confidentiality is maintained throughout all we do. </w:t>
      </w:r>
    </w:p>
    <w:p>
      <w:pPr>
        <w:pStyle w:val="Normal"/>
        <w:numPr>
          <w:ilvl w:val="0"/>
          <w:numId w:val="7"/>
        </w:numPr>
        <w:rPr>
          <w:rFonts w:ascii="Arial" w:hAnsi="Arial" w:cs="Arial"/>
          <w:sz w:val="24"/>
          <w:szCs w:val="24"/>
        </w:rPr>
      </w:pPr>
      <w:r>
        <w:rPr>
          <w:rFonts w:cs="Arial" w:ascii="Arial" w:hAnsi="Arial"/>
          <w:sz w:val="24"/>
          <w:szCs w:val="24"/>
        </w:rPr>
        <w:t>Working with other teams internally and externally to ensure collaboration and partnerships working is maximised and supporting activity where appropriate. </w:t>
      </w:r>
    </w:p>
    <w:p>
      <w:pPr>
        <w:pStyle w:val="Normal"/>
        <w:numPr>
          <w:ilvl w:val="0"/>
          <w:numId w:val="12"/>
        </w:numPr>
        <w:rPr>
          <w:rFonts w:ascii="Arial" w:hAnsi="Arial" w:cs="Arial"/>
          <w:sz w:val="24"/>
          <w:szCs w:val="24"/>
        </w:rPr>
      </w:pPr>
      <w:r>
        <w:rPr>
          <w:rFonts w:cs="Arial" w:ascii="Arial" w:hAnsi="Arial"/>
          <w:sz w:val="24"/>
          <w:szCs w:val="24"/>
        </w:rPr>
        <w:t>Ensure the services delivered internally and externally are inclusive and accessible, integrated with the service  </w:t>
      </w:r>
    </w:p>
    <w:p>
      <w:pPr>
        <w:pStyle w:val="Normal"/>
        <w:numPr>
          <w:ilvl w:val="0"/>
          <w:numId w:val="8"/>
        </w:numPr>
        <w:rPr>
          <w:rFonts w:ascii="Arial" w:hAnsi="Arial" w:cs="Arial"/>
          <w:sz w:val="24"/>
          <w:szCs w:val="24"/>
        </w:rPr>
      </w:pPr>
      <w:r>
        <w:rPr>
          <w:rFonts w:cs="Arial" w:ascii="Arial" w:hAnsi="Arial"/>
          <w:sz w:val="24"/>
          <w:szCs w:val="24"/>
        </w:rPr>
        <w:t>Align work area to the GMCA Sustainability Strategy and ensure work practices are inclusive of this values &amp; strategic intent  </w:t>
      </w:r>
    </w:p>
    <w:p>
      <w:pPr>
        <w:pStyle w:val="Normal"/>
        <w:numPr>
          <w:ilvl w:val="0"/>
          <w:numId w:val="4"/>
        </w:numPr>
        <w:rPr>
          <w:rFonts w:ascii="Arial" w:hAnsi="Arial" w:cs="Arial"/>
          <w:sz w:val="24"/>
          <w:szCs w:val="24"/>
        </w:rPr>
      </w:pPr>
      <w:r>
        <w:rPr>
          <w:rFonts w:cs="Arial" w:ascii="Arial" w:hAnsi="Arial"/>
          <w:sz w:val="24"/>
          <w:szCs w:val="24"/>
        </w:rPr>
        <w:t>To contribute ideas and propose solutions to problems that occur during the team’s work </w:t>
      </w:r>
    </w:p>
    <w:p>
      <w:pPr>
        <w:pStyle w:val="Normal"/>
        <w:numPr>
          <w:ilvl w:val="0"/>
          <w:numId w:val="13"/>
        </w:numPr>
        <w:rPr>
          <w:rFonts w:ascii="Arial" w:hAnsi="Arial" w:cs="Arial"/>
          <w:sz w:val="24"/>
          <w:szCs w:val="24"/>
        </w:rPr>
      </w:pPr>
      <w:r>
        <w:rPr>
          <w:rFonts w:cs="Arial" w:ascii="Arial" w:hAnsi="Arial"/>
          <w:sz w:val="24"/>
          <w:szCs w:val="24"/>
        </w:rPr>
        <w:t>To be well-organised and with a structured approach to working ensuring that colleagues are informed on tasks &amp; objectives </w:t>
      </w:r>
    </w:p>
    <w:p>
      <w:pPr>
        <w:pStyle w:val="Normal"/>
        <w:numPr>
          <w:ilvl w:val="0"/>
          <w:numId w:val="18"/>
        </w:numPr>
        <w:rPr>
          <w:rFonts w:ascii="Arial" w:hAnsi="Arial" w:cs="Arial"/>
          <w:sz w:val="24"/>
          <w:szCs w:val="24"/>
        </w:rPr>
      </w:pPr>
      <w:r>
        <w:rPr>
          <w:rFonts w:cs="Arial" w:ascii="Arial" w:hAnsi="Arial"/>
          <w:sz w:val="24"/>
          <w:szCs w:val="24"/>
        </w:rPr>
        <w:t>To help coordinate and bring people together to collaborate on shared objectives and common goals </w:t>
      </w:r>
    </w:p>
    <w:p>
      <w:pPr>
        <w:pStyle w:val="Normal"/>
        <w:numPr>
          <w:ilvl w:val="0"/>
          <w:numId w:val="9"/>
        </w:numPr>
        <w:rPr>
          <w:rFonts w:ascii="Arial" w:hAnsi="Arial" w:cs="Arial"/>
          <w:sz w:val="24"/>
          <w:szCs w:val="24"/>
        </w:rPr>
      </w:pPr>
      <w:r>
        <w:rPr>
          <w:rFonts w:cs="Arial" w:ascii="Arial" w:hAnsi="Arial"/>
          <w:sz w:val="24"/>
          <w:szCs w:val="24"/>
        </w:rPr>
        <w:t>To put forward new ideas and solutions that challenge the established ways of working </w:t>
      </w:r>
    </w:p>
    <w:p>
      <w:pPr>
        <w:pStyle w:val="Normal"/>
        <w:rPr/>
      </w:pPr>
      <w:r>
        <w:rPr>
          <w:rFonts w:cs="Arial" w:ascii="Arial" w:hAnsi="Arial"/>
          <w:b/>
          <w:bCs/>
          <w:sz w:val="24"/>
          <w:szCs w:val="24"/>
        </w:rPr>
        <w:t>NB: This list of duties and responsibilities is by no means exhaustive, and the post holder may be required to undertake other relevant and appropriate duties as required.</w:t>
      </w:r>
      <w:r>
        <w:rPr>
          <w:rFonts w:cs="Arial" w:ascii="Arial" w:hAnsi="Arial"/>
          <w:sz w:val="24"/>
          <w:szCs w:val="24"/>
        </w:rPr>
        <w:t> </w:t>
      </w:r>
    </w:p>
    <w:p>
      <w:pPr>
        <w:pStyle w:val="Normal"/>
        <w:widowControl w:val="false"/>
        <w:numPr>
          <w:ilvl w:val="0"/>
          <w:numId w:val="0"/>
        </w:numPr>
        <w:pBdr>
          <w:top w:val="single" w:sz="4" w:space="10" w:color="000000"/>
          <w:left w:val="single" w:sz="4" w:space="10" w:color="000000"/>
          <w:bottom w:val="single" w:sz="4" w:space="10" w:color="000000"/>
          <w:right w:val="single" w:sz="4" w:space="10" w:color="000000"/>
        </w:pBdr>
        <w:shd w:fill="004F6E" w:val="clear"/>
        <w:suppressAutoHyphens w:val="true"/>
        <w:spacing w:lineRule="auto" w:line="360" w:before="480" w:after="240"/>
        <w:ind w:left="0" w:hanging="0"/>
        <w:rPr>
          <w:rFonts w:ascii="Arial" w:hAnsi="Arial" w:eastAsia="Calibri" w:cs="Arial"/>
          <w:b/>
          <w:b/>
          <w:bCs/>
          <w:color w:val="FFFFFF"/>
          <w:kern w:val="0"/>
          <w:sz w:val="24"/>
          <w:szCs w:val="24"/>
        </w:rPr>
      </w:pPr>
      <w:r>
        <w:rPr>
          <w:rFonts w:eastAsia="Calibri" w:cs="Arial" w:ascii="Arial" w:hAnsi="Arial"/>
          <w:b/>
          <w:bCs/>
          <w:color w:val="FFFFFF"/>
          <w:kern w:val="0"/>
          <w:sz w:val="24"/>
          <w:szCs w:val="24"/>
        </w:rPr>
        <w:t>Knowledge, Skills, and Experience</w:t>
      </w:r>
    </w:p>
    <w:p>
      <w:pPr>
        <w:pStyle w:val="Normal"/>
        <w:rPr>
          <w:rFonts w:ascii="Arial" w:hAnsi="Arial" w:cs="Arial"/>
          <w:sz w:val="24"/>
          <w:szCs w:val="24"/>
          <w:u w:val="single"/>
        </w:rPr>
      </w:pPr>
      <w:r>
        <w:rPr>
          <w:rFonts w:cs="Arial" w:ascii="Arial" w:hAnsi="Arial"/>
          <w:sz w:val="24"/>
          <w:szCs w:val="24"/>
          <w:u w:val="single"/>
        </w:rPr>
        <w:t xml:space="preserve">Essential Skills: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Proven ability in thought leadership and strategy development.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Proven ability to develop and implement policies and strategies relating to economic growth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Proven ability in problems solving, analysis and critical evaluation of strategic and economic initiatives developed by national, regional and local stakeholders.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Exceptional interpersonal, influencing and negotiating skills; able to obtain support and demonstrate credibility.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Proven ability in establishing and maintaining professional, positive and effective working relationships with internal and external colleagues, taking a proactive approach to managing these relationships.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Ability to achieve results and outcomes through others.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High level, effective written and oral communication and presentation skills.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Ability to work in a pressurised environment and manage competing priorities.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Ability to initiate and manage change.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Ability to fully utilise office IT systems to perform this role.</w:t>
      </w:r>
    </w:p>
    <w:p>
      <w:pPr>
        <w:pStyle w:val="Normal"/>
        <w:rPr>
          <w:rFonts w:ascii="Arial" w:hAnsi="Arial" w:cs="Arial"/>
          <w:sz w:val="24"/>
          <w:szCs w:val="24"/>
          <w:u w:val="single"/>
        </w:rPr>
      </w:pPr>
      <w:r>
        <w:rPr>
          <w:rFonts w:cs="Arial" w:ascii="Arial" w:hAnsi="Arial"/>
          <w:sz w:val="24"/>
          <w:szCs w:val="24"/>
          <w:u w:val="single"/>
        </w:rPr>
      </w:r>
    </w:p>
    <w:p>
      <w:pPr>
        <w:pStyle w:val="Normal"/>
        <w:rPr>
          <w:rFonts w:ascii="Arial" w:hAnsi="Arial" w:cs="Arial"/>
          <w:sz w:val="24"/>
          <w:szCs w:val="24"/>
          <w:u w:val="single"/>
        </w:rPr>
      </w:pPr>
      <w:r>
        <w:rPr>
          <w:rFonts w:cs="Arial" w:ascii="Arial" w:hAnsi="Arial"/>
          <w:sz w:val="24"/>
          <w:szCs w:val="24"/>
          <w:u w:val="single"/>
        </w:rPr>
        <w:t xml:space="preserve">Experience: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Educated to degree level (or equivalent) in a relevant discipline.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Experience of working on economic and international trade and investment policy and delivery.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Minimum of five years work in an associated field.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Substantial experience of working in a complex partnership environment involving stakeholders from across the private, public and third sectors.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Provision of advice to senior officers and politicians on economic issues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Sourcing, commissioning and managing sub-contractors </w:t>
      </w:r>
    </w:p>
    <w:p>
      <w:pPr>
        <w:pStyle w:val="Normal"/>
        <w:rPr>
          <w:rFonts w:ascii="Arial" w:hAnsi="Arial" w:cs="Arial"/>
          <w:sz w:val="24"/>
          <w:szCs w:val="24"/>
          <w:u w:val="single"/>
        </w:rPr>
      </w:pPr>
      <w:r>
        <w:rPr>
          <w:rFonts w:cs="Arial" w:ascii="Arial" w:hAnsi="Arial"/>
          <w:sz w:val="24"/>
          <w:szCs w:val="24"/>
          <w:u w:val="single"/>
        </w:rPr>
      </w:r>
    </w:p>
    <w:p>
      <w:pPr>
        <w:pStyle w:val="Normal"/>
        <w:rPr>
          <w:rFonts w:ascii="Arial" w:hAnsi="Arial" w:cs="Arial"/>
          <w:sz w:val="24"/>
          <w:szCs w:val="24"/>
          <w:u w:val="single"/>
        </w:rPr>
      </w:pPr>
      <w:r>
        <w:rPr>
          <w:rFonts w:cs="Arial" w:ascii="Arial" w:hAnsi="Arial"/>
          <w:sz w:val="24"/>
          <w:szCs w:val="24"/>
          <w:u w:val="single"/>
        </w:rPr>
        <w:t xml:space="preserve">Knowledge: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Extensive knowledge and understanding of international issues, particularly trade and investment agenda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Extensive knowledge and understanding of the agendas and roles of national government departments, city regions and local authorities in driving forward the growth of city regions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Proficiency in other languages is desireable </w:t>
      </w:r>
    </w:p>
    <w:p>
      <w:pPr>
        <w:pStyle w:val="Normal"/>
        <w:rPr>
          <w:rFonts w:ascii="Arial" w:hAnsi="Arial" w:cs="Arial"/>
          <w:sz w:val="24"/>
          <w:szCs w:val="24"/>
          <w:u w:val="single"/>
        </w:rPr>
      </w:pPr>
      <w:r>
        <w:rPr>
          <w:rFonts w:cs="Arial" w:ascii="Arial" w:hAnsi="Arial"/>
          <w:sz w:val="24"/>
          <w:szCs w:val="24"/>
          <w:u w:val="single"/>
        </w:rPr>
      </w:r>
    </w:p>
    <w:p>
      <w:pPr>
        <w:pStyle w:val="Normal"/>
        <w:rPr>
          <w:rFonts w:ascii="Arial" w:hAnsi="Arial" w:cs="Arial"/>
          <w:sz w:val="24"/>
          <w:szCs w:val="24"/>
          <w:u w:val="single"/>
        </w:rPr>
      </w:pPr>
      <w:r>
        <w:rPr>
          <w:rFonts w:cs="Arial" w:ascii="Arial" w:hAnsi="Arial"/>
          <w:sz w:val="24"/>
          <w:szCs w:val="24"/>
          <w:u w:val="single"/>
        </w:rPr>
        <w:t xml:space="preserve">Personal style: </w:t>
      </w:r>
    </w:p>
    <w:p>
      <w:pPr>
        <w:pStyle w:val="Normal"/>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Ability to understand, demonstrate and apply the values of the CA.</w:t>
      </w:r>
    </w:p>
    <w:p>
      <w:pPr>
        <w:pStyle w:val="Normal"/>
        <w:widowControl w:val="false"/>
        <w:numPr>
          <w:ilvl w:val="0"/>
          <w:numId w:val="0"/>
        </w:numPr>
        <w:pBdr>
          <w:top w:val="single" w:sz="4" w:space="10" w:color="000000"/>
          <w:left w:val="single" w:sz="4" w:space="10" w:color="000000"/>
          <w:bottom w:val="single" w:sz="4" w:space="10" w:color="000000"/>
          <w:right w:val="single" w:sz="4" w:space="10" w:color="000000"/>
        </w:pBdr>
        <w:shd w:fill="004F6E" w:val="clear"/>
        <w:suppressAutoHyphens w:val="true"/>
        <w:spacing w:lineRule="auto" w:line="360" w:before="480" w:after="240"/>
        <w:ind w:left="0" w:hanging="0"/>
        <w:rPr>
          <w:rFonts w:ascii="Arial" w:hAnsi="Arial" w:eastAsia="Calibri" w:cs="Arial"/>
          <w:b/>
          <w:b/>
          <w:bCs/>
          <w:color w:val="FFFFFF"/>
          <w:kern w:val="0"/>
          <w:sz w:val="24"/>
          <w:szCs w:val="24"/>
        </w:rPr>
      </w:pPr>
      <w:r>
        <w:rPr>
          <w:rFonts w:eastAsia="Calibri" w:cs="Arial" w:ascii="Arial" w:hAnsi="Arial"/>
          <w:b/>
          <w:bCs/>
          <w:color w:val="FFFFFF"/>
          <w:kern w:val="0"/>
          <w:sz w:val="24"/>
          <w:szCs w:val="24"/>
        </w:rPr>
        <w:t>Corporate Duties</w:t>
      </w:r>
    </w:p>
    <w:p>
      <w:pPr>
        <w:pStyle w:val="Normal"/>
        <w:widowControl w:val="false"/>
        <w:suppressAutoHyphens w:val="true"/>
        <w:spacing w:lineRule="auto" w:line="360" w:before="0" w:after="240"/>
        <w:rPr/>
      </w:pPr>
      <w:r>
        <w:rPr>
          <w:rFonts w:eastAsia="Calibri" w:cs="Arial" w:ascii="Arial" w:hAnsi="Arial"/>
          <w:i/>
          <w:iCs/>
          <w:color w:val="262626"/>
          <w:kern w:val="0"/>
          <w:sz w:val="20"/>
          <w:szCs w:val="20"/>
        </w:rPr>
        <w:t>Do not behave in way which discriminates against your fellow employees, or potential</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employees on the grounds of their sex, sexual orientation, marital status, race, religion,</w:t>
      </w:r>
      <w:r>
        <w:rPr>
          <w:rFonts w:eastAsia="Calibri" w:cs="Arial" w:ascii="Arial" w:hAnsi="Arial"/>
          <w:i/>
          <w:iCs/>
          <w:color w:val="262626"/>
          <w:spacing w:val="-59"/>
          <w:kern w:val="0"/>
          <w:sz w:val="20"/>
          <w:szCs w:val="20"/>
        </w:rPr>
        <w:t xml:space="preserve"> </w:t>
      </w:r>
      <w:r>
        <w:rPr>
          <w:rFonts w:eastAsia="Calibri" w:cs="Arial" w:ascii="Arial" w:hAnsi="Arial"/>
          <w:i/>
          <w:iCs/>
          <w:color w:val="262626"/>
          <w:kern w:val="0"/>
          <w:sz w:val="20"/>
          <w:szCs w:val="20"/>
        </w:rPr>
        <w:t>creed,</w:t>
      </w:r>
      <w:r>
        <w:rPr>
          <w:rFonts w:eastAsia="Calibri" w:cs="Arial" w:ascii="Arial" w:hAnsi="Arial"/>
          <w:i/>
          <w:iCs/>
          <w:color w:val="262626"/>
          <w:spacing w:val="-2"/>
          <w:kern w:val="0"/>
          <w:sz w:val="20"/>
          <w:szCs w:val="20"/>
        </w:rPr>
        <w:t xml:space="preserve"> </w:t>
      </w:r>
      <w:r>
        <w:rPr>
          <w:rFonts w:eastAsia="Calibri" w:cs="Arial" w:ascii="Arial" w:hAnsi="Arial"/>
          <w:i/>
          <w:iCs/>
          <w:color w:val="262626"/>
          <w:kern w:val="0"/>
          <w:sz w:val="20"/>
          <w:szCs w:val="20"/>
        </w:rPr>
        <w:t>colour,</w:t>
      </w:r>
      <w:r>
        <w:rPr>
          <w:rFonts w:eastAsia="Calibri" w:cs="Arial" w:ascii="Arial" w:hAnsi="Arial"/>
          <w:i/>
          <w:iCs/>
          <w:color w:val="262626"/>
          <w:spacing w:val="2"/>
          <w:kern w:val="0"/>
          <w:sz w:val="20"/>
          <w:szCs w:val="20"/>
        </w:rPr>
        <w:t xml:space="preserve"> </w:t>
      </w:r>
      <w:r>
        <w:rPr>
          <w:rFonts w:eastAsia="Calibri" w:cs="Arial" w:ascii="Arial" w:hAnsi="Arial"/>
          <w:i/>
          <w:iCs/>
          <w:color w:val="262626"/>
          <w:kern w:val="0"/>
          <w:sz w:val="20"/>
          <w:szCs w:val="20"/>
        </w:rPr>
        <w:t>nationality,</w:t>
      </w:r>
      <w:r>
        <w:rPr>
          <w:rFonts w:eastAsia="Calibri" w:cs="Arial" w:ascii="Arial" w:hAnsi="Arial"/>
          <w:i/>
          <w:iCs/>
          <w:color w:val="262626"/>
          <w:spacing w:val="2"/>
          <w:kern w:val="0"/>
          <w:sz w:val="20"/>
          <w:szCs w:val="20"/>
        </w:rPr>
        <w:t xml:space="preserve"> </w:t>
      </w:r>
      <w:r>
        <w:rPr>
          <w:rFonts w:eastAsia="Calibri" w:cs="Arial" w:ascii="Arial" w:hAnsi="Arial"/>
          <w:i/>
          <w:iCs/>
          <w:color w:val="262626"/>
          <w:kern w:val="0"/>
          <w:sz w:val="20"/>
          <w:szCs w:val="20"/>
        </w:rPr>
        <w:t>ethnic</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origin</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or</w:t>
      </w:r>
      <w:r>
        <w:rPr>
          <w:rFonts w:eastAsia="Calibri" w:cs="Arial" w:ascii="Arial" w:hAnsi="Arial"/>
          <w:i/>
          <w:iCs/>
          <w:color w:val="262626"/>
          <w:spacing w:val="-2"/>
          <w:kern w:val="0"/>
          <w:sz w:val="20"/>
          <w:szCs w:val="20"/>
        </w:rPr>
        <w:t xml:space="preserve"> </w:t>
      </w:r>
      <w:r>
        <w:rPr>
          <w:rFonts w:eastAsia="Calibri" w:cs="Arial" w:ascii="Arial" w:hAnsi="Arial"/>
          <w:i/>
          <w:iCs/>
          <w:color w:val="262626"/>
          <w:kern w:val="0"/>
          <w:sz w:val="20"/>
          <w:szCs w:val="20"/>
        </w:rPr>
        <w:t>disability.</w:t>
      </w:r>
    </w:p>
    <w:p>
      <w:pPr>
        <w:pStyle w:val="Normal"/>
        <w:widowControl w:val="false"/>
        <w:suppressAutoHyphens w:val="true"/>
        <w:spacing w:lineRule="auto" w:line="360" w:before="0" w:after="240"/>
        <w:rPr/>
      </w:pPr>
      <w:r>
        <w:rPr>
          <w:rFonts w:eastAsia="Calibri" w:cs="Arial" w:ascii="Arial" w:hAnsi="Arial"/>
          <w:i/>
          <w:iCs/>
          <w:color w:val="262626"/>
          <w:kern w:val="0"/>
          <w:sz w:val="20"/>
          <w:szCs w:val="20"/>
        </w:rPr>
        <w:t xml:space="preserve">Safeguard at all times confidentiality of information relating to staff and pensioners. </w:t>
      </w:r>
      <w:r>
        <w:rPr>
          <w:rFonts w:eastAsia="Calibri" w:cs="Arial" w:ascii="Arial" w:hAnsi="Arial"/>
          <w:i/>
          <w:iCs/>
          <w:color w:val="262626"/>
          <w:spacing w:val="-59"/>
          <w:kern w:val="0"/>
          <w:sz w:val="20"/>
          <w:szCs w:val="20"/>
        </w:rPr>
        <w:t xml:space="preserve"> </w:t>
      </w:r>
      <w:r>
        <w:rPr>
          <w:rFonts w:eastAsia="Calibri" w:cs="Arial" w:ascii="Arial" w:hAnsi="Arial"/>
          <w:i/>
          <w:iCs/>
          <w:color w:val="262626"/>
          <w:kern w:val="0"/>
          <w:sz w:val="20"/>
          <w:szCs w:val="20"/>
        </w:rPr>
        <w:t>Refrain</w:t>
      </w:r>
      <w:r>
        <w:rPr>
          <w:rFonts w:eastAsia="Calibri" w:cs="Arial" w:ascii="Arial" w:hAnsi="Arial"/>
          <w:i/>
          <w:iCs/>
          <w:color w:val="262626"/>
          <w:spacing w:val="-3"/>
          <w:kern w:val="0"/>
          <w:sz w:val="20"/>
          <w:szCs w:val="20"/>
        </w:rPr>
        <w:t xml:space="preserve"> </w:t>
      </w:r>
      <w:r>
        <w:rPr>
          <w:rFonts w:eastAsia="Calibri" w:cs="Arial" w:ascii="Arial" w:hAnsi="Arial"/>
          <w:i/>
          <w:iCs/>
          <w:color w:val="262626"/>
          <w:kern w:val="0"/>
          <w:sz w:val="20"/>
          <w:szCs w:val="20"/>
        </w:rPr>
        <w:t>from</w:t>
      </w:r>
      <w:r>
        <w:rPr>
          <w:rFonts w:eastAsia="Calibri" w:cs="Arial" w:ascii="Arial" w:hAnsi="Arial"/>
          <w:i/>
          <w:iCs/>
          <w:color w:val="262626"/>
          <w:spacing w:val="2"/>
          <w:kern w:val="0"/>
          <w:sz w:val="20"/>
          <w:szCs w:val="20"/>
        </w:rPr>
        <w:t xml:space="preserve"> </w:t>
      </w:r>
      <w:r>
        <w:rPr>
          <w:rFonts w:eastAsia="Calibri" w:cs="Arial" w:ascii="Arial" w:hAnsi="Arial"/>
          <w:i/>
          <w:iCs/>
          <w:color w:val="262626"/>
          <w:kern w:val="0"/>
          <w:sz w:val="20"/>
          <w:szCs w:val="20"/>
        </w:rPr>
        <w:t>smoking</w:t>
      </w:r>
      <w:r>
        <w:rPr>
          <w:rFonts w:eastAsia="Calibri" w:cs="Arial" w:ascii="Arial" w:hAnsi="Arial"/>
          <w:i/>
          <w:iCs/>
          <w:color w:val="262626"/>
          <w:spacing w:val="4"/>
          <w:kern w:val="0"/>
          <w:sz w:val="20"/>
          <w:szCs w:val="20"/>
        </w:rPr>
        <w:t xml:space="preserve"> </w:t>
      </w:r>
      <w:r>
        <w:rPr>
          <w:rFonts w:eastAsia="Calibri" w:cs="Arial" w:ascii="Arial" w:hAnsi="Arial"/>
          <w:i/>
          <w:iCs/>
          <w:color w:val="262626"/>
          <w:kern w:val="0"/>
          <w:sz w:val="20"/>
          <w:szCs w:val="20"/>
        </w:rPr>
        <w:t>in</w:t>
      </w:r>
      <w:r>
        <w:rPr>
          <w:rFonts w:eastAsia="Calibri" w:cs="Arial" w:ascii="Arial" w:hAnsi="Arial"/>
          <w:i/>
          <w:iCs/>
          <w:color w:val="262626"/>
          <w:spacing w:val="-5"/>
          <w:kern w:val="0"/>
          <w:sz w:val="20"/>
          <w:szCs w:val="20"/>
        </w:rPr>
        <w:t xml:space="preserve"> </w:t>
      </w:r>
      <w:r>
        <w:rPr>
          <w:rFonts w:eastAsia="Calibri" w:cs="Arial" w:ascii="Arial" w:hAnsi="Arial"/>
          <w:i/>
          <w:iCs/>
          <w:color w:val="262626"/>
          <w:kern w:val="0"/>
          <w:sz w:val="20"/>
          <w:szCs w:val="20"/>
        </w:rPr>
        <w:t>any</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areas</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of</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Service</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premises.</w:t>
      </w:r>
    </w:p>
    <w:p>
      <w:pPr>
        <w:pStyle w:val="Normal"/>
        <w:widowControl w:val="false"/>
        <w:suppressAutoHyphens w:val="true"/>
        <w:spacing w:lineRule="auto" w:line="360" w:before="0" w:after="240"/>
        <w:rPr/>
      </w:pPr>
      <w:r>
        <w:rPr>
          <w:rFonts w:eastAsia="Calibri" w:cs="Arial" w:ascii="Arial" w:hAnsi="Arial"/>
          <w:i/>
          <w:iCs/>
          <w:color w:val="262626"/>
          <w:kern w:val="0"/>
          <w:sz w:val="20"/>
          <w:szCs w:val="20"/>
        </w:rPr>
        <w:t>Behave in a manner that ensures the security of property and resources.</w:t>
      </w:r>
      <w:r>
        <w:rPr>
          <w:rFonts w:eastAsia="Calibri" w:cs="Arial" w:ascii="Arial" w:hAnsi="Arial"/>
          <w:i/>
          <w:iCs/>
          <w:color w:val="262626"/>
          <w:spacing w:val="-59"/>
          <w:kern w:val="0"/>
          <w:sz w:val="20"/>
          <w:szCs w:val="20"/>
        </w:rPr>
        <w:t xml:space="preserve"> </w:t>
      </w:r>
      <w:r>
        <w:rPr>
          <w:rFonts w:eastAsia="Calibri" w:cs="Arial" w:ascii="Arial" w:hAnsi="Arial"/>
          <w:i/>
          <w:iCs/>
          <w:color w:val="262626"/>
          <w:kern w:val="0"/>
          <w:sz w:val="20"/>
          <w:szCs w:val="20"/>
        </w:rPr>
        <w:t>Abide</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by</w:t>
      </w:r>
      <w:r>
        <w:rPr>
          <w:rFonts w:eastAsia="Calibri" w:cs="Arial" w:ascii="Arial" w:hAnsi="Arial"/>
          <w:i/>
          <w:iCs/>
          <w:color w:val="262626"/>
          <w:spacing w:val="-2"/>
          <w:kern w:val="0"/>
          <w:sz w:val="20"/>
          <w:szCs w:val="20"/>
        </w:rPr>
        <w:t xml:space="preserve"> </w:t>
      </w:r>
      <w:r>
        <w:rPr>
          <w:rFonts w:eastAsia="Calibri" w:cs="Arial" w:ascii="Arial" w:hAnsi="Arial"/>
          <w:i/>
          <w:iCs/>
          <w:color w:val="262626"/>
          <w:kern w:val="0"/>
          <w:sz w:val="20"/>
          <w:szCs w:val="20"/>
        </w:rPr>
        <w:t>all relevant</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Service</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Policies and Procedures.</w:t>
      </w:r>
    </w:p>
    <w:p>
      <w:pPr>
        <w:pStyle w:val="Normal"/>
        <w:widowControl w:val="false"/>
        <w:suppressAutoHyphens w:val="true"/>
        <w:spacing w:lineRule="auto" w:line="360" w:before="0" w:after="240"/>
        <w:rPr/>
      </w:pPr>
      <w:r>
        <w:rPr>
          <w:rFonts w:eastAsia="Calibri" w:cs="Arial" w:ascii="Arial" w:hAnsi="Arial"/>
          <w:b/>
          <w:bCs/>
          <w:i/>
          <w:iCs/>
          <w:color w:val="262626"/>
          <w:kern w:val="0"/>
          <w:sz w:val="20"/>
          <w:szCs w:val="20"/>
        </w:rPr>
        <w:t>Records Management / Data Protection</w:t>
      </w:r>
      <w:r>
        <w:rPr>
          <w:rFonts w:eastAsia="Calibri" w:cs="Arial" w:ascii="Arial" w:hAnsi="Arial"/>
          <w:i/>
          <w:iCs/>
          <w:color w:val="262626"/>
          <w:kern w:val="0"/>
          <w:sz w:val="20"/>
          <w:szCs w:val="20"/>
        </w:rPr>
        <w:t xml:space="preserve"> - As an employee of the GMCA, you have a legal</w:t>
      </w:r>
      <w:r>
        <w:rPr>
          <w:rFonts w:eastAsia="Calibri" w:cs="Arial" w:ascii="Arial" w:hAnsi="Arial"/>
          <w:i/>
          <w:iCs/>
          <w:color w:val="262626"/>
          <w:spacing w:val="1"/>
          <w:kern w:val="0"/>
          <w:sz w:val="20"/>
          <w:szCs w:val="20"/>
        </w:rPr>
        <w:t xml:space="preserve"> </w:t>
      </w:r>
      <w:r>
        <w:rPr>
          <w:rFonts w:eastAsia="Calibri" w:cs="Arial" w:ascii="Arial" w:hAnsi="Arial"/>
          <w:i/>
          <w:iCs/>
          <w:color w:val="262626"/>
          <w:spacing w:val="-1"/>
          <w:kern w:val="0"/>
          <w:sz w:val="20"/>
          <w:szCs w:val="20"/>
        </w:rPr>
        <w:t>responsibility</w:t>
      </w:r>
      <w:r>
        <w:rPr>
          <w:rFonts w:eastAsia="Calibri" w:cs="Arial" w:ascii="Arial" w:hAnsi="Arial"/>
          <w:i/>
          <w:iCs/>
          <w:color w:val="262626"/>
          <w:spacing w:val="-16"/>
          <w:kern w:val="0"/>
          <w:sz w:val="20"/>
          <w:szCs w:val="20"/>
        </w:rPr>
        <w:t xml:space="preserve"> </w:t>
      </w:r>
      <w:r>
        <w:rPr>
          <w:rFonts w:eastAsia="Calibri" w:cs="Arial" w:ascii="Arial" w:hAnsi="Arial"/>
          <w:i/>
          <w:iCs/>
          <w:color w:val="262626"/>
          <w:spacing w:val="-1"/>
          <w:kern w:val="0"/>
          <w:sz w:val="20"/>
          <w:szCs w:val="20"/>
        </w:rPr>
        <w:t>for</w:t>
      </w:r>
      <w:r>
        <w:rPr>
          <w:rFonts w:eastAsia="Calibri" w:cs="Arial" w:ascii="Arial" w:hAnsi="Arial"/>
          <w:i/>
          <w:iCs/>
          <w:color w:val="262626"/>
          <w:spacing w:val="-15"/>
          <w:kern w:val="0"/>
          <w:sz w:val="20"/>
          <w:szCs w:val="20"/>
        </w:rPr>
        <w:t xml:space="preserve"> </w:t>
      </w:r>
      <w:r>
        <w:rPr>
          <w:rFonts w:eastAsia="Calibri" w:cs="Arial" w:ascii="Arial" w:hAnsi="Arial"/>
          <w:i/>
          <w:iCs/>
          <w:color w:val="262626"/>
          <w:spacing w:val="-1"/>
          <w:kern w:val="0"/>
          <w:sz w:val="20"/>
          <w:szCs w:val="20"/>
        </w:rPr>
        <w:t>all</w:t>
      </w:r>
      <w:r>
        <w:rPr>
          <w:rFonts w:eastAsia="Calibri" w:cs="Arial" w:ascii="Arial" w:hAnsi="Arial"/>
          <w:i/>
          <w:iCs/>
          <w:color w:val="262626"/>
          <w:spacing w:val="-14"/>
          <w:kern w:val="0"/>
          <w:sz w:val="20"/>
          <w:szCs w:val="20"/>
        </w:rPr>
        <w:t xml:space="preserve"> </w:t>
      </w:r>
      <w:r>
        <w:rPr>
          <w:rFonts w:eastAsia="Calibri" w:cs="Arial" w:ascii="Arial" w:hAnsi="Arial"/>
          <w:i/>
          <w:iCs/>
          <w:color w:val="262626"/>
          <w:spacing w:val="-1"/>
          <w:kern w:val="0"/>
          <w:sz w:val="20"/>
          <w:szCs w:val="20"/>
        </w:rPr>
        <w:t>records</w:t>
      </w:r>
      <w:r>
        <w:rPr>
          <w:rFonts w:eastAsia="Calibri" w:cs="Arial" w:ascii="Arial" w:hAnsi="Arial"/>
          <w:i/>
          <w:iCs/>
          <w:color w:val="262626"/>
          <w:spacing w:val="-13"/>
          <w:kern w:val="0"/>
          <w:sz w:val="20"/>
          <w:szCs w:val="20"/>
        </w:rPr>
        <w:t xml:space="preserve"> </w:t>
      </w:r>
      <w:r>
        <w:rPr>
          <w:rFonts w:eastAsia="Calibri" w:cs="Arial" w:ascii="Arial" w:hAnsi="Arial"/>
          <w:i/>
          <w:iCs/>
          <w:color w:val="262626"/>
          <w:kern w:val="0"/>
          <w:sz w:val="20"/>
          <w:szCs w:val="20"/>
        </w:rPr>
        <w:t>(including</w:t>
      </w:r>
      <w:r>
        <w:rPr>
          <w:rFonts w:eastAsia="Calibri" w:cs="Arial" w:ascii="Arial" w:hAnsi="Arial"/>
          <w:i/>
          <w:iCs/>
          <w:color w:val="262626"/>
          <w:spacing w:val="-11"/>
          <w:kern w:val="0"/>
          <w:sz w:val="20"/>
          <w:szCs w:val="20"/>
        </w:rPr>
        <w:t xml:space="preserve"> </w:t>
      </w:r>
      <w:r>
        <w:rPr>
          <w:rFonts w:eastAsia="Calibri" w:cs="Arial" w:ascii="Arial" w:hAnsi="Arial"/>
          <w:i/>
          <w:iCs/>
          <w:color w:val="262626"/>
          <w:kern w:val="0"/>
          <w:sz w:val="20"/>
          <w:szCs w:val="20"/>
        </w:rPr>
        <w:t>employee</w:t>
      </w:r>
      <w:r>
        <w:rPr>
          <w:rFonts w:eastAsia="Calibri" w:cs="Arial" w:ascii="Arial" w:hAnsi="Arial"/>
          <w:i/>
          <w:iCs/>
          <w:color w:val="262626"/>
          <w:spacing w:val="-13"/>
          <w:kern w:val="0"/>
          <w:sz w:val="20"/>
          <w:szCs w:val="20"/>
        </w:rPr>
        <w:t xml:space="preserve"> </w:t>
      </w:r>
      <w:r>
        <w:rPr>
          <w:rFonts w:eastAsia="Calibri" w:cs="Arial" w:ascii="Arial" w:hAnsi="Arial"/>
          <w:i/>
          <w:iCs/>
          <w:color w:val="262626"/>
          <w:kern w:val="0"/>
          <w:sz w:val="20"/>
          <w:szCs w:val="20"/>
        </w:rPr>
        <w:t>health,</w:t>
      </w:r>
      <w:r>
        <w:rPr>
          <w:rFonts w:eastAsia="Calibri" w:cs="Arial" w:ascii="Arial" w:hAnsi="Arial"/>
          <w:i/>
          <w:iCs/>
          <w:color w:val="262626"/>
          <w:spacing w:val="-15"/>
          <w:kern w:val="0"/>
          <w:sz w:val="20"/>
          <w:szCs w:val="20"/>
        </w:rPr>
        <w:t xml:space="preserve"> </w:t>
      </w:r>
      <w:r>
        <w:rPr>
          <w:rFonts w:eastAsia="Calibri" w:cs="Arial" w:ascii="Arial" w:hAnsi="Arial"/>
          <w:i/>
          <w:iCs/>
          <w:color w:val="262626"/>
          <w:kern w:val="0"/>
          <w:sz w:val="20"/>
          <w:szCs w:val="20"/>
        </w:rPr>
        <w:t>financial,</w:t>
      </w:r>
      <w:r>
        <w:rPr>
          <w:rFonts w:eastAsia="Calibri" w:cs="Arial" w:ascii="Arial" w:hAnsi="Arial"/>
          <w:i/>
          <w:iCs/>
          <w:color w:val="262626"/>
          <w:spacing w:val="-14"/>
          <w:kern w:val="0"/>
          <w:sz w:val="20"/>
          <w:szCs w:val="20"/>
        </w:rPr>
        <w:t xml:space="preserve"> </w:t>
      </w:r>
      <w:r>
        <w:rPr>
          <w:rFonts w:eastAsia="Calibri" w:cs="Arial" w:ascii="Arial" w:hAnsi="Arial"/>
          <w:i/>
          <w:iCs/>
          <w:color w:val="262626"/>
          <w:kern w:val="0"/>
          <w:sz w:val="20"/>
          <w:szCs w:val="20"/>
        </w:rPr>
        <w:t>personal</w:t>
      </w:r>
      <w:r>
        <w:rPr>
          <w:rFonts w:eastAsia="Calibri" w:cs="Arial" w:ascii="Arial" w:hAnsi="Arial"/>
          <w:i/>
          <w:iCs/>
          <w:color w:val="262626"/>
          <w:spacing w:val="-17"/>
          <w:kern w:val="0"/>
          <w:sz w:val="20"/>
          <w:szCs w:val="20"/>
        </w:rPr>
        <w:t xml:space="preserve"> </w:t>
      </w:r>
      <w:r>
        <w:rPr>
          <w:rFonts w:eastAsia="Calibri" w:cs="Arial" w:ascii="Arial" w:hAnsi="Arial"/>
          <w:i/>
          <w:iCs/>
          <w:color w:val="262626"/>
          <w:kern w:val="0"/>
          <w:sz w:val="20"/>
          <w:szCs w:val="20"/>
        </w:rPr>
        <w:t>and</w:t>
      </w:r>
      <w:r>
        <w:rPr>
          <w:rFonts w:eastAsia="Calibri" w:cs="Arial" w:ascii="Arial" w:hAnsi="Arial"/>
          <w:i/>
          <w:iCs/>
          <w:color w:val="262626"/>
          <w:spacing w:val="-13"/>
          <w:kern w:val="0"/>
          <w:sz w:val="20"/>
          <w:szCs w:val="20"/>
        </w:rPr>
        <w:t xml:space="preserve"> </w:t>
      </w:r>
      <w:r>
        <w:rPr>
          <w:rFonts w:eastAsia="Calibri" w:cs="Arial" w:ascii="Arial" w:hAnsi="Arial"/>
          <w:i/>
          <w:iCs/>
          <w:color w:val="262626"/>
          <w:kern w:val="0"/>
          <w:sz w:val="20"/>
          <w:szCs w:val="20"/>
        </w:rPr>
        <w:t>administrative)</w:t>
      </w:r>
      <w:r>
        <w:rPr>
          <w:rFonts w:eastAsia="Calibri" w:cs="Arial" w:ascii="Arial" w:hAnsi="Arial"/>
          <w:i/>
          <w:iCs/>
          <w:color w:val="262626"/>
          <w:spacing w:val="-58"/>
          <w:kern w:val="0"/>
          <w:sz w:val="20"/>
          <w:szCs w:val="20"/>
        </w:rPr>
        <w:t xml:space="preserve"> </w:t>
      </w:r>
      <w:r>
        <w:rPr>
          <w:rFonts w:eastAsia="Calibri" w:cs="Arial" w:ascii="Arial" w:hAnsi="Arial"/>
          <w:i/>
          <w:iCs/>
          <w:color w:val="262626"/>
          <w:kern w:val="0"/>
          <w:sz w:val="20"/>
          <w:szCs w:val="20"/>
        </w:rPr>
        <w:t>that you gather or use as part of your work with the Service. The records may be paper,</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electronic, audio or videotapes. You must consult your manager if you have any doubt as to</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the</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correct management</w:t>
      </w:r>
      <w:r>
        <w:rPr>
          <w:rFonts w:eastAsia="Calibri" w:cs="Arial" w:ascii="Arial" w:hAnsi="Arial"/>
          <w:i/>
          <w:iCs/>
          <w:color w:val="262626"/>
          <w:spacing w:val="-2"/>
          <w:kern w:val="0"/>
          <w:sz w:val="20"/>
          <w:szCs w:val="20"/>
        </w:rPr>
        <w:t xml:space="preserve"> </w:t>
      </w:r>
      <w:r>
        <w:rPr>
          <w:rFonts w:eastAsia="Calibri" w:cs="Arial" w:ascii="Arial" w:hAnsi="Arial"/>
          <w:i/>
          <w:iCs/>
          <w:color w:val="262626"/>
          <w:kern w:val="0"/>
          <w:sz w:val="20"/>
          <w:szCs w:val="20"/>
        </w:rPr>
        <w:t>of</w:t>
      </w:r>
      <w:r>
        <w:rPr>
          <w:rFonts w:eastAsia="Calibri" w:cs="Arial" w:ascii="Arial" w:hAnsi="Arial"/>
          <w:i/>
          <w:iCs/>
          <w:color w:val="262626"/>
          <w:spacing w:val="2"/>
          <w:kern w:val="0"/>
          <w:sz w:val="20"/>
          <w:szCs w:val="20"/>
        </w:rPr>
        <w:t xml:space="preserve"> </w:t>
      </w:r>
      <w:r>
        <w:rPr>
          <w:rFonts w:eastAsia="Calibri" w:cs="Arial" w:ascii="Arial" w:hAnsi="Arial"/>
          <w:i/>
          <w:iCs/>
          <w:color w:val="262626"/>
          <w:kern w:val="0"/>
          <w:sz w:val="20"/>
          <w:szCs w:val="20"/>
        </w:rPr>
        <w:t>the</w:t>
      </w:r>
      <w:r>
        <w:rPr>
          <w:rFonts w:eastAsia="Calibri" w:cs="Arial" w:ascii="Arial" w:hAnsi="Arial"/>
          <w:i/>
          <w:iCs/>
          <w:color w:val="262626"/>
          <w:spacing w:val="-3"/>
          <w:kern w:val="0"/>
          <w:sz w:val="20"/>
          <w:szCs w:val="20"/>
        </w:rPr>
        <w:t xml:space="preserve"> </w:t>
      </w:r>
      <w:r>
        <w:rPr>
          <w:rFonts w:eastAsia="Calibri" w:cs="Arial" w:ascii="Arial" w:hAnsi="Arial"/>
          <w:i/>
          <w:iCs/>
          <w:color w:val="262626"/>
          <w:kern w:val="0"/>
          <w:sz w:val="20"/>
          <w:szCs w:val="20"/>
        </w:rPr>
        <w:t>records</w:t>
      </w:r>
      <w:r>
        <w:rPr>
          <w:rFonts w:eastAsia="Calibri" w:cs="Arial" w:ascii="Arial" w:hAnsi="Arial"/>
          <w:i/>
          <w:iCs/>
          <w:color w:val="262626"/>
          <w:spacing w:val="-2"/>
          <w:kern w:val="0"/>
          <w:sz w:val="20"/>
          <w:szCs w:val="20"/>
        </w:rPr>
        <w:t xml:space="preserve"> </w:t>
      </w:r>
      <w:r>
        <w:rPr>
          <w:rFonts w:eastAsia="Calibri" w:cs="Arial" w:ascii="Arial" w:hAnsi="Arial"/>
          <w:i/>
          <w:iCs/>
          <w:color w:val="262626"/>
          <w:kern w:val="0"/>
          <w:sz w:val="20"/>
          <w:szCs w:val="20"/>
        </w:rPr>
        <w:t>with</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which</w:t>
      </w:r>
      <w:r>
        <w:rPr>
          <w:rFonts w:eastAsia="Calibri" w:cs="Arial" w:ascii="Arial" w:hAnsi="Arial"/>
          <w:i/>
          <w:iCs/>
          <w:color w:val="262626"/>
          <w:spacing w:val="2"/>
          <w:kern w:val="0"/>
          <w:sz w:val="20"/>
          <w:szCs w:val="20"/>
        </w:rPr>
        <w:t xml:space="preserve"> </w:t>
      </w:r>
      <w:r>
        <w:rPr>
          <w:rFonts w:eastAsia="Calibri" w:cs="Arial" w:ascii="Arial" w:hAnsi="Arial"/>
          <w:i/>
          <w:iCs/>
          <w:color w:val="262626"/>
          <w:kern w:val="0"/>
          <w:sz w:val="20"/>
          <w:szCs w:val="20"/>
        </w:rPr>
        <w:t>you work.</w:t>
      </w:r>
    </w:p>
    <w:p>
      <w:pPr>
        <w:pStyle w:val="Normal"/>
        <w:widowControl w:val="false"/>
        <w:suppressAutoHyphens w:val="true"/>
        <w:spacing w:lineRule="auto" w:line="360" w:before="0" w:after="240"/>
        <w:rPr/>
      </w:pPr>
      <w:r>
        <w:rPr>
          <w:rFonts w:eastAsia="Calibri" w:cs="Arial" w:ascii="Arial" w:hAnsi="Arial"/>
          <w:b/>
          <w:bCs/>
          <w:i/>
          <w:iCs/>
          <w:color w:val="262626"/>
          <w:spacing w:val="-1"/>
          <w:kern w:val="0"/>
          <w:sz w:val="20"/>
          <w:szCs w:val="20"/>
        </w:rPr>
        <w:t>Confidentiality</w:t>
      </w:r>
      <w:r>
        <w:rPr>
          <w:rFonts w:eastAsia="Calibri" w:cs="Arial" w:ascii="Arial" w:hAnsi="Arial"/>
          <w:b/>
          <w:bCs/>
          <w:i/>
          <w:iCs/>
          <w:color w:val="262626"/>
          <w:spacing w:val="-15"/>
          <w:kern w:val="0"/>
          <w:sz w:val="20"/>
          <w:szCs w:val="20"/>
        </w:rPr>
        <w:t xml:space="preserve"> </w:t>
      </w:r>
      <w:r>
        <w:rPr>
          <w:rFonts w:eastAsia="Calibri" w:cs="Arial" w:ascii="Arial" w:hAnsi="Arial"/>
          <w:b/>
          <w:bCs/>
          <w:i/>
          <w:iCs/>
          <w:color w:val="262626"/>
          <w:kern w:val="0"/>
          <w:sz w:val="20"/>
          <w:szCs w:val="20"/>
        </w:rPr>
        <w:t>and</w:t>
      </w:r>
      <w:r>
        <w:rPr>
          <w:rFonts w:eastAsia="Calibri" w:cs="Arial" w:ascii="Arial" w:hAnsi="Arial"/>
          <w:b/>
          <w:bCs/>
          <w:i/>
          <w:iCs/>
          <w:color w:val="262626"/>
          <w:spacing w:val="-12"/>
          <w:kern w:val="0"/>
          <w:sz w:val="20"/>
          <w:szCs w:val="20"/>
        </w:rPr>
        <w:t xml:space="preserve"> </w:t>
      </w:r>
      <w:r>
        <w:rPr>
          <w:rFonts w:eastAsia="Calibri" w:cs="Arial" w:ascii="Arial" w:hAnsi="Arial"/>
          <w:b/>
          <w:bCs/>
          <w:i/>
          <w:iCs/>
          <w:color w:val="262626"/>
          <w:kern w:val="0"/>
          <w:sz w:val="20"/>
          <w:szCs w:val="20"/>
        </w:rPr>
        <w:t>Information</w:t>
      </w:r>
      <w:r>
        <w:rPr>
          <w:rFonts w:eastAsia="Calibri" w:cs="Arial" w:ascii="Arial" w:hAnsi="Arial"/>
          <w:b/>
          <w:bCs/>
          <w:i/>
          <w:iCs/>
          <w:color w:val="262626"/>
          <w:spacing w:val="-13"/>
          <w:kern w:val="0"/>
          <w:sz w:val="20"/>
          <w:szCs w:val="20"/>
        </w:rPr>
        <w:t xml:space="preserve"> </w:t>
      </w:r>
      <w:r>
        <w:rPr>
          <w:rFonts w:eastAsia="Calibri" w:cs="Arial" w:ascii="Arial" w:hAnsi="Arial"/>
          <w:b/>
          <w:bCs/>
          <w:i/>
          <w:iCs/>
          <w:color w:val="262626"/>
          <w:kern w:val="0"/>
          <w:sz w:val="20"/>
          <w:szCs w:val="20"/>
        </w:rPr>
        <w:t>Security</w:t>
      </w:r>
      <w:r>
        <w:rPr>
          <w:rFonts w:eastAsia="Calibri" w:cs="Arial" w:ascii="Arial" w:hAnsi="Arial"/>
          <w:i/>
          <w:iCs/>
          <w:color w:val="262626"/>
          <w:spacing w:val="-16"/>
          <w:kern w:val="0"/>
          <w:sz w:val="20"/>
          <w:szCs w:val="20"/>
        </w:rPr>
        <w:t xml:space="preserve"> </w:t>
      </w:r>
      <w:r>
        <w:rPr>
          <w:rFonts w:eastAsia="Calibri" w:cs="Arial" w:ascii="Arial" w:hAnsi="Arial"/>
          <w:i/>
          <w:iCs/>
          <w:color w:val="262626"/>
          <w:kern w:val="0"/>
          <w:sz w:val="20"/>
          <w:szCs w:val="20"/>
        </w:rPr>
        <w:t>-</w:t>
      </w:r>
      <w:r>
        <w:rPr>
          <w:rFonts w:eastAsia="Calibri" w:cs="Arial" w:ascii="Arial" w:hAnsi="Arial"/>
          <w:i/>
          <w:iCs/>
          <w:color w:val="262626"/>
          <w:spacing w:val="-10"/>
          <w:kern w:val="0"/>
          <w:sz w:val="20"/>
          <w:szCs w:val="20"/>
        </w:rPr>
        <w:t xml:space="preserve"> </w:t>
      </w:r>
      <w:r>
        <w:rPr>
          <w:rFonts w:eastAsia="Calibri" w:cs="Arial" w:ascii="Arial" w:hAnsi="Arial"/>
          <w:i/>
          <w:iCs/>
          <w:color w:val="262626"/>
          <w:kern w:val="0"/>
          <w:sz w:val="20"/>
          <w:szCs w:val="20"/>
        </w:rPr>
        <w:t>As</w:t>
      </w:r>
      <w:r>
        <w:rPr>
          <w:rFonts w:eastAsia="Calibri" w:cs="Arial" w:ascii="Arial" w:hAnsi="Arial"/>
          <w:i/>
          <w:iCs/>
          <w:color w:val="262626"/>
          <w:spacing w:val="-11"/>
          <w:kern w:val="0"/>
          <w:sz w:val="20"/>
          <w:szCs w:val="20"/>
        </w:rPr>
        <w:t xml:space="preserve"> </w:t>
      </w:r>
      <w:r>
        <w:rPr>
          <w:rFonts w:eastAsia="Calibri" w:cs="Arial" w:ascii="Arial" w:hAnsi="Arial"/>
          <w:i/>
          <w:iCs/>
          <w:color w:val="262626"/>
          <w:kern w:val="0"/>
          <w:sz w:val="20"/>
          <w:szCs w:val="20"/>
        </w:rPr>
        <w:t>a</w:t>
      </w:r>
      <w:r>
        <w:rPr>
          <w:rFonts w:eastAsia="Calibri" w:cs="Arial" w:ascii="Arial" w:hAnsi="Arial"/>
          <w:i/>
          <w:iCs/>
          <w:color w:val="262626"/>
          <w:spacing w:val="-16"/>
          <w:kern w:val="0"/>
          <w:sz w:val="20"/>
          <w:szCs w:val="20"/>
        </w:rPr>
        <w:t xml:space="preserve"> </w:t>
      </w:r>
      <w:r>
        <w:rPr>
          <w:rFonts w:eastAsia="Calibri" w:cs="Arial" w:ascii="Arial" w:hAnsi="Arial"/>
          <w:i/>
          <w:iCs/>
          <w:color w:val="262626"/>
          <w:kern w:val="0"/>
          <w:sz w:val="20"/>
          <w:szCs w:val="20"/>
        </w:rPr>
        <w:t>GMCA</w:t>
      </w:r>
      <w:r>
        <w:rPr>
          <w:rFonts w:eastAsia="Calibri" w:cs="Arial" w:ascii="Arial" w:hAnsi="Arial"/>
          <w:i/>
          <w:iCs/>
          <w:color w:val="262626"/>
          <w:spacing w:val="-11"/>
          <w:kern w:val="0"/>
          <w:sz w:val="20"/>
          <w:szCs w:val="20"/>
        </w:rPr>
        <w:t xml:space="preserve"> </w:t>
      </w:r>
      <w:r>
        <w:rPr>
          <w:rFonts w:eastAsia="Calibri" w:cs="Arial" w:ascii="Arial" w:hAnsi="Arial"/>
          <w:i/>
          <w:iCs/>
          <w:color w:val="262626"/>
          <w:kern w:val="0"/>
          <w:sz w:val="20"/>
          <w:szCs w:val="20"/>
        </w:rPr>
        <w:t>employee</w:t>
      </w:r>
      <w:r>
        <w:rPr>
          <w:rFonts w:eastAsia="Calibri" w:cs="Arial" w:ascii="Arial" w:hAnsi="Arial"/>
          <w:i/>
          <w:iCs/>
          <w:color w:val="262626"/>
          <w:spacing w:val="-12"/>
          <w:kern w:val="0"/>
          <w:sz w:val="20"/>
          <w:szCs w:val="20"/>
        </w:rPr>
        <w:t xml:space="preserve"> </w:t>
      </w:r>
      <w:r>
        <w:rPr>
          <w:rFonts w:eastAsia="Calibri" w:cs="Arial" w:ascii="Arial" w:hAnsi="Arial"/>
          <w:i/>
          <w:iCs/>
          <w:color w:val="262626"/>
          <w:kern w:val="0"/>
          <w:sz w:val="20"/>
          <w:szCs w:val="20"/>
        </w:rPr>
        <w:t>you</w:t>
      </w:r>
      <w:r>
        <w:rPr>
          <w:rFonts w:eastAsia="Calibri" w:cs="Arial" w:ascii="Arial" w:hAnsi="Arial"/>
          <w:i/>
          <w:iCs/>
          <w:color w:val="262626"/>
          <w:spacing w:val="-12"/>
          <w:kern w:val="0"/>
          <w:sz w:val="20"/>
          <w:szCs w:val="20"/>
        </w:rPr>
        <w:t xml:space="preserve"> </w:t>
      </w:r>
      <w:r>
        <w:rPr>
          <w:rFonts w:eastAsia="Calibri" w:cs="Arial" w:ascii="Arial" w:hAnsi="Arial"/>
          <w:i/>
          <w:iCs/>
          <w:color w:val="262626"/>
          <w:kern w:val="0"/>
          <w:sz w:val="20"/>
          <w:szCs w:val="20"/>
        </w:rPr>
        <w:t>are</w:t>
      </w:r>
      <w:r>
        <w:rPr>
          <w:rFonts w:eastAsia="Calibri" w:cs="Arial" w:ascii="Arial" w:hAnsi="Arial"/>
          <w:i/>
          <w:iCs/>
          <w:color w:val="262626"/>
          <w:spacing w:val="-11"/>
          <w:kern w:val="0"/>
          <w:sz w:val="20"/>
          <w:szCs w:val="20"/>
        </w:rPr>
        <w:t xml:space="preserve"> </w:t>
      </w:r>
      <w:r>
        <w:rPr>
          <w:rFonts w:eastAsia="Calibri" w:cs="Arial" w:ascii="Arial" w:hAnsi="Arial"/>
          <w:i/>
          <w:iCs/>
          <w:color w:val="262626"/>
          <w:kern w:val="0"/>
          <w:sz w:val="20"/>
          <w:szCs w:val="20"/>
        </w:rPr>
        <w:t>required</w:t>
      </w:r>
      <w:r>
        <w:rPr>
          <w:rFonts w:eastAsia="Calibri" w:cs="Arial" w:ascii="Arial" w:hAnsi="Arial"/>
          <w:i/>
          <w:iCs/>
          <w:color w:val="262626"/>
          <w:spacing w:val="-15"/>
          <w:kern w:val="0"/>
          <w:sz w:val="20"/>
          <w:szCs w:val="20"/>
        </w:rPr>
        <w:t xml:space="preserve"> </w:t>
      </w:r>
      <w:r>
        <w:rPr>
          <w:rFonts w:eastAsia="Calibri" w:cs="Arial" w:ascii="Arial" w:hAnsi="Arial"/>
          <w:i/>
          <w:iCs/>
          <w:color w:val="262626"/>
          <w:kern w:val="0"/>
          <w:sz w:val="20"/>
          <w:szCs w:val="20"/>
        </w:rPr>
        <w:t>to</w:t>
      </w:r>
      <w:r>
        <w:rPr>
          <w:rFonts w:eastAsia="Calibri" w:cs="Arial" w:ascii="Arial" w:hAnsi="Arial"/>
          <w:i/>
          <w:iCs/>
          <w:color w:val="262626"/>
          <w:spacing w:val="-12"/>
          <w:kern w:val="0"/>
          <w:sz w:val="20"/>
          <w:szCs w:val="20"/>
        </w:rPr>
        <w:t xml:space="preserve"> </w:t>
      </w:r>
      <w:r>
        <w:rPr>
          <w:rFonts w:eastAsia="Calibri" w:cs="Arial" w:ascii="Arial" w:hAnsi="Arial"/>
          <w:i/>
          <w:iCs/>
          <w:color w:val="262626"/>
          <w:kern w:val="0"/>
          <w:sz w:val="20"/>
          <w:szCs w:val="20"/>
        </w:rPr>
        <w:t>uphold</w:t>
      </w:r>
      <w:r>
        <w:rPr>
          <w:rFonts w:eastAsia="Calibri" w:cs="Arial" w:ascii="Arial" w:hAnsi="Arial"/>
          <w:i/>
          <w:iCs/>
          <w:color w:val="262626"/>
          <w:spacing w:val="-58"/>
          <w:kern w:val="0"/>
          <w:sz w:val="20"/>
          <w:szCs w:val="20"/>
        </w:rPr>
        <w:t xml:space="preserve"> </w:t>
      </w:r>
      <w:r>
        <w:rPr>
          <w:rFonts w:eastAsia="Calibri" w:cs="Arial" w:ascii="Arial" w:hAnsi="Arial"/>
          <w:i/>
          <w:iCs/>
          <w:color w:val="262626"/>
          <w:kern w:val="0"/>
          <w:sz w:val="20"/>
          <w:szCs w:val="20"/>
        </w:rPr>
        <w:t>the confidentiality of all records held by the GMCA, whether employee records or GMCA</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information.</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This</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duty</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lasts</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indefinitely</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and</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will</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continue</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after</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you</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leave</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the</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GMCA</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employment. All employees must maintain confidentiality and abide by the Data Protection</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Act.</w:t>
      </w:r>
    </w:p>
    <w:p>
      <w:pPr>
        <w:pStyle w:val="Normal"/>
        <w:widowControl w:val="false"/>
        <w:suppressAutoHyphens w:val="true"/>
        <w:spacing w:lineRule="auto" w:line="360" w:before="0" w:after="240"/>
        <w:rPr/>
      </w:pPr>
      <w:r>
        <w:rPr>
          <w:rFonts w:eastAsia="Calibri" w:cs="Arial" w:ascii="Arial" w:hAnsi="Arial"/>
          <w:b/>
          <w:bCs/>
          <w:i/>
          <w:iCs/>
          <w:color w:val="262626"/>
          <w:kern w:val="0"/>
          <w:sz w:val="20"/>
          <w:szCs w:val="20"/>
        </w:rPr>
        <w:t>Data</w:t>
      </w:r>
      <w:r>
        <w:rPr>
          <w:rFonts w:eastAsia="Calibri" w:cs="Arial" w:ascii="Arial" w:hAnsi="Arial"/>
          <w:b/>
          <w:bCs/>
          <w:i/>
          <w:iCs/>
          <w:color w:val="262626"/>
          <w:spacing w:val="1"/>
          <w:kern w:val="0"/>
          <w:sz w:val="20"/>
          <w:szCs w:val="20"/>
        </w:rPr>
        <w:t xml:space="preserve"> </w:t>
      </w:r>
      <w:r>
        <w:rPr>
          <w:rFonts w:eastAsia="Calibri" w:cs="Arial" w:ascii="Arial" w:hAnsi="Arial"/>
          <w:b/>
          <w:bCs/>
          <w:i/>
          <w:iCs/>
          <w:color w:val="262626"/>
          <w:kern w:val="0"/>
          <w:sz w:val="20"/>
          <w:szCs w:val="20"/>
        </w:rPr>
        <w:t>Quality</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All</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staff</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are</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personally</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responsible</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for</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the</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quality</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of</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data</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entered</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by</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themselves, or on their behalf, on GMCAs computerised systems or manual records (paper</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records) and must ensure that such data is entered accurately and, in a timely manner, to</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ensure high</w:t>
      </w:r>
      <w:r>
        <w:rPr>
          <w:rFonts w:eastAsia="Calibri" w:cs="Arial" w:ascii="Arial" w:hAnsi="Arial"/>
          <w:i/>
          <w:iCs/>
          <w:color w:val="262626"/>
          <w:spacing w:val="-3"/>
          <w:kern w:val="0"/>
          <w:sz w:val="20"/>
          <w:szCs w:val="20"/>
        </w:rPr>
        <w:t xml:space="preserve"> </w:t>
      </w:r>
      <w:r>
        <w:rPr>
          <w:rFonts w:eastAsia="Calibri" w:cs="Arial" w:ascii="Arial" w:hAnsi="Arial"/>
          <w:i/>
          <w:iCs/>
          <w:color w:val="262626"/>
          <w:kern w:val="0"/>
          <w:sz w:val="20"/>
          <w:szCs w:val="20"/>
        </w:rPr>
        <w:t>standards of data</w:t>
      </w:r>
      <w:r>
        <w:rPr>
          <w:rFonts w:eastAsia="Calibri" w:cs="Arial" w:ascii="Arial" w:hAnsi="Arial"/>
          <w:i/>
          <w:iCs/>
          <w:color w:val="262626"/>
          <w:spacing w:val="-5"/>
          <w:kern w:val="0"/>
          <w:sz w:val="20"/>
          <w:szCs w:val="20"/>
        </w:rPr>
        <w:t xml:space="preserve"> </w:t>
      </w:r>
      <w:r>
        <w:rPr>
          <w:rFonts w:eastAsia="Calibri" w:cs="Arial" w:ascii="Arial" w:hAnsi="Arial"/>
          <w:i/>
          <w:iCs/>
          <w:color w:val="262626"/>
          <w:kern w:val="0"/>
          <w:sz w:val="20"/>
          <w:szCs w:val="20"/>
        </w:rPr>
        <w:t>quality</w:t>
      </w:r>
      <w:r>
        <w:rPr>
          <w:rFonts w:eastAsia="Calibri" w:cs="Arial" w:ascii="Arial" w:hAnsi="Arial"/>
          <w:i/>
          <w:iCs/>
          <w:color w:val="262626"/>
          <w:spacing w:val="-2"/>
          <w:kern w:val="0"/>
          <w:sz w:val="20"/>
          <w:szCs w:val="20"/>
        </w:rPr>
        <w:t xml:space="preserve"> </w:t>
      </w:r>
      <w:r>
        <w:rPr>
          <w:rFonts w:eastAsia="Calibri" w:cs="Arial" w:ascii="Arial" w:hAnsi="Arial"/>
          <w:i/>
          <w:iCs/>
          <w:color w:val="262626"/>
          <w:kern w:val="0"/>
          <w:sz w:val="20"/>
          <w:szCs w:val="20"/>
        </w:rPr>
        <w:t>in accordance with Departmental protocols. To ensure data is handled in a secure manner protecting the confidentiality of any personal</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data</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held in</w:t>
      </w:r>
      <w:r>
        <w:rPr>
          <w:rFonts w:eastAsia="Calibri" w:cs="Arial" w:ascii="Arial" w:hAnsi="Arial"/>
          <w:i/>
          <w:iCs/>
          <w:color w:val="262626"/>
          <w:spacing w:val="-2"/>
          <w:kern w:val="0"/>
          <w:sz w:val="20"/>
          <w:szCs w:val="20"/>
        </w:rPr>
        <w:t xml:space="preserve"> </w:t>
      </w:r>
      <w:r>
        <w:rPr>
          <w:rFonts w:eastAsia="Calibri" w:cs="Arial" w:ascii="Arial" w:hAnsi="Arial"/>
          <w:i/>
          <w:iCs/>
          <w:color w:val="262626"/>
          <w:kern w:val="0"/>
          <w:sz w:val="20"/>
          <w:szCs w:val="20"/>
        </w:rPr>
        <w:t>meeting</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the</w:t>
      </w:r>
      <w:r>
        <w:rPr>
          <w:rFonts w:eastAsia="Calibri" w:cs="Arial" w:ascii="Arial" w:hAnsi="Arial"/>
          <w:i/>
          <w:iCs/>
          <w:color w:val="262626"/>
          <w:spacing w:val="-4"/>
          <w:kern w:val="0"/>
          <w:sz w:val="20"/>
          <w:szCs w:val="20"/>
        </w:rPr>
        <w:t xml:space="preserve"> </w:t>
      </w:r>
      <w:r>
        <w:rPr>
          <w:rFonts w:eastAsia="Calibri" w:cs="Arial" w:ascii="Arial" w:hAnsi="Arial"/>
          <w:i/>
          <w:iCs/>
          <w:color w:val="262626"/>
          <w:kern w:val="0"/>
          <w:sz w:val="20"/>
          <w:szCs w:val="20"/>
        </w:rPr>
        <w:t>requirements</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of</w:t>
      </w:r>
      <w:r>
        <w:rPr>
          <w:rFonts w:eastAsia="Calibri" w:cs="Arial" w:ascii="Arial" w:hAnsi="Arial"/>
          <w:i/>
          <w:iCs/>
          <w:color w:val="262626"/>
          <w:spacing w:val="2"/>
          <w:kern w:val="0"/>
          <w:sz w:val="20"/>
          <w:szCs w:val="20"/>
        </w:rPr>
        <w:t xml:space="preserve"> </w:t>
      </w:r>
      <w:r>
        <w:rPr>
          <w:rFonts w:eastAsia="Calibri" w:cs="Arial" w:ascii="Arial" w:hAnsi="Arial"/>
          <w:i/>
          <w:iCs/>
          <w:color w:val="262626"/>
          <w:kern w:val="0"/>
          <w:sz w:val="20"/>
          <w:szCs w:val="20"/>
        </w:rPr>
        <w:t>the</w:t>
      </w:r>
      <w:r>
        <w:rPr>
          <w:rFonts w:eastAsia="Calibri" w:cs="Arial" w:ascii="Arial" w:hAnsi="Arial"/>
          <w:i/>
          <w:iCs/>
          <w:color w:val="262626"/>
          <w:spacing w:val="-3"/>
          <w:kern w:val="0"/>
          <w:sz w:val="20"/>
          <w:szCs w:val="20"/>
        </w:rPr>
        <w:t xml:space="preserve"> </w:t>
      </w:r>
      <w:r>
        <w:rPr>
          <w:rFonts w:eastAsia="Calibri" w:cs="Arial" w:ascii="Arial" w:hAnsi="Arial"/>
          <w:i/>
          <w:iCs/>
          <w:color w:val="262626"/>
          <w:kern w:val="0"/>
          <w:sz w:val="20"/>
          <w:szCs w:val="20"/>
        </w:rPr>
        <w:t>Data</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Protection</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Act.</w:t>
      </w:r>
    </w:p>
    <w:p>
      <w:pPr>
        <w:pStyle w:val="Normal"/>
        <w:widowControl w:val="false"/>
        <w:suppressAutoHyphens w:val="true"/>
        <w:spacing w:lineRule="auto" w:line="360" w:before="0" w:after="240"/>
        <w:rPr/>
      </w:pPr>
      <w:r>
        <w:rPr>
          <w:rFonts w:eastAsia="Calibri" w:cs="Arial" w:ascii="Arial" w:hAnsi="Arial"/>
          <w:b/>
          <w:bCs/>
          <w:i/>
          <w:iCs/>
          <w:color w:val="262626"/>
          <w:kern w:val="0"/>
          <w:sz w:val="20"/>
          <w:szCs w:val="20"/>
        </w:rPr>
        <w:t>Health and Safety</w:t>
      </w:r>
      <w:r>
        <w:rPr>
          <w:rFonts w:eastAsia="Calibri" w:cs="Arial" w:ascii="Arial" w:hAnsi="Arial"/>
          <w:i/>
          <w:iCs/>
          <w:color w:val="262626"/>
          <w:kern w:val="0"/>
          <w:sz w:val="20"/>
          <w:szCs w:val="20"/>
        </w:rPr>
        <w:t xml:space="preserve"> - All employees of GMCA have a statutory duty of care for their own</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personal</w:t>
      </w:r>
      <w:r>
        <w:rPr>
          <w:rFonts w:eastAsia="Calibri" w:cs="Arial" w:ascii="Arial" w:hAnsi="Arial"/>
          <w:i/>
          <w:iCs/>
          <w:color w:val="262626"/>
          <w:spacing w:val="-9"/>
          <w:kern w:val="0"/>
          <w:sz w:val="20"/>
          <w:szCs w:val="20"/>
        </w:rPr>
        <w:t xml:space="preserve"> </w:t>
      </w:r>
      <w:r>
        <w:rPr>
          <w:rFonts w:eastAsia="Calibri" w:cs="Arial" w:ascii="Arial" w:hAnsi="Arial"/>
          <w:i/>
          <w:iCs/>
          <w:color w:val="262626"/>
          <w:kern w:val="0"/>
          <w:sz w:val="20"/>
          <w:szCs w:val="20"/>
        </w:rPr>
        <w:t>safety</w:t>
      </w:r>
      <w:r>
        <w:rPr>
          <w:rFonts w:eastAsia="Calibri" w:cs="Arial" w:ascii="Arial" w:hAnsi="Arial"/>
          <w:i/>
          <w:iCs/>
          <w:color w:val="262626"/>
          <w:spacing w:val="-9"/>
          <w:kern w:val="0"/>
          <w:sz w:val="20"/>
          <w:szCs w:val="20"/>
        </w:rPr>
        <w:t xml:space="preserve"> </w:t>
      </w:r>
      <w:r>
        <w:rPr>
          <w:rFonts w:eastAsia="Calibri" w:cs="Arial" w:ascii="Arial" w:hAnsi="Arial"/>
          <w:i/>
          <w:iCs/>
          <w:color w:val="262626"/>
          <w:kern w:val="0"/>
          <w:sz w:val="20"/>
          <w:szCs w:val="20"/>
        </w:rPr>
        <w:t>and</w:t>
      </w:r>
      <w:r>
        <w:rPr>
          <w:rFonts w:eastAsia="Calibri" w:cs="Arial" w:ascii="Arial" w:hAnsi="Arial"/>
          <w:i/>
          <w:iCs/>
          <w:color w:val="262626"/>
          <w:spacing w:val="-8"/>
          <w:kern w:val="0"/>
          <w:sz w:val="20"/>
          <w:szCs w:val="20"/>
        </w:rPr>
        <w:t xml:space="preserve"> </w:t>
      </w:r>
      <w:r>
        <w:rPr>
          <w:rFonts w:eastAsia="Calibri" w:cs="Arial" w:ascii="Arial" w:hAnsi="Arial"/>
          <w:i/>
          <w:iCs/>
          <w:color w:val="262626"/>
          <w:kern w:val="0"/>
          <w:sz w:val="20"/>
          <w:szCs w:val="20"/>
        </w:rPr>
        <w:t>that</w:t>
      </w:r>
      <w:r>
        <w:rPr>
          <w:rFonts w:eastAsia="Calibri" w:cs="Arial" w:ascii="Arial" w:hAnsi="Arial"/>
          <w:i/>
          <w:iCs/>
          <w:color w:val="262626"/>
          <w:spacing w:val="-9"/>
          <w:kern w:val="0"/>
          <w:sz w:val="20"/>
          <w:szCs w:val="20"/>
        </w:rPr>
        <w:t xml:space="preserve"> </w:t>
      </w:r>
      <w:r>
        <w:rPr>
          <w:rFonts w:eastAsia="Calibri" w:cs="Arial" w:ascii="Arial" w:hAnsi="Arial"/>
          <w:i/>
          <w:iCs/>
          <w:color w:val="262626"/>
          <w:kern w:val="0"/>
          <w:sz w:val="20"/>
          <w:szCs w:val="20"/>
        </w:rPr>
        <w:t>of</w:t>
      </w:r>
      <w:r>
        <w:rPr>
          <w:rFonts w:eastAsia="Calibri" w:cs="Arial" w:ascii="Arial" w:hAnsi="Arial"/>
          <w:i/>
          <w:iCs/>
          <w:color w:val="262626"/>
          <w:spacing w:val="-3"/>
          <w:kern w:val="0"/>
          <w:sz w:val="20"/>
          <w:szCs w:val="20"/>
        </w:rPr>
        <w:t xml:space="preserve"> </w:t>
      </w:r>
      <w:r>
        <w:rPr>
          <w:rFonts w:eastAsia="Calibri" w:cs="Arial" w:ascii="Arial" w:hAnsi="Arial"/>
          <w:i/>
          <w:iCs/>
          <w:color w:val="262626"/>
          <w:kern w:val="0"/>
          <w:sz w:val="20"/>
          <w:szCs w:val="20"/>
        </w:rPr>
        <w:t>others</w:t>
      </w:r>
      <w:r>
        <w:rPr>
          <w:rFonts w:eastAsia="Calibri" w:cs="Arial" w:ascii="Arial" w:hAnsi="Arial"/>
          <w:i/>
          <w:iCs/>
          <w:color w:val="262626"/>
          <w:spacing w:val="-7"/>
          <w:kern w:val="0"/>
          <w:sz w:val="20"/>
          <w:szCs w:val="20"/>
        </w:rPr>
        <w:t xml:space="preserve"> </w:t>
      </w:r>
      <w:r>
        <w:rPr>
          <w:rFonts w:eastAsia="Calibri" w:cs="Arial" w:ascii="Arial" w:hAnsi="Arial"/>
          <w:i/>
          <w:iCs/>
          <w:color w:val="262626"/>
          <w:kern w:val="0"/>
          <w:sz w:val="20"/>
          <w:szCs w:val="20"/>
        </w:rPr>
        <w:t>who</w:t>
      </w:r>
      <w:r>
        <w:rPr>
          <w:rFonts w:eastAsia="Calibri" w:cs="Arial" w:ascii="Arial" w:hAnsi="Arial"/>
          <w:i/>
          <w:iCs/>
          <w:color w:val="262626"/>
          <w:spacing w:val="-7"/>
          <w:kern w:val="0"/>
          <w:sz w:val="20"/>
          <w:szCs w:val="20"/>
        </w:rPr>
        <w:t xml:space="preserve"> </w:t>
      </w:r>
      <w:r>
        <w:rPr>
          <w:rFonts w:eastAsia="Calibri" w:cs="Arial" w:ascii="Arial" w:hAnsi="Arial"/>
          <w:i/>
          <w:iCs/>
          <w:color w:val="262626"/>
          <w:kern w:val="0"/>
          <w:sz w:val="20"/>
          <w:szCs w:val="20"/>
        </w:rPr>
        <w:t>may</w:t>
      </w:r>
      <w:r>
        <w:rPr>
          <w:rFonts w:eastAsia="Calibri" w:cs="Arial" w:ascii="Arial" w:hAnsi="Arial"/>
          <w:i/>
          <w:iCs/>
          <w:color w:val="262626"/>
          <w:spacing w:val="-10"/>
          <w:kern w:val="0"/>
          <w:sz w:val="20"/>
          <w:szCs w:val="20"/>
        </w:rPr>
        <w:t xml:space="preserve"> </w:t>
      </w:r>
      <w:r>
        <w:rPr>
          <w:rFonts w:eastAsia="Calibri" w:cs="Arial" w:ascii="Arial" w:hAnsi="Arial"/>
          <w:i/>
          <w:iCs/>
          <w:color w:val="262626"/>
          <w:kern w:val="0"/>
          <w:sz w:val="20"/>
          <w:szCs w:val="20"/>
        </w:rPr>
        <w:t>be</w:t>
      </w:r>
      <w:r>
        <w:rPr>
          <w:rFonts w:eastAsia="Calibri" w:cs="Arial" w:ascii="Arial" w:hAnsi="Arial"/>
          <w:i/>
          <w:iCs/>
          <w:color w:val="262626"/>
          <w:spacing w:val="-8"/>
          <w:kern w:val="0"/>
          <w:sz w:val="20"/>
          <w:szCs w:val="20"/>
        </w:rPr>
        <w:t xml:space="preserve"> </w:t>
      </w:r>
      <w:r>
        <w:rPr>
          <w:rFonts w:eastAsia="Calibri" w:cs="Arial" w:ascii="Arial" w:hAnsi="Arial"/>
          <w:i/>
          <w:iCs/>
          <w:color w:val="262626"/>
          <w:kern w:val="0"/>
          <w:sz w:val="20"/>
          <w:szCs w:val="20"/>
        </w:rPr>
        <w:t>affected</w:t>
      </w:r>
      <w:r>
        <w:rPr>
          <w:rFonts w:eastAsia="Calibri" w:cs="Arial" w:ascii="Arial" w:hAnsi="Arial"/>
          <w:i/>
          <w:iCs/>
          <w:color w:val="262626"/>
          <w:spacing w:val="-7"/>
          <w:kern w:val="0"/>
          <w:sz w:val="20"/>
          <w:szCs w:val="20"/>
        </w:rPr>
        <w:t xml:space="preserve"> </w:t>
      </w:r>
      <w:r>
        <w:rPr>
          <w:rFonts w:eastAsia="Calibri" w:cs="Arial" w:ascii="Arial" w:hAnsi="Arial"/>
          <w:i/>
          <w:iCs/>
          <w:color w:val="262626"/>
          <w:kern w:val="0"/>
          <w:sz w:val="20"/>
          <w:szCs w:val="20"/>
        </w:rPr>
        <w:t>by</w:t>
      </w:r>
      <w:r>
        <w:rPr>
          <w:rFonts w:eastAsia="Calibri" w:cs="Arial" w:ascii="Arial" w:hAnsi="Arial"/>
          <w:i/>
          <w:iCs/>
          <w:color w:val="262626"/>
          <w:spacing w:val="-10"/>
          <w:kern w:val="0"/>
          <w:sz w:val="20"/>
          <w:szCs w:val="20"/>
        </w:rPr>
        <w:t xml:space="preserve"> </w:t>
      </w:r>
      <w:r>
        <w:rPr>
          <w:rFonts w:eastAsia="Calibri" w:cs="Arial" w:ascii="Arial" w:hAnsi="Arial"/>
          <w:i/>
          <w:iCs/>
          <w:color w:val="262626"/>
          <w:kern w:val="0"/>
          <w:sz w:val="20"/>
          <w:szCs w:val="20"/>
        </w:rPr>
        <w:t>their</w:t>
      </w:r>
      <w:r>
        <w:rPr>
          <w:rFonts w:eastAsia="Calibri" w:cs="Arial" w:ascii="Arial" w:hAnsi="Arial"/>
          <w:i/>
          <w:iCs/>
          <w:color w:val="262626"/>
          <w:spacing w:val="-6"/>
          <w:kern w:val="0"/>
          <w:sz w:val="20"/>
          <w:szCs w:val="20"/>
        </w:rPr>
        <w:t xml:space="preserve"> </w:t>
      </w:r>
      <w:r>
        <w:rPr>
          <w:rFonts w:eastAsia="Calibri" w:cs="Arial" w:ascii="Arial" w:hAnsi="Arial"/>
          <w:i/>
          <w:iCs/>
          <w:color w:val="262626"/>
          <w:kern w:val="0"/>
          <w:sz w:val="20"/>
          <w:szCs w:val="20"/>
        </w:rPr>
        <w:t>acts</w:t>
      </w:r>
      <w:r>
        <w:rPr>
          <w:rFonts w:eastAsia="Calibri" w:cs="Arial" w:ascii="Arial" w:hAnsi="Arial"/>
          <w:i/>
          <w:iCs/>
          <w:color w:val="262626"/>
          <w:spacing w:val="-7"/>
          <w:kern w:val="0"/>
          <w:sz w:val="20"/>
          <w:szCs w:val="20"/>
        </w:rPr>
        <w:t xml:space="preserve"> </w:t>
      </w:r>
      <w:r>
        <w:rPr>
          <w:rFonts w:eastAsia="Calibri" w:cs="Arial" w:ascii="Arial" w:hAnsi="Arial"/>
          <w:i/>
          <w:iCs/>
          <w:color w:val="262626"/>
          <w:kern w:val="0"/>
          <w:sz w:val="20"/>
          <w:szCs w:val="20"/>
        </w:rPr>
        <w:t>or</w:t>
      </w:r>
      <w:r>
        <w:rPr>
          <w:rFonts w:eastAsia="Calibri" w:cs="Arial" w:ascii="Arial" w:hAnsi="Arial"/>
          <w:i/>
          <w:iCs/>
          <w:color w:val="262626"/>
          <w:spacing w:val="-6"/>
          <w:kern w:val="0"/>
          <w:sz w:val="20"/>
          <w:szCs w:val="20"/>
        </w:rPr>
        <w:t xml:space="preserve"> </w:t>
      </w:r>
      <w:r>
        <w:rPr>
          <w:rFonts w:eastAsia="Calibri" w:cs="Arial" w:ascii="Arial" w:hAnsi="Arial"/>
          <w:i/>
          <w:iCs/>
          <w:color w:val="262626"/>
          <w:kern w:val="0"/>
          <w:sz w:val="20"/>
          <w:szCs w:val="20"/>
        </w:rPr>
        <w:t>omissions.</w:t>
      </w:r>
      <w:r>
        <w:rPr>
          <w:rFonts w:eastAsia="Calibri" w:cs="Arial" w:ascii="Arial" w:hAnsi="Arial"/>
          <w:i/>
          <w:iCs/>
          <w:color w:val="262626"/>
          <w:spacing w:val="-5"/>
          <w:kern w:val="0"/>
          <w:sz w:val="20"/>
          <w:szCs w:val="20"/>
        </w:rPr>
        <w:t xml:space="preserve"> </w:t>
      </w:r>
      <w:r>
        <w:rPr>
          <w:rFonts w:eastAsia="Calibri" w:cs="Arial" w:ascii="Arial" w:hAnsi="Arial"/>
          <w:i/>
          <w:iCs/>
          <w:color w:val="262626"/>
          <w:kern w:val="0"/>
          <w:sz w:val="20"/>
          <w:szCs w:val="20"/>
        </w:rPr>
        <w:t>Employees</w:t>
      </w:r>
      <w:r>
        <w:rPr>
          <w:rFonts w:eastAsia="Calibri" w:cs="Arial" w:ascii="Arial" w:hAnsi="Arial"/>
          <w:i/>
          <w:iCs/>
          <w:color w:val="262626"/>
          <w:spacing w:val="-59"/>
          <w:kern w:val="0"/>
          <w:sz w:val="20"/>
          <w:szCs w:val="20"/>
        </w:rPr>
        <w:t xml:space="preserve"> </w:t>
      </w:r>
      <w:r>
        <w:rPr>
          <w:rFonts w:eastAsia="Calibri" w:cs="Arial" w:ascii="Arial" w:hAnsi="Arial"/>
          <w:i/>
          <w:iCs/>
          <w:color w:val="262626"/>
          <w:kern w:val="0"/>
          <w:sz w:val="20"/>
          <w:szCs w:val="20"/>
        </w:rPr>
        <w:t>are required to co-operate with management to enable GMCA to meet its own legal duties</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and</w:t>
      </w:r>
      <w:r>
        <w:rPr>
          <w:rFonts w:eastAsia="Calibri" w:cs="Arial" w:ascii="Arial" w:hAnsi="Arial"/>
          <w:i/>
          <w:iCs/>
          <w:color w:val="262626"/>
          <w:spacing w:val="-5"/>
          <w:kern w:val="0"/>
          <w:sz w:val="20"/>
          <w:szCs w:val="20"/>
        </w:rPr>
        <w:t xml:space="preserve"> </w:t>
      </w:r>
      <w:r>
        <w:rPr>
          <w:rFonts w:eastAsia="Calibri" w:cs="Arial" w:ascii="Arial" w:hAnsi="Arial"/>
          <w:i/>
          <w:iCs/>
          <w:color w:val="262626"/>
          <w:kern w:val="0"/>
          <w:sz w:val="20"/>
          <w:szCs w:val="20"/>
        </w:rPr>
        <w:t>to</w:t>
      </w:r>
      <w:r>
        <w:rPr>
          <w:rFonts w:eastAsia="Calibri" w:cs="Arial" w:ascii="Arial" w:hAnsi="Arial"/>
          <w:i/>
          <w:iCs/>
          <w:color w:val="262626"/>
          <w:spacing w:val="-5"/>
          <w:kern w:val="0"/>
          <w:sz w:val="20"/>
          <w:szCs w:val="20"/>
        </w:rPr>
        <w:t xml:space="preserve"> </w:t>
      </w:r>
      <w:r>
        <w:rPr>
          <w:rFonts w:eastAsia="Calibri" w:cs="Arial" w:ascii="Arial" w:hAnsi="Arial"/>
          <w:i/>
          <w:iCs/>
          <w:color w:val="262626"/>
          <w:kern w:val="0"/>
          <w:sz w:val="20"/>
          <w:szCs w:val="20"/>
        </w:rPr>
        <w:t>report</w:t>
      </w:r>
      <w:r>
        <w:rPr>
          <w:rFonts w:eastAsia="Calibri" w:cs="Arial" w:ascii="Arial" w:hAnsi="Arial"/>
          <w:i/>
          <w:iCs/>
          <w:color w:val="262626"/>
          <w:spacing w:val="-4"/>
          <w:kern w:val="0"/>
          <w:sz w:val="20"/>
          <w:szCs w:val="20"/>
        </w:rPr>
        <w:t xml:space="preserve"> </w:t>
      </w:r>
      <w:r>
        <w:rPr>
          <w:rFonts w:eastAsia="Calibri" w:cs="Arial" w:ascii="Arial" w:hAnsi="Arial"/>
          <w:i/>
          <w:iCs/>
          <w:color w:val="262626"/>
          <w:kern w:val="0"/>
          <w:sz w:val="20"/>
          <w:szCs w:val="20"/>
        </w:rPr>
        <w:t>any</w:t>
      </w:r>
      <w:r>
        <w:rPr>
          <w:rFonts w:eastAsia="Calibri" w:cs="Arial" w:ascii="Arial" w:hAnsi="Arial"/>
          <w:i/>
          <w:iCs/>
          <w:color w:val="262626"/>
          <w:spacing w:val="-8"/>
          <w:kern w:val="0"/>
          <w:sz w:val="20"/>
          <w:szCs w:val="20"/>
        </w:rPr>
        <w:t xml:space="preserve"> </w:t>
      </w:r>
      <w:r>
        <w:rPr>
          <w:rFonts w:eastAsia="Calibri" w:cs="Arial" w:ascii="Arial" w:hAnsi="Arial"/>
          <w:i/>
          <w:iCs/>
          <w:color w:val="262626"/>
          <w:kern w:val="0"/>
          <w:sz w:val="20"/>
          <w:szCs w:val="20"/>
        </w:rPr>
        <w:t>circumstances</w:t>
      </w:r>
      <w:r>
        <w:rPr>
          <w:rFonts w:eastAsia="Calibri" w:cs="Arial" w:ascii="Arial" w:hAnsi="Arial"/>
          <w:i/>
          <w:iCs/>
          <w:color w:val="262626"/>
          <w:spacing w:val="-7"/>
          <w:kern w:val="0"/>
          <w:sz w:val="20"/>
          <w:szCs w:val="20"/>
        </w:rPr>
        <w:t xml:space="preserve"> </w:t>
      </w:r>
      <w:r>
        <w:rPr>
          <w:rFonts w:eastAsia="Calibri" w:cs="Arial" w:ascii="Arial" w:hAnsi="Arial"/>
          <w:i/>
          <w:iCs/>
          <w:color w:val="262626"/>
          <w:kern w:val="0"/>
          <w:sz w:val="20"/>
          <w:szCs w:val="20"/>
        </w:rPr>
        <w:t>that</w:t>
      </w:r>
      <w:r>
        <w:rPr>
          <w:rFonts w:eastAsia="Calibri" w:cs="Arial" w:ascii="Arial" w:hAnsi="Arial"/>
          <w:i/>
          <w:iCs/>
          <w:color w:val="262626"/>
          <w:spacing w:val="-5"/>
          <w:kern w:val="0"/>
          <w:sz w:val="20"/>
          <w:szCs w:val="20"/>
        </w:rPr>
        <w:t xml:space="preserve"> </w:t>
      </w:r>
      <w:r>
        <w:rPr>
          <w:rFonts w:eastAsia="Calibri" w:cs="Arial" w:ascii="Arial" w:hAnsi="Arial"/>
          <w:i/>
          <w:iCs/>
          <w:color w:val="262626"/>
          <w:kern w:val="0"/>
          <w:sz w:val="20"/>
          <w:szCs w:val="20"/>
        </w:rPr>
        <w:t>may</w:t>
      </w:r>
      <w:r>
        <w:rPr>
          <w:rFonts w:eastAsia="Calibri" w:cs="Arial" w:ascii="Arial" w:hAnsi="Arial"/>
          <w:i/>
          <w:iCs/>
          <w:color w:val="262626"/>
          <w:spacing w:val="-8"/>
          <w:kern w:val="0"/>
          <w:sz w:val="20"/>
          <w:szCs w:val="20"/>
        </w:rPr>
        <w:t xml:space="preserve"> </w:t>
      </w:r>
      <w:r>
        <w:rPr>
          <w:rFonts w:eastAsia="Calibri" w:cs="Arial" w:ascii="Arial" w:hAnsi="Arial"/>
          <w:i/>
          <w:iCs/>
          <w:color w:val="262626"/>
          <w:kern w:val="0"/>
          <w:sz w:val="20"/>
          <w:szCs w:val="20"/>
        </w:rPr>
        <w:t>compromise</w:t>
      </w:r>
      <w:r>
        <w:rPr>
          <w:rFonts w:eastAsia="Calibri" w:cs="Arial" w:ascii="Arial" w:hAnsi="Arial"/>
          <w:i/>
          <w:iCs/>
          <w:color w:val="262626"/>
          <w:spacing w:val="-4"/>
          <w:kern w:val="0"/>
          <w:sz w:val="20"/>
          <w:szCs w:val="20"/>
        </w:rPr>
        <w:t xml:space="preserve"> </w:t>
      </w:r>
      <w:r>
        <w:rPr>
          <w:rFonts w:eastAsia="Calibri" w:cs="Arial" w:ascii="Arial" w:hAnsi="Arial"/>
          <w:i/>
          <w:iCs/>
          <w:color w:val="262626"/>
          <w:kern w:val="0"/>
          <w:sz w:val="20"/>
          <w:szCs w:val="20"/>
        </w:rPr>
        <w:t>the</w:t>
      </w:r>
      <w:r>
        <w:rPr>
          <w:rFonts w:eastAsia="Calibri" w:cs="Arial" w:ascii="Arial" w:hAnsi="Arial"/>
          <w:i/>
          <w:iCs/>
          <w:color w:val="262626"/>
          <w:spacing w:val="-6"/>
          <w:kern w:val="0"/>
          <w:sz w:val="20"/>
          <w:szCs w:val="20"/>
        </w:rPr>
        <w:t xml:space="preserve"> </w:t>
      </w:r>
      <w:r>
        <w:rPr>
          <w:rFonts w:eastAsia="Calibri" w:cs="Arial" w:ascii="Arial" w:hAnsi="Arial"/>
          <w:i/>
          <w:iCs/>
          <w:color w:val="262626"/>
          <w:kern w:val="0"/>
          <w:sz w:val="20"/>
          <w:szCs w:val="20"/>
        </w:rPr>
        <w:t>health,</w:t>
      </w:r>
      <w:r>
        <w:rPr>
          <w:rFonts w:eastAsia="Calibri" w:cs="Arial" w:ascii="Arial" w:hAnsi="Arial"/>
          <w:i/>
          <w:iCs/>
          <w:color w:val="262626"/>
          <w:spacing w:val="-4"/>
          <w:kern w:val="0"/>
          <w:sz w:val="20"/>
          <w:szCs w:val="20"/>
        </w:rPr>
        <w:t xml:space="preserve"> </w:t>
      </w:r>
      <w:r>
        <w:rPr>
          <w:rFonts w:eastAsia="Calibri" w:cs="Arial" w:ascii="Arial" w:hAnsi="Arial"/>
          <w:i/>
          <w:iCs/>
          <w:color w:val="262626"/>
          <w:kern w:val="0"/>
          <w:sz w:val="20"/>
          <w:szCs w:val="20"/>
        </w:rPr>
        <w:t>safety</w:t>
      </w:r>
      <w:r>
        <w:rPr>
          <w:rFonts w:eastAsia="Calibri" w:cs="Arial" w:ascii="Arial" w:hAnsi="Arial"/>
          <w:i/>
          <w:iCs/>
          <w:color w:val="262626"/>
          <w:spacing w:val="-7"/>
          <w:kern w:val="0"/>
          <w:sz w:val="20"/>
          <w:szCs w:val="20"/>
        </w:rPr>
        <w:t xml:space="preserve"> </w:t>
      </w:r>
      <w:r>
        <w:rPr>
          <w:rFonts w:eastAsia="Calibri" w:cs="Arial" w:ascii="Arial" w:hAnsi="Arial"/>
          <w:i/>
          <w:iCs/>
          <w:color w:val="262626"/>
          <w:kern w:val="0"/>
          <w:sz w:val="20"/>
          <w:szCs w:val="20"/>
        </w:rPr>
        <w:t>and</w:t>
      </w:r>
      <w:r>
        <w:rPr>
          <w:rFonts w:eastAsia="Calibri" w:cs="Arial" w:ascii="Arial" w:hAnsi="Arial"/>
          <w:i/>
          <w:iCs/>
          <w:color w:val="262626"/>
          <w:spacing w:val="-5"/>
          <w:kern w:val="0"/>
          <w:sz w:val="20"/>
          <w:szCs w:val="20"/>
        </w:rPr>
        <w:t xml:space="preserve"> </w:t>
      </w:r>
      <w:r>
        <w:rPr>
          <w:rFonts w:eastAsia="Calibri" w:cs="Arial" w:ascii="Arial" w:hAnsi="Arial"/>
          <w:i/>
          <w:iCs/>
          <w:color w:val="262626"/>
          <w:kern w:val="0"/>
          <w:sz w:val="20"/>
          <w:szCs w:val="20"/>
        </w:rPr>
        <w:t>welfare</w:t>
      </w:r>
      <w:r>
        <w:rPr>
          <w:rFonts w:eastAsia="Calibri" w:cs="Arial" w:ascii="Arial" w:hAnsi="Arial"/>
          <w:i/>
          <w:iCs/>
          <w:color w:val="262626"/>
          <w:spacing w:val="-4"/>
          <w:kern w:val="0"/>
          <w:sz w:val="20"/>
          <w:szCs w:val="20"/>
        </w:rPr>
        <w:t xml:space="preserve"> </w:t>
      </w:r>
      <w:r>
        <w:rPr>
          <w:rFonts w:eastAsia="Calibri" w:cs="Arial" w:ascii="Arial" w:hAnsi="Arial"/>
          <w:i/>
          <w:iCs/>
          <w:color w:val="262626"/>
          <w:kern w:val="0"/>
          <w:sz w:val="20"/>
          <w:szCs w:val="20"/>
        </w:rPr>
        <w:t>of</w:t>
      </w:r>
      <w:r>
        <w:rPr>
          <w:rFonts w:eastAsia="Calibri" w:cs="Arial" w:ascii="Arial" w:hAnsi="Arial"/>
          <w:i/>
          <w:iCs/>
          <w:color w:val="262626"/>
          <w:spacing w:val="-4"/>
          <w:kern w:val="0"/>
          <w:sz w:val="20"/>
          <w:szCs w:val="20"/>
        </w:rPr>
        <w:t xml:space="preserve"> </w:t>
      </w:r>
      <w:r>
        <w:rPr>
          <w:rFonts w:eastAsia="Calibri" w:cs="Arial" w:ascii="Arial" w:hAnsi="Arial"/>
          <w:i/>
          <w:iCs/>
          <w:color w:val="262626"/>
          <w:kern w:val="0"/>
          <w:sz w:val="20"/>
          <w:szCs w:val="20"/>
        </w:rPr>
        <w:t>those</w:t>
      </w:r>
      <w:r>
        <w:rPr>
          <w:rFonts w:eastAsia="Calibri" w:cs="Arial" w:ascii="Arial" w:hAnsi="Arial"/>
          <w:i/>
          <w:iCs/>
          <w:color w:val="262626"/>
          <w:spacing w:val="-59"/>
          <w:kern w:val="0"/>
          <w:sz w:val="20"/>
          <w:szCs w:val="20"/>
        </w:rPr>
        <w:t xml:space="preserve"> </w:t>
      </w:r>
      <w:r>
        <w:rPr>
          <w:rFonts w:eastAsia="Calibri" w:cs="Arial" w:ascii="Arial" w:hAnsi="Arial"/>
          <w:i/>
          <w:iCs/>
          <w:color w:val="262626"/>
          <w:kern w:val="0"/>
          <w:sz w:val="20"/>
          <w:szCs w:val="20"/>
        </w:rPr>
        <w:t>affected by</w:t>
      </w:r>
      <w:r>
        <w:rPr>
          <w:rFonts w:eastAsia="Calibri" w:cs="Arial" w:ascii="Arial" w:hAnsi="Arial"/>
          <w:i/>
          <w:iCs/>
          <w:color w:val="262626"/>
          <w:spacing w:val="-4"/>
          <w:kern w:val="0"/>
          <w:sz w:val="20"/>
          <w:szCs w:val="20"/>
        </w:rPr>
        <w:t xml:space="preserve"> </w:t>
      </w:r>
      <w:r>
        <w:rPr>
          <w:rFonts w:eastAsia="Calibri" w:cs="Arial" w:ascii="Arial" w:hAnsi="Arial"/>
          <w:i/>
          <w:iCs/>
          <w:color w:val="262626"/>
          <w:kern w:val="0"/>
          <w:sz w:val="20"/>
          <w:szCs w:val="20"/>
        </w:rPr>
        <w:t>the Service’s</w:t>
      </w:r>
      <w:r>
        <w:rPr>
          <w:rFonts w:eastAsia="Calibri" w:cs="Arial" w:ascii="Arial" w:hAnsi="Arial"/>
          <w:i/>
          <w:iCs/>
          <w:color w:val="262626"/>
          <w:spacing w:val="2"/>
          <w:kern w:val="0"/>
          <w:sz w:val="20"/>
          <w:szCs w:val="20"/>
        </w:rPr>
        <w:t xml:space="preserve"> </w:t>
      </w:r>
      <w:r>
        <w:rPr>
          <w:rFonts w:eastAsia="Calibri" w:cs="Arial" w:ascii="Arial" w:hAnsi="Arial"/>
          <w:i/>
          <w:iCs/>
          <w:color w:val="262626"/>
          <w:kern w:val="0"/>
          <w:sz w:val="20"/>
          <w:szCs w:val="20"/>
        </w:rPr>
        <w:t>undertakings.</w:t>
      </w:r>
    </w:p>
    <w:p>
      <w:pPr>
        <w:pStyle w:val="Normal"/>
        <w:widowControl w:val="false"/>
        <w:suppressAutoHyphens w:val="true"/>
        <w:spacing w:lineRule="auto" w:line="360" w:before="0" w:after="240"/>
        <w:rPr/>
      </w:pPr>
      <w:r>
        <w:rPr>
          <w:rFonts w:eastAsia="Calibri" w:cs="Arial" w:ascii="Arial" w:hAnsi="Arial"/>
          <w:b/>
          <w:bCs/>
          <w:i/>
          <w:iCs/>
          <w:color w:val="262626"/>
          <w:kern w:val="0"/>
          <w:sz w:val="20"/>
          <w:szCs w:val="20"/>
        </w:rPr>
        <w:t>Service Policies</w:t>
      </w:r>
      <w:r>
        <w:rPr>
          <w:rFonts w:eastAsia="Calibri" w:cs="Arial" w:ascii="Arial" w:hAnsi="Arial"/>
          <w:i/>
          <w:iCs/>
          <w:color w:val="262626"/>
          <w:kern w:val="0"/>
          <w:sz w:val="20"/>
          <w:szCs w:val="20"/>
        </w:rPr>
        <w:t xml:space="preserve"> - All GMCA employees must observe and adhere to the provisions outlined</w:t>
      </w:r>
      <w:r>
        <w:rPr>
          <w:rFonts w:eastAsia="Calibri" w:cs="Arial" w:ascii="Arial" w:hAnsi="Arial"/>
          <w:i/>
          <w:iCs/>
          <w:color w:val="262626"/>
          <w:spacing w:val="-59"/>
          <w:kern w:val="0"/>
          <w:sz w:val="20"/>
          <w:szCs w:val="20"/>
        </w:rPr>
        <w:t xml:space="preserve"> </w:t>
      </w:r>
      <w:r>
        <w:rPr>
          <w:rFonts w:eastAsia="Calibri" w:cs="Arial" w:ascii="Arial" w:hAnsi="Arial"/>
          <w:i/>
          <w:iCs/>
          <w:color w:val="262626"/>
          <w:kern w:val="0"/>
          <w:sz w:val="20"/>
          <w:szCs w:val="20"/>
        </w:rPr>
        <w:t>in</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these policies.</w:t>
      </w:r>
    </w:p>
    <w:p>
      <w:pPr>
        <w:pStyle w:val="Normal"/>
        <w:widowControl w:val="false"/>
        <w:suppressAutoHyphens w:val="true"/>
        <w:spacing w:lineRule="auto" w:line="360" w:before="0" w:after="240"/>
        <w:rPr/>
      </w:pPr>
      <w:r>
        <w:rPr>
          <w:rFonts w:eastAsia="Calibri" w:cs="Arial" w:ascii="Arial" w:hAnsi="Arial"/>
          <w:b/>
          <w:bCs/>
          <w:i/>
          <w:iCs/>
          <w:color w:val="262626"/>
          <w:kern w:val="0"/>
          <w:sz w:val="20"/>
          <w:szCs w:val="20"/>
        </w:rPr>
        <w:t>Equal Opportunities</w:t>
      </w:r>
      <w:r>
        <w:rPr>
          <w:rFonts w:eastAsia="Calibri" w:cs="Arial" w:ascii="Arial" w:hAnsi="Arial"/>
          <w:i/>
          <w:iCs/>
          <w:color w:val="262626"/>
          <w:kern w:val="0"/>
          <w:sz w:val="20"/>
          <w:szCs w:val="20"/>
        </w:rPr>
        <w:t xml:space="preserve"> - GMCA provides a range of services and employment</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 xml:space="preserve">opportunities for a diverse population. As a GMCA employee you are expected to treat all </w:t>
      </w:r>
      <w:r>
        <w:rPr>
          <w:rFonts w:eastAsia="Calibri" w:cs="Arial" w:ascii="Arial" w:hAnsi="Arial"/>
          <w:i/>
          <w:iCs/>
          <w:color w:val="262626"/>
          <w:spacing w:val="-59"/>
          <w:kern w:val="0"/>
          <w:sz w:val="20"/>
          <w:szCs w:val="20"/>
        </w:rPr>
        <w:t xml:space="preserve"> </w:t>
      </w:r>
      <w:r>
        <w:rPr>
          <w:rFonts w:eastAsia="Calibri" w:cs="Arial" w:ascii="Arial" w:hAnsi="Arial"/>
          <w:i/>
          <w:iCs/>
          <w:color w:val="262626"/>
          <w:kern w:val="0"/>
          <w:sz w:val="20"/>
          <w:szCs w:val="20"/>
        </w:rPr>
        <w:t>employees / partners / members of the public and work colleagues with dignity and</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respect</w:t>
      </w:r>
      <w:r>
        <w:rPr>
          <w:rFonts w:eastAsia="Calibri" w:cs="Arial" w:ascii="Arial" w:hAnsi="Arial"/>
          <w:i/>
          <w:iCs/>
          <w:color w:val="262626"/>
          <w:spacing w:val="-2"/>
          <w:kern w:val="0"/>
          <w:sz w:val="20"/>
          <w:szCs w:val="20"/>
        </w:rPr>
        <w:t xml:space="preserve"> </w:t>
      </w:r>
      <w:r>
        <w:rPr>
          <w:rFonts w:eastAsia="Calibri" w:cs="Arial" w:ascii="Arial" w:hAnsi="Arial"/>
          <w:i/>
          <w:iCs/>
          <w:color w:val="262626"/>
          <w:kern w:val="0"/>
          <w:sz w:val="20"/>
          <w:szCs w:val="20"/>
        </w:rPr>
        <w:t>irrespective</w:t>
      </w:r>
      <w:r>
        <w:rPr>
          <w:rFonts w:eastAsia="Calibri" w:cs="Arial" w:ascii="Arial" w:hAnsi="Arial"/>
          <w:i/>
          <w:iCs/>
          <w:color w:val="262626"/>
          <w:spacing w:val="1"/>
          <w:kern w:val="0"/>
          <w:sz w:val="20"/>
          <w:szCs w:val="20"/>
        </w:rPr>
        <w:t xml:space="preserve"> </w:t>
      </w:r>
      <w:r>
        <w:rPr>
          <w:rFonts w:eastAsia="Calibri" w:cs="Arial" w:ascii="Arial" w:hAnsi="Arial"/>
          <w:i/>
          <w:iCs/>
          <w:color w:val="262626"/>
          <w:kern w:val="0"/>
          <w:sz w:val="20"/>
          <w:szCs w:val="20"/>
        </w:rPr>
        <w:t>of</w:t>
      </w:r>
      <w:r>
        <w:rPr>
          <w:rFonts w:eastAsia="Calibri" w:cs="Arial" w:ascii="Arial" w:hAnsi="Arial"/>
          <w:i/>
          <w:iCs/>
          <w:color w:val="262626"/>
          <w:spacing w:val="2"/>
          <w:kern w:val="0"/>
          <w:sz w:val="20"/>
          <w:szCs w:val="20"/>
        </w:rPr>
        <w:t xml:space="preserve"> </w:t>
      </w:r>
      <w:r>
        <w:rPr>
          <w:rFonts w:eastAsia="Calibri" w:cs="Arial" w:ascii="Arial" w:hAnsi="Arial"/>
          <w:i/>
          <w:iCs/>
          <w:color w:val="262626"/>
          <w:kern w:val="0"/>
          <w:sz w:val="20"/>
          <w:szCs w:val="20"/>
        </w:rPr>
        <w:t>their</w:t>
      </w:r>
      <w:r>
        <w:rPr>
          <w:rFonts w:eastAsia="Calibri" w:cs="Arial" w:ascii="Arial" w:hAnsi="Arial"/>
          <w:i/>
          <w:iCs/>
          <w:color w:val="262626"/>
          <w:spacing w:val="2"/>
          <w:kern w:val="0"/>
          <w:sz w:val="20"/>
          <w:szCs w:val="20"/>
        </w:rPr>
        <w:t xml:space="preserve"> </w:t>
      </w:r>
      <w:r>
        <w:rPr>
          <w:rFonts w:eastAsia="Calibri" w:cs="Arial" w:ascii="Arial" w:hAnsi="Arial"/>
          <w:i/>
          <w:iCs/>
          <w:color w:val="262626"/>
          <w:kern w:val="0"/>
          <w:sz w:val="20"/>
          <w:szCs w:val="20"/>
        </w:rPr>
        <w:t>background.</w:t>
      </w:r>
    </w:p>
    <w:p>
      <w:pPr>
        <w:pStyle w:val="Normal"/>
        <w:spacing w:before="0" w:after="160"/>
        <w:rPr/>
      </w:pPr>
      <w:r>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3">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4">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5">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6">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7">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8">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9">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0">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1">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2">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3">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4">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5">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6">
    <w:lvl w:ilvl="0">
      <w:start w:val="1"/>
      <w:numFmt w:val="bullet"/>
      <w:lvlText w:val=""/>
      <w:lvlJc w:val="left"/>
      <w:pPr>
        <w:ind w:left="720" w:hanging="360"/>
      </w:pPr>
      <w:rPr>
        <w:rFonts w:ascii="Symbol" w:hAnsi="Symbol" w:cs="Symbol" w:hint="default"/>
        <w:sz w:val="24"/>
        <w:kern w:val="0"/>
        <w:szCs w:val="24"/>
        <w:rFonts w:cs="Symbol"/>
        <w:color w:val="262626"/>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7">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8">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9">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20">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Aptos" w:hAnsi="Aptos" w:eastAsia="Aptos" w:cs="Arial"/>
      <w:color w:val="auto"/>
      <w:kern w:val="2"/>
      <w:sz w:val="22"/>
      <w:szCs w:val="22"/>
      <w:lang w:val="en-GB" w:eastAsia="en-US" w:bidi="ar-SA"/>
    </w:rPr>
  </w:style>
  <w:style w:type="paragraph" w:styleId="Heading1">
    <w:name w:val="Heading 1"/>
    <w:basedOn w:val="Normal"/>
    <w:next w:val="Normal"/>
    <w:qFormat/>
    <w:pPr>
      <w:keepNext w:val="true"/>
      <w:keepLines/>
      <w:numPr>
        <w:ilvl w:val="0"/>
        <w:numId w:val="1"/>
      </w:numPr>
      <w:spacing w:before="360" w:after="80"/>
      <w:outlineLvl w:val="0"/>
    </w:pPr>
    <w:rPr>
      <w:rFonts w:ascii="Aptos Display" w:hAnsi="Aptos Display" w:eastAsia="游ゴシック Light" w:cs="Times New Roman"/>
      <w:color w:val="0F4761"/>
      <w:sz w:val="40"/>
      <w:szCs w:val="40"/>
    </w:rPr>
  </w:style>
  <w:style w:type="paragraph" w:styleId="Heading2">
    <w:name w:val="Heading 2"/>
    <w:basedOn w:val="Normal"/>
    <w:next w:val="Normal"/>
    <w:qFormat/>
    <w:pPr>
      <w:keepNext w:val="true"/>
      <w:keepLines/>
      <w:numPr>
        <w:ilvl w:val="1"/>
        <w:numId w:val="1"/>
      </w:numPr>
      <w:spacing w:before="160" w:after="80"/>
      <w:outlineLvl w:val="1"/>
    </w:pPr>
    <w:rPr>
      <w:rFonts w:ascii="Aptos Display" w:hAnsi="Aptos Display" w:eastAsia="游ゴシック Light" w:cs="Times New Roman"/>
      <w:color w:val="0F4761"/>
      <w:sz w:val="32"/>
      <w:szCs w:val="32"/>
    </w:rPr>
  </w:style>
  <w:style w:type="paragraph" w:styleId="Heading3">
    <w:name w:val="Heading 3"/>
    <w:basedOn w:val="Normal"/>
    <w:next w:val="Normal"/>
    <w:qFormat/>
    <w:pPr>
      <w:keepNext w:val="true"/>
      <w:keepLines/>
      <w:numPr>
        <w:ilvl w:val="2"/>
        <w:numId w:val="1"/>
      </w:numPr>
      <w:spacing w:before="160" w:after="80"/>
      <w:outlineLvl w:val="2"/>
    </w:pPr>
    <w:rPr>
      <w:rFonts w:eastAsia="游ゴシック Light" w:cs="Times New Roman"/>
      <w:color w:val="0F4761"/>
      <w:sz w:val="28"/>
      <w:szCs w:val="28"/>
    </w:rPr>
  </w:style>
  <w:style w:type="paragraph" w:styleId="Heading4">
    <w:name w:val="Heading 4"/>
    <w:basedOn w:val="Normal"/>
    <w:next w:val="Normal"/>
    <w:qFormat/>
    <w:pPr>
      <w:keepNext w:val="true"/>
      <w:keepLines/>
      <w:numPr>
        <w:ilvl w:val="3"/>
        <w:numId w:val="1"/>
      </w:numPr>
      <w:spacing w:before="80" w:after="40"/>
      <w:outlineLvl w:val="3"/>
    </w:pPr>
    <w:rPr>
      <w:rFonts w:eastAsia="游ゴシック Light" w:cs="Times New Roman"/>
      <w:i/>
      <w:iCs/>
      <w:color w:val="0F4761"/>
    </w:rPr>
  </w:style>
  <w:style w:type="paragraph" w:styleId="Heading5">
    <w:name w:val="Heading 5"/>
    <w:basedOn w:val="Normal"/>
    <w:next w:val="Normal"/>
    <w:qFormat/>
    <w:pPr>
      <w:keepNext w:val="true"/>
      <w:keepLines/>
      <w:numPr>
        <w:ilvl w:val="4"/>
        <w:numId w:val="1"/>
      </w:numPr>
      <w:spacing w:before="80" w:after="40"/>
      <w:outlineLvl w:val="4"/>
    </w:pPr>
    <w:rPr>
      <w:rFonts w:eastAsia="游ゴシック Light" w:cs="Times New Roman"/>
      <w:color w:val="0F4761"/>
    </w:rPr>
  </w:style>
  <w:style w:type="paragraph" w:styleId="Heading6">
    <w:name w:val="Heading 6"/>
    <w:basedOn w:val="Normal"/>
    <w:next w:val="Normal"/>
    <w:qFormat/>
    <w:pPr>
      <w:keepNext w:val="true"/>
      <w:keepLines/>
      <w:numPr>
        <w:ilvl w:val="5"/>
        <w:numId w:val="1"/>
      </w:numPr>
      <w:spacing w:before="40" w:after="0"/>
      <w:outlineLvl w:val="5"/>
    </w:pPr>
    <w:rPr>
      <w:rFonts w:eastAsia="游ゴシック Light" w:cs="Times New Roman"/>
      <w:i/>
      <w:iCs/>
      <w:color w:val="595959"/>
    </w:rPr>
  </w:style>
  <w:style w:type="paragraph" w:styleId="Heading7">
    <w:name w:val="Heading 7"/>
    <w:basedOn w:val="Normal"/>
    <w:next w:val="Normal"/>
    <w:qFormat/>
    <w:pPr>
      <w:keepNext w:val="true"/>
      <w:keepLines/>
      <w:numPr>
        <w:ilvl w:val="6"/>
        <w:numId w:val="1"/>
      </w:numPr>
      <w:spacing w:before="40" w:after="0"/>
      <w:outlineLvl w:val="6"/>
    </w:pPr>
    <w:rPr>
      <w:rFonts w:eastAsia="游ゴシック Light" w:cs="Times New Roman"/>
      <w:color w:val="595959"/>
    </w:rPr>
  </w:style>
  <w:style w:type="paragraph" w:styleId="Heading8">
    <w:name w:val="Heading 8"/>
    <w:basedOn w:val="Normal"/>
    <w:next w:val="Normal"/>
    <w:qFormat/>
    <w:pPr>
      <w:keepNext w:val="true"/>
      <w:keepLines/>
      <w:numPr>
        <w:ilvl w:val="7"/>
        <w:numId w:val="1"/>
      </w:numPr>
      <w:spacing w:before="0" w:after="0"/>
      <w:outlineLvl w:val="7"/>
    </w:pPr>
    <w:rPr>
      <w:rFonts w:eastAsia="游ゴシック Light" w:cs="Times New Roman"/>
      <w:i/>
      <w:iCs/>
      <w:color w:val="272727"/>
    </w:rPr>
  </w:style>
  <w:style w:type="paragraph" w:styleId="Heading9">
    <w:name w:val="Heading 9"/>
    <w:basedOn w:val="Normal"/>
    <w:next w:val="Normal"/>
    <w:qFormat/>
    <w:pPr>
      <w:keepNext w:val="true"/>
      <w:keepLines/>
      <w:numPr>
        <w:ilvl w:val="8"/>
        <w:numId w:val="1"/>
      </w:numPr>
      <w:spacing w:before="0" w:after="0"/>
      <w:outlineLvl w:val="8"/>
    </w:pPr>
    <w:rPr>
      <w:rFonts w:eastAsia="游ゴシック Light" w:cs="Times New Roman"/>
      <w:color w:val="272727"/>
    </w:rPr>
  </w:style>
  <w:style w:type="character" w:styleId="WW8Num1z0">
    <w:name w:val="WW8Num1z0"/>
    <w:qFormat/>
    <w:rPr>
      <w:rFonts w:ascii="Symbol" w:hAnsi="Symbol" w:cs="Symbol"/>
      <w:sz w:val="24"/>
    </w:rPr>
  </w:style>
  <w:style w:type="character" w:styleId="WW8Num1z1">
    <w:name w:val="WW8Num1z1"/>
    <w:qFormat/>
    <w:rPr>
      <w:rFonts w:ascii="Symbol" w:hAnsi="Symbol" w:cs="Symbol"/>
      <w:sz w:val="20"/>
    </w:rPr>
  </w:style>
  <w:style w:type="character" w:styleId="WW8Num2z0">
    <w:name w:val="WW8Num2z0"/>
    <w:qFormat/>
    <w:rPr>
      <w:rFonts w:ascii="Symbol" w:hAnsi="Symbol" w:cs="Symbol"/>
      <w:sz w:val="24"/>
    </w:rPr>
  </w:style>
  <w:style w:type="character" w:styleId="WW8Num2z1">
    <w:name w:val="WW8Num2z1"/>
    <w:qFormat/>
    <w:rPr>
      <w:rFonts w:ascii="Symbol" w:hAnsi="Symbol" w:cs="Symbol"/>
      <w:sz w:val="20"/>
    </w:rPr>
  </w:style>
  <w:style w:type="character" w:styleId="WW8Num3z0">
    <w:name w:val="WW8Num3z0"/>
    <w:qFormat/>
    <w:rPr>
      <w:rFonts w:ascii="Symbol" w:hAnsi="Symbol" w:cs="Symbol"/>
      <w:sz w:val="24"/>
    </w:rPr>
  </w:style>
  <w:style w:type="character" w:styleId="WW8Num3z1">
    <w:name w:val="WW8Num3z1"/>
    <w:qFormat/>
    <w:rPr>
      <w:rFonts w:ascii="Symbol" w:hAnsi="Symbol" w:cs="Symbol"/>
      <w:sz w:val="20"/>
    </w:rPr>
  </w:style>
  <w:style w:type="character" w:styleId="WW8Num4z0">
    <w:name w:val="WW8Num4z0"/>
    <w:qFormat/>
    <w:rPr>
      <w:rFonts w:ascii="Symbol" w:hAnsi="Symbol" w:cs="Symbol"/>
      <w:sz w:val="24"/>
    </w:rPr>
  </w:style>
  <w:style w:type="character" w:styleId="WW8Num4z1">
    <w:name w:val="WW8Num4z1"/>
    <w:qFormat/>
    <w:rPr>
      <w:rFonts w:ascii="Symbol" w:hAnsi="Symbol" w:cs="Symbol"/>
      <w:sz w:val="20"/>
    </w:rPr>
  </w:style>
  <w:style w:type="character" w:styleId="WW8Num5z0">
    <w:name w:val="WW8Num5z0"/>
    <w:qFormat/>
    <w:rPr>
      <w:rFonts w:ascii="Symbol" w:hAnsi="Symbol" w:cs="Symbol"/>
      <w:sz w:val="24"/>
    </w:rPr>
  </w:style>
  <w:style w:type="character" w:styleId="WW8Num5z1">
    <w:name w:val="WW8Num5z1"/>
    <w:qFormat/>
    <w:rPr>
      <w:rFonts w:ascii="Symbol" w:hAnsi="Symbol" w:cs="Symbol"/>
      <w:sz w:val="20"/>
    </w:rPr>
  </w:style>
  <w:style w:type="character" w:styleId="WW8Num6z0">
    <w:name w:val="WW8Num6z0"/>
    <w:qFormat/>
    <w:rPr>
      <w:rFonts w:ascii="Symbol" w:hAnsi="Symbol" w:cs="Symbol"/>
      <w:sz w:val="24"/>
    </w:rPr>
  </w:style>
  <w:style w:type="character" w:styleId="WW8Num6z1">
    <w:name w:val="WW8Num6z1"/>
    <w:qFormat/>
    <w:rPr>
      <w:rFonts w:ascii="Symbol" w:hAnsi="Symbol" w:cs="Symbol"/>
      <w:sz w:val="20"/>
    </w:rPr>
  </w:style>
  <w:style w:type="character" w:styleId="WW8Num7z0">
    <w:name w:val="WW8Num7z0"/>
    <w:qFormat/>
    <w:rPr>
      <w:rFonts w:ascii="Symbol" w:hAnsi="Symbol" w:cs="Symbol"/>
      <w:sz w:val="24"/>
    </w:rPr>
  </w:style>
  <w:style w:type="character" w:styleId="WW8Num7z1">
    <w:name w:val="WW8Num7z1"/>
    <w:qFormat/>
    <w:rPr>
      <w:rFonts w:ascii="Symbol" w:hAnsi="Symbol" w:cs="Symbol"/>
      <w:sz w:val="20"/>
    </w:rPr>
  </w:style>
  <w:style w:type="character" w:styleId="WW8Num8z0">
    <w:name w:val="WW8Num8z0"/>
    <w:qFormat/>
    <w:rPr>
      <w:rFonts w:ascii="Symbol" w:hAnsi="Symbol" w:cs="Symbol"/>
      <w:sz w:val="24"/>
    </w:rPr>
  </w:style>
  <w:style w:type="character" w:styleId="WW8Num8z1">
    <w:name w:val="WW8Num8z1"/>
    <w:qFormat/>
    <w:rPr>
      <w:rFonts w:ascii="Symbol" w:hAnsi="Symbol" w:cs="Symbol"/>
      <w:sz w:val="20"/>
    </w:rPr>
  </w:style>
  <w:style w:type="character" w:styleId="WW8Num9z0">
    <w:name w:val="WW8Num9z0"/>
    <w:qFormat/>
    <w:rPr>
      <w:rFonts w:ascii="Symbol" w:hAnsi="Symbol" w:cs="Symbol"/>
      <w:sz w:val="24"/>
    </w:rPr>
  </w:style>
  <w:style w:type="character" w:styleId="WW8Num9z1">
    <w:name w:val="WW8Num9z1"/>
    <w:qFormat/>
    <w:rPr>
      <w:rFonts w:ascii="Symbol" w:hAnsi="Symbol" w:cs="Symbol"/>
      <w:sz w:val="20"/>
    </w:rPr>
  </w:style>
  <w:style w:type="character" w:styleId="WW8Num10z0">
    <w:name w:val="WW8Num10z0"/>
    <w:qFormat/>
    <w:rPr>
      <w:rFonts w:ascii="Symbol" w:hAnsi="Symbol" w:cs="Symbol"/>
      <w:sz w:val="24"/>
    </w:rPr>
  </w:style>
  <w:style w:type="character" w:styleId="WW8Num10z1">
    <w:name w:val="WW8Num10z1"/>
    <w:qFormat/>
    <w:rPr>
      <w:rFonts w:ascii="Symbol" w:hAnsi="Symbol" w:cs="Symbol"/>
      <w:sz w:val="20"/>
    </w:rPr>
  </w:style>
  <w:style w:type="character" w:styleId="WW8Num11z0">
    <w:name w:val="WW8Num11z0"/>
    <w:qFormat/>
    <w:rPr>
      <w:rFonts w:ascii="Symbol" w:hAnsi="Symbol" w:cs="Symbol"/>
      <w:sz w:val="24"/>
    </w:rPr>
  </w:style>
  <w:style w:type="character" w:styleId="WW8Num11z1">
    <w:name w:val="WW8Num11z1"/>
    <w:qFormat/>
    <w:rPr>
      <w:rFonts w:ascii="Symbol" w:hAnsi="Symbol" w:cs="Symbol"/>
      <w:sz w:val="20"/>
    </w:rPr>
  </w:style>
  <w:style w:type="character" w:styleId="WW8Num12z0">
    <w:name w:val="WW8Num12z0"/>
    <w:qFormat/>
    <w:rPr>
      <w:rFonts w:ascii="Symbol" w:hAnsi="Symbol" w:cs="Symbol"/>
      <w:sz w:val="24"/>
    </w:rPr>
  </w:style>
  <w:style w:type="character" w:styleId="WW8Num12z1">
    <w:name w:val="WW8Num12z1"/>
    <w:qFormat/>
    <w:rPr>
      <w:rFonts w:ascii="Symbol" w:hAnsi="Symbol" w:cs="Symbol"/>
      <w:sz w:val="20"/>
    </w:rPr>
  </w:style>
  <w:style w:type="character" w:styleId="WW8Num13z0">
    <w:name w:val="WW8Num13z0"/>
    <w:qFormat/>
    <w:rPr>
      <w:rFonts w:ascii="Symbol" w:hAnsi="Symbol" w:cs="Symbol"/>
      <w:sz w:val="24"/>
    </w:rPr>
  </w:style>
  <w:style w:type="character" w:styleId="WW8Num13z1">
    <w:name w:val="WW8Num13z1"/>
    <w:qFormat/>
    <w:rPr>
      <w:rFonts w:ascii="Symbol" w:hAnsi="Symbol" w:cs="Symbol"/>
      <w:sz w:val="20"/>
    </w:rPr>
  </w:style>
  <w:style w:type="character" w:styleId="WW8Num14z0">
    <w:name w:val="WW8Num14z0"/>
    <w:qFormat/>
    <w:rPr>
      <w:rFonts w:ascii="Symbol" w:hAnsi="Symbol" w:cs="Symbol"/>
      <w:sz w:val="24"/>
    </w:rPr>
  </w:style>
  <w:style w:type="character" w:styleId="WW8Num14z1">
    <w:name w:val="WW8Num14z1"/>
    <w:qFormat/>
    <w:rPr>
      <w:rFonts w:ascii="Symbol" w:hAnsi="Symbol" w:cs="Symbol"/>
      <w:sz w:val="20"/>
    </w:rPr>
  </w:style>
  <w:style w:type="character" w:styleId="WW8Num15z0">
    <w:name w:val="WW8Num15z0"/>
    <w:qFormat/>
    <w:rPr>
      <w:rFonts w:ascii="Symbol" w:hAnsi="Symbol" w:eastAsia="Calibri" w:cs="Symbol"/>
      <w:color w:val="262626"/>
      <w:kern w:val="0"/>
      <w:sz w:val="24"/>
      <w:szCs w:val="24"/>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5z3">
    <w:name w:val="WW8Num15z3"/>
    <w:qFormat/>
    <w:rPr>
      <w:rFonts w:ascii="Symbol" w:hAnsi="Symbol" w:cs="Symbol"/>
      <w:szCs w:val="24"/>
    </w:rPr>
  </w:style>
  <w:style w:type="character" w:styleId="WW8Num16z0">
    <w:name w:val="WW8Num16z0"/>
    <w:qFormat/>
    <w:rPr>
      <w:rFonts w:ascii="Symbol" w:hAnsi="Symbol" w:cs="Symbol"/>
      <w:sz w:val="24"/>
    </w:rPr>
  </w:style>
  <w:style w:type="character" w:styleId="WW8Num16z1">
    <w:name w:val="WW8Num16z1"/>
    <w:qFormat/>
    <w:rPr>
      <w:rFonts w:ascii="Symbol" w:hAnsi="Symbol" w:cs="Symbol"/>
      <w:sz w:val="20"/>
    </w:rPr>
  </w:style>
  <w:style w:type="character" w:styleId="WW8Num17z0">
    <w:name w:val="WW8Num17z0"/>
    <w:qFormat/>
    <w:rPr>
      <w:rFonts w:ascii="Symbol" w:hAnsi="Symbol" w:cs="Symbol"/>
      <w:sz w:val="24"/>
    </w:rPr>
  </w:style>
  <w:style w:type="character" w:styleId="WW8Num17z1">
    <w:name w:val="WW8Num17z1"/>
    <w:qFormat/>
    <w:rPr>
      <w:rFonts w:ascii="Symbol" w:hAnsi="Symbol" w:cs="Symbol"/>
      <w:sz w:val="20"/>
    </w:rPr>
  </w:style>
  <w:style w:type="character" w:styleId="WW8Num18z0">
    <w:name w:val="WW8Num18z0"/>
    <w:qFormat/>
    <w:rPr>
      <w:rFonts w:ascii="Symbol" w:hAnsi="Symbol" w:cs="Symbol"/>
      <w:sz w:val="24"/>
    </w:rPr>
  </w:style>
  <w:style w:type="character" w:styleId="WW8Num18z1">
    <w:name w:val="WW8Num18z1"/>
    <w:qFormat/>
    <w:rPr>
      <w:rFonts w:ascii="Symbol" w:hAnsi="Symbol" w:cs="Symbol"/>
      <w:sz w:val="20"/>
    </w:rPr>
  </w:style>
  <w:style w:type="character" w:styleId="WW8Num19z0">
    <w:name w:val="WW8Num19z0"/>
    <w:qFormat/>
    <w:rPr>
      <w:rFonts w:ascii="Symbol" w:hAnsi="Symbol" w:cs="Symbol"/>
      <w:sz w:val="24"/>
    </w:rPr>
  </w:style>
  <w:style w:type="character" w:styleId="WW8Num19z1">
    <w:name w:val="WW8Num19z1"/>
    <w:qFormat/>
    <w:rPr>
      <w:rFonts w:ascii="Symbol" w:hAnsi="Symbol" w:cs="Symbol"/>
      <w:sz w:val="20"/>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游ゴシック Light" w:cs="Times New Roman"/>
      <w:color w:val="0F4761"/>
      <w:sz w:val="40"/>
      <w:szCs w:val="40"/>
    </w:rPr>
  </w:style>
  <w:style w:type="character" w:styleId="Heading2Char">
    <w:name w:val="Heading 2 Char"/>
    <w:basedOn w:val="DefaultParagraphFont"/>
    <w:qFormat/>
    <w:rPr>
      <w:rFonts w:ascii="Aptos Display" w:hAnsi="Aptos Display" w:eastAsia="游ゴシック Light" w:cs="Times New Roman"/>
      <w:color w:val="0F4761"/>
      <w:sz w:val="32"/>
      <w:szCs w:val="32"/>
    </w:rPr>
  </w:style>
  <w:style w:type="character" w:styleId="Heading3Char">
    <w:name w:val="Heading 3 Char"/>
    <w:basedOn w:val="DefaultParagraphFont"/>
    <w:qFormat/>
    <w:rPr>
      <w:rFonts w:eastAsia="游ゴシック Light" w:cs="Times New Roman"/>
      <w:color w:val="0F4761"/>
      <w:sz w:val="28"/>
      <w:szCs w:val="28"/>
    </w:rPr>
  </w:style>
  <w:style w:type="character" w:styleId="Heading4Char">
    <w:name w:val="Heading 4 Char"/>
    <w:basedOn w:val="DefaultParagraphFont"/>
    <w:qFormat/>
    <w:rPr>
      <w:rFonts w:eastAsia="游ゴシック Light" w:cs="Times New Roman"/>
      <w:i/>
      <w:iCs/>
      <w:color w:val="0F4761"/>
    </w:rPr>
  </w:style>
  <w:style w:type="character" w:styleId="Heading5Char">
    <w:name w:val="Heading 5 Char"/>
    <w:basedOn w:val="DefaultParagraphFont"/>
    <w:qFormat/>
    <w:rPr>
      <w:rFonts w:eastAsia="游ゴシック Light" w:cs="Times New Roman"/>
      <w:color w:val="0F4761"/>
    </w:rPr>
  </w:style>
  <w:style w:type="character" w:styleId="Heading6Char">
    <w:name w:val="Heading 6 Char"/>
    <w:basedOn w:val="DefaultParagraphFont"/>
    <w:qFormat/>
    <w:rPr>
      <w:rFonts w:eastAsia="游ゴシック Light" w:cs="Times New Roman"/>
      <w:i/>
      <w:iCs/>
      <w:color w:val="595959"/>
    </w:rPr>
  </w:style>
  <w:style w:type="character" w:styleId="Heading7Char">
    <w:name w:val="Heading 7 Char"/>
    <w:basedOn w:val="DefaultParagraphFont"/>
    <w:qFormat/>
    <w:rPr>
      <w:rFonts w:eastAsia="游ゴシック Light" w:cs="Times New Roman"/>
      <w:color w:val="595959"/>
    </w:rPr>
  </w:style>
  <w:style w:type="character" w:styleId="Heading8Char">
    <w:name w:val="Heading 8 Char"/>
    <w:basedOn w:val="DefaultParagraphFont"/>
    <w:qFormat/>
    <w:rPr>
      <w:rFonts w:eastAsia="游ゴシック Light" w:cs="Times New Roman"/>
      <w:i/>
      <w:iCs/>
      <w:color w:val="272727"/>
    </w:rPr>
  </w:style>
  <w:style w:type="character" w:styleId="Heading9Char">
    <w:name w:val="Heading 9 Char"/>
    <w:basedOn w:val="DefaultParagraphFont"/>
    <w:qFormat/>
    <w:rPr>
      <w:rFonts w:eastAsia="游ゴシック Light" w:cs="Times New Roman"/>
      <w:color w:val="272727"/>
    </w:rPr>
  </w:style>
  <w:style w:type="character" w:styleId="TitleChar">
    <w:name w:val="Title Char"/>
    <w:basedOn w:val="DefaultParagraphFont"/>
    <w:qFormat/>
    <w:rPr>
      <w:rFonts w:ascii="Aptos Display" w:hAnsi="Aptos Display" w:eastAsia="游ゴシック Light" w:cs="Times New Roman"/>
      <w:spacing w:val="-10"/>
      <w:kern w:val="2"/>
      <w:sz w:val="56"/>
      <w:szCs w:val="56"/>
    </w:rPr>
  </w:style>
  <w:style w:type="character" w:styleId="SubtitleChar">
    <w:name w:val="Subtitle Char"/>
    <w:basedOn w:val="DefaultParagraphFont"/>
    <w:qFormat/>
    <w:rPr>
      <w:rFonts w:eastAsia="游ゴシック Light" w:cs="Times New Roman"/>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HeaderChar">
    <w:name w:val="Header Char"/>
    <w:basedOn w:val="DefaultParagraphFont"/>
    <w:qFormat/>
    <w:rPr/>
  </w:style>
  <w:style w:type="character" w:styleId="FooterChar">
    <w:name w:val="Footer Char"/>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spacing w:lineRule="auto" w:line="240" w:before="0" w:after="80"/>
      <w:contextualSpacing/>
    </w:pPr>
    <w:rPr>
      <w:rFonts w:ascii="Aptos Display" w:hAnsi="Aptos Display" w:eastAsia="游ゴシック Light" w:cs="Times New Roman"/>
      <w:spacing w:val="-10"/>
      <w:kern w:val="2"/>
      <w:sz w:val="56"/>
      <w:szCs w:val="56"/>
    </w:rPr>
  </w:style>
  <w:style w:type="paragraph" w:styleId="Subtitle">
    <w:name w:val="Subtitle"/>
    <w:basedOn w:val="Normal"/>
    <w:next w:val="Normal"/>
    <w:qFormat/>
    <w:pPr/>
    <w:rPr>
      <w:rFonts w:eastAsia="游ゴシック Light" w:cs="Times New Roman"/>
      <w:color w:val="595959"/>
      <w:spacing w:val="15"/>
      <w:sz w:val="28"/>
      <w:szCs w:val="28"/>
    </w:rPr>
  </w:style>
  <w:style w:type="paragraph" w:styleId="Quote">
    <w:name w:val="Quote"/>
    <w:basedOn w:val="Normal"/>
    <w:next w:val="Normal"/>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hanging="0"/>
      <w:jc w:val="center"/>
    </w:pPr>
    <w:rPr>
      <w:i/>
      <w:iCs/>
      <w:color w:val="0F4761"/>
    </w:rPr>
  </w:style>
  <w:style w:type="paragraph" w:styleId="Revision">
    <w:name w:val="Revision"/>
    <w:qFormat/>
    <w:pPr>
      <w:widowControl/>
      <w:suppressAutoHyphens w:val="true"/>
      <w:bidi w:val="0"/>
      <w:spacing w:lineRule="auto" w:line="240" w:before="0" w:after="0"/>
      <w:jc w:val="left"/>
    </w:pPr>
    <w:rPr>
      <w:rFonts w:ascii="Aptos" w:hAnsi="Aptos" w:eastAsia="Aptos" w:cs="Arial"/>
      <w:color w:val="auto"/>
      <w:kern w:val="2"/>
      <w:sz w:val="22"/>
      <w:szCs w:val="22"/>
      <w:lang w:val="en-GB" w:eastAsia="en-US" w:bidi="ar-SA"/>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40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