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ody"/>
        <w:ind w:left="0" w:right="-761" w:hanging="709"/>
        <w:rPr>
          <w:rFonts w:eastAsia="Calibri"/>
          <w:b/>
          <w:b/>
          <w:bCs/>
          <w:iCs/>
        </w:rPr>
      </w:pPr>
      <w:r>
        <w:rPr/>
        <w:drawing>
          <wp:inline distT="0" distB="0" distL="0" distR="0">
            <wp:extent cx="5147310" cy="4635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54" r="-5" b="-54"/>
                    <a:stretch>
                      <a:fillRect/>
                    </a:stretch>
                  </pic:blipFill>
                  <pic:spPr bwMode="auto">
                    <a:xfrm>
                      <a:off x="0" y="0"/>
                      <a:ext cx="5147310" cy="463550"/>
                    </a:xfrm>
                    <a:prstGeom prst="rect">
                      <a:avLst/>
                    </a:prstGeom>
                  </pic:spPr>
                </pic:pic>
              </a:graphicData>
            </a:graphic>
          </wp:inline>
        </w:drawing>
      </w:r>
    </w:p>
    <w:p>
      <w:pPr>
        <w:pStyle w:val="Body"/>
        <w:ind w:left="0" w:right="261" w:hanging="0"/>
        <w:rPr>
          <w:rFonts w:eastAsia="Calibri"/>
          <w:b/>
          <w:b/>
          <w:bCs/>
          <w:iCs/>
        </w:rPr>
      </w:pPr>
      <w:r>
        <w:rPr>
          <w:rFonts w:eastAsia="Calibri"/>
          <w:b/>
          <w:bCs/>
          <w:iCs/>
        </w:rPr>
      </w:r>
    </w:p>
    <w:p>
      <w:pPr>
        <w:pStyle w:val="Body"/>
        <w:ind w:left="0" w:right="261" w:hanging="0"/>
        <w:rPr>
          <w:rFonts w:eastAsia="Calibri"/>
          <w:b/>
          <w:b/>
          <w:bCs/>
          <w:iCs/>
        </w:rPr>
      </w:pPr>
      <w:r>
        <w:rPr>
          <w:rFonts w:eastAsia="Calibri"/>
          <w:b/>
          <w:bCs/>
          <w:iCs/>
        </w:rPr>
      </w:r>
    </w:p>
    <w:tbl>
      <w:tblPr>
        <w:tblW w:w="10357" w:type="dxa"/>
        <w:jc w:val="left"/>
        <w:tblInd w:w="-606" w:type="dxa"/>
        <w:tblCellMar>
          <w:top w:w="0" w:type="dxa"/>
          <w:left w:w="108" w:type="dxa"/>
          <w:bottom w:w="0" w:type="dxa"/>
          <w:right w:w="108" w:type="dxa"/>
        </w:tblCellMar>
      </w:tblPr>
      <w:tblGrid>
        <w:gridCol w:w="2127"/>
        <w:gridCol w:w="3092"/>
        <w:gridCol w:w="2309"/>
        <w:gridCol w:w="2829"/>
      </w:tblGrid>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Job Title: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color w:val="auto"/>
                <w:lang w:eastAsia="en-GB"/>
              </w:rPr>
            </w:pPr>
            <w:r>
              <w:rPr>
                <w:color w:val="auto"/>
                <w:lang w:eastAsia="en-GB"/>
              </w:rPr>
              <w:t>Performance &amp; Continuous Improvement Analyst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Date:</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rPr>
            </w:pPr>
            <w:r>
              <w:rPr>
                <w:rFonts w:eastAsia="Calibri"/>
                <w:bCs/>
                <w:iCs/>
              </w:rPr>
              <w:t>September 2026</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Reporting Line:</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 xml:space="preserve">Performance &amp; Continuous Improvement Manager </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Salary:</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Grade 7</w:t>
            </w:r>
          </w:p>
        </w:tc>
      </w:tr>
      <w:tr>
        <w:trPr/>
        <w:tc>
          <w:tcPr>
            <w:tcW w:w="2127"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Team:</w:t>
            </w:r>
          </w:p>
        </w:tc>
        <w:tc>
          <w:tcPr>
            <w:tcW w:w="3092"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Corporate Strategy Governance and Performance</w:t>
            </w:r>
          </w:p>
        </w:tc>
        <w:tc>
          <w:tcPr>
            <w:tcW w:w="2309" w:type="dxa"/>
            <w:tcBorders>
              <w:top w:val="single" w:sz="4" w:space="0" w:color="000000"/>
              <w:left w:val="single" w:sz="4" w:space="0" w:color="000000"/>
              <w:bottom w:val="single" w:sz="4" w:space="0" w:color="000000"/>
            </w:tcBorders>
            <w:shd w:fill="auto" w:val="clear"/>
            <w:vAlign w:val="center"/>
          </w:tcPr>
          <w:p>
            <w:pPr>
              <w:pStyle w:val="Body"/>
              <w:pBdr/>
              <w:spacing w:lineRule="auto" w:line="240" w:before="120" w:after="120"/>
              <w:ind w:left="0" w:right="261" w:hanging="0"/>
              <w:rPr>
                <w:rFonts w:eastAsia="Calibri"/>
                <w:b/>
                <w:b/>
                <w:bCs/>
                <w:iCs/>
              </w:rPr>
            </w:pPr>
            <w:r>
              <w:rPr>
                <w:rFonts w:eastAsia="Calibri"/>
                <w:b/>
                <w:bCs/>
                <w:iCs/>
              </w:rPr>
              <w:t>Business Area:</w:t>
            </w:r>
          </w:p>
        </w:tc>
        <w:tc>
          <w:tcPr>
            <w:tcW w:w="2829" w:type="dxa"/>
            <w:tcBorders>
              <w:top w:val="single" w:sz="4" w:space="0" w:color="000000"/>
              <w:left w:val="single" w:sz="4" w:space="0" w:color="000000"/>
              <w:bottom w:val="single" w:sz="4" w:space="0" w:color="000000"/>
              <w:right w:val="single" w:sz="4" w:space="0" w:color="000000"/>
            </w:tcBorders>
            <w:shd w:fill="auto" w:val="clear"/>
            <w:vAlign w:val="center"/>
          </w:tcPr>
          <w:p>
            <w:pPr>
              <w:pStyle w:val="Body"/>
              <w:pBdr/>
              <w:spacing w:lineRule="auto" w:line="240" w:before="120" w:after="120"/>
              <w:ind w:left="0" w:right="261" w:hanging="0"/>
              <w:rPr>
                <w:rFonts w:eastAsia="Calibri"/>
                <w:bCs/>
                <w:iCs/>
                <w:color w:val="auto"/>
              </w:rPr>
            </w:pPr>
            <w:r>
              <w:rPr>
                <w:rFonts w:eastAsia="Calibri"/>
                <w:bCs/>
                <w:iCs/>
                <w:color w:val="auto"/>
              </w:rPr>
              <w:t>Performance Improvement</w:t>
            </w:r>
          </w:p>
        </w:tc>
      </w:tr>
    </w:tbl>
    <w:p>
      <w:pPr>
        <w:pStyle w:val="Body"/>
        <w:ind w:left="0" w:right="261" w:hanging="0"/>
        <w:rPr>
          <w:rFonts w:eastAsia="Calibri"/>
          <w:b/>
          <w:b/>
          <w:bCs/>
          <w:iCs/>
        </w:rPr>
      </w:pPr>
      <w:r>
        <w:rPr>
          <w:rFonts w:eastAsia="Calibri"/>
          <w:b/>
          <w:bCs/>
          <w:iCs/>
        </w:rPr>
      </w:r>
    </w:p>
    <w:tbl>
      <w:tblPr>
        <w:tblW w:w="10215" w:type="dxa"/>
        <w:jc w:val="center"/>
        <w:tblInd w:w="0" w:type="dxa"/>
        <w:tblCellMar>
          <w:top w:w="80" w:type="dxa"/>
          <w:left w:w="80" w:type="dxa"/>
          <w:bottom w:w="80" w:type="dxa"/>
          <w:right w:w="80" w:type="dxa"/>
        </w:tblCellMar>
      </w:tblPr>
      <w:tblGrid>
        <w:gridCol w:w="10215"/>
      </w:tblGrid>
      <w:tr>
        <w:trPr>
          <w:trHeight w:val="180" w:hRule="atLeast"/>
        </w:trPr>
        <w:tc>
          <w:tcPr>
            <w:tcW w:w="10215" w:type="dxa"/>
            <w:tcBorders>
              <w:top w:val="single" w:sz="4" w:space="0" w:color="000000"/>
              <w:left w:val="single" w:sz="4" w:space="0" w:color="000000"/>
              <w:bottom w:val="single" w:sz="4" w:space="0" w:color="000000"/>
              <w:right w:val="single" w:sz="4" w:space="0" w:color="000000"/>
            </w:tcBorders>
            <w:shd w:fill="000000" w:val="clear"/>
            <w:vAlign w:val="center"/>
          </w:tcPr>
          <w:p>
            <w:pPr>
              <w:pStyle w:val="Heading3"/>
              <w:pBdr>
                <w:top w:val="single" w:sz="4" w:space="1" w:color="000000"/>
                <w:left w:val="single" w:sz="4" w:space="1" w:color="000000"/>
                <w:bottom w:val="single" w:sz="4" w:space="1" w:color="000000"/>
                <w:right w:val="single" w:sz="4" w:space="1" w:color="000000"/>
              </w:pBdr>
              <w:ind w:left="0" w:right="261" w:hanging="0"/>
              <w:rPr>
                <w:rFonts w:eastAsia="Calibri"/>
                <w:sz w:val="22"/>
                <w:szCs w:val="22"/>
                <w:lang w:val="en-GB"/>
              </w:rPr>
            </w:pPr>
            <w:r>
              <w:rPr>
                <w:rFonts w:eastAsia="Calibri"/>
                <w:sz w:val="22"/>
                <w:szCs w:val="22"/>
                <w:lang w:val="en-GB"/>
              </w:rPr>
              <w:t>JOB PURPOSE</w:t>
            </w:r>
          </w:p>
        </w:tc>
      </w:tr>
      <w:tr>
        <w:trPr>
          <w:trHeight w:val="6388" w:hRule="atLeast"/>
        </w:trPr>
        <w:tc>
          <w:tcPr>
            <w:tcW w:w="102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before="0" w:after="240"/>
              <w:ind w:left="0" w:right="60" w:hanging="0"/>
              <w:rPr>
                <w:rFonts w:ascii="Arial" w:hAnsi="Arial" w:eastAsia="Arial" w:cs="Arial"/>
                <w:color w:val="000000"/>
                <w:sz w:val="22"/>
                <w:szCs w:val="22"/>
                <w:u w:val="none" w:color="000000"/>
              </w:rPr>
            </w:pPr>
            <w:r>
              <w:rPr>
                <w:rFonts w:eastAsia="Arial" w:cs="Arial" w:ascii="Arial" w:hAnsi="Arial"/>
                <w:color w:val="000000"/>
                <w:sz w:val="22"/>
                <w:szCs w:val="22"/>
                <w:u w:val="none" w:color="000000"/>
              </w:rPr>
              <w:t>To oversee the design, development and production of accurate, timely and meaningful performance data and information, and to enable appropriate access to it. The role will help develop a robust performance management culture and mindset across the Service.</w:t>
            </w:r>
          </w:p>
          <w:p>
            <w:pPr>
              <w:pStyle w:val="Normal"/>
              <w:spacing w:lineRule="auto" w:line="276" w:before="0" w:after="240"/>
              <w:ind w:left="0" w:right="60" w:hanging="0"/>
              <w:rPr>
                <w:rFonts w:ascii="Arial" w:hAnsi="Arial" w:eastAsia="Arial" w:cs="Arial"/>
                <w:color w:val="000000"/>
                <w:sz w:val="22"/>
                <w:szCs w:val="22"/>
                <w:u w:val="none" w:color="000000"/>
              </w:rPr>
            </w:pPr>
            <w:r>
              <w:rPr>
                <w:rFonts w:eastAsia="Arial" w:cs="Arial" w:ascii="Arial" w:hAnsi="Arial"/>
                <w:color w:val="000000"/>
                <w:sz w:val="22"/>
                <w:szCs w:val="22"/>
                <w:u w:val="none" w:color="000000"/>
              </w:rPr>
              <w:t>The role includes responsibility for managing and monitoring information relating to corporate performance and the achievement of our strategic commitments and priorities. It will also support our approach to continuous performance improvement and service excellence across the Service, helping to achieve a standard recognised as excellent by peers, stakeholders and the communities and businesses of Greater Manchester.</w:t>
            </w:r>
          </w:p>
          <w:p>
            <w:pPr>
              <w:pStyle w:val="Normal"/>
              <w:spacing w:lineRule="auto" w:line="276" w:before="0" w:after="240"/>
              <w:ind w:left="0" w:right="60" w:hanging="0"/>
              <w:rPr>
                <w:rFonts w:ascii="Arial" w:hAnsi="Arial" w:eastAsia="Arial" w:cs="Arial"/>
                <w:color w:val="000000"/>
                <w:sz w:val="22"/>
                <w:szCs w:val="22"/>
                <w:u w:val="none" w:color="000000"/>
              </w:rPr>
            </w:pPr>
            <w:r>
              <w:rPr>
                <w:rFonts w:eastAsia="Arial" w:cs="Arial" w:ascii="Arial" w:hAnsi="Arial"/>
                <w:color w:val="000000"/>
                <w:sz w:val="22"/>
                <w:szCs w:val="22"/>
                <w:u w:val="none" w:color="000000"/>
              </w:rPr>
              <w:t>The role will support the Performance &amp; Continuous Improvement Manager by delivering performance analysis and insight and implementing the Performance Management Framework. This will enable the Service to demonstrate that it is making arrangements to secure continuous improvement and embed a culture of performance.</w:t>
            </w:r>
          </w:p>
          <w:p>
            <w:pPr>
              <w:pStyle w:val="Normal"/>
              <w:spacing w:lineRule="auto" w:line="276" w:before="0" w:after="240"/>
              <w:ind w:left="0" w:right="60" w:hanging="0"/>
              <w:rPr>
                <w:rFonts w:ascii="Arial" w:hAnsi="Arial" w:eastAsia="Arial" w:cs="Arial"/>
                <w:color w:val="000000"/>
                <w:sz w:val="22"/>
                <w:szCs w:val="22"/>
                <w:u w:val="none" w:color="000000"/>
              </w:rPr>
            </w:pPr>
            <w:r>
              <w:rPr>
                <w:rFonts w:eastAsia="Arial" w:cs="Arial" w:ascii="Arial" w:hAnsi="Arial"/>
                <w:color w:val="000000"/>
                <w:sz w:val="22"/>
                <w:szCs w:val="22"/>
                <w:u w:val="none" w:color="000000"/>
              </w:rPr>
              <w:t>This is a varied analytical and improvement role that combines performance reporting and data analysis with practical continuous improvement support. The postholder will work with teams and representatives across the Service to understand performance, identify areas for improvement and turn complex information into clear insight for colleagues. Typical work includes producing and interpreting performance reports and dashboards, developing meaningful measures, exploring the causes of performance issues, facilitating improvement activity and helping teams evaluate whether changes have delivered the intended results.</w:t>
            </w:r>
          </w:p>
        </w:tc>
      </w:tr>
    </w:tbl>
    <w:p>
      <w:pPr>
        <w:pStyle w:val="Body"/>
        <w:ind w:left="-567" w:right="261" w:hanging="0"/>
        <w:rPr>
          <w:rFonts w:eastAsia="Calibri"/>
          <w:b/>
          <w:b/>
          <w:bCs/>
          <w:iCs/>
        </w:rPr>
      </w:pPr>
      <w:r>
        <w:rPr>
          <w:rFonts w:eastAsia="Calibri"/>
          <w:b/>
          <w:bCs/>
          <w:iCs/>
        </w:rPr>
      </w:r>
    </w:p>
    <w:tbl>
      <w:tblPr>
        <w:tblW w:w="10215" w:type="dxa"/>
        <w:jc w:val="center"/>
        <w:tblInd w:w="0" w:type="dxa"/>
        <w:tblCellMar>
          <w:top w:w="80" w:type="dxa"/>
          <w:left w:w="363" w:type="dxa"/>
          <w:bottom w:w="80" w:type="dxa"/>
          <w:right w:w="80" w:type="dxa"/>
        </w:tblCellMar>
      </w:tblPr>
      <w:tblGrid>
        <w:gridCol w:w="10215"/>
      </w:tblGrid>
      <w:tr>
        <w:trPr>
          <w:trHeight w:val="397" w:hRule="atLeast"/>
        </w:trPr>
        <w:tc>
          <w:tcPr>
            <w:tcW w:w="10215" w:type="dxa"/>
            <w:tcBorders>
              <w:top w:val="single" w:sz="4" w:space="0" w:color="000000"/>
              <w:left w:val="single" w:sz="4" w:space="0" w:color="000000"/>
              <w:bottom w:val="single" w:sz="4" w:space="0" w:color="000000"/>
              <w:right w:val="single" w:sz="4" w:space="0" w:color="000000"/>
            </w:tcBorders>
            <w:shd w:fill="000000" w:val="clear"/>
            <w:vAlign w:val="center"/>
          </w:tcPr>
          <w:p>
            <w:pPr>
              <w:pStyle w:val="Body"/>
              <w:pBdr/>
              <w:ind w:left="0" w:right="261" w:hanging="0"/>
              <w:rPr/>
            </w:pPr>
            <w:r>
              <w:rPr>
                <w:rFonts w:eastAsia="Calibri"/>
                <w:b/>
                <w:bCs/>
                <w:color w:val="FFFFFF"/>
                <w:u w:val="none" w:color="FFFFFF"/>
              </w:rPr>
              <w:t>KEY RELATIONSHIPS</w:t>
            </w:r>
            <w:r>
              <w:rPr/>
              <w:t xml:space="preserve"> </w:t>
            </w:r>
          </w:p>
        </w:tc>
      </w:tr>
      <w:tr>
        <w:trPr>
          <w:trHeight w:val="397" w:hRule="atLeast"/>
        </w:trPr>
        <w:tc>
          <w:tcPr>
            <w:tcW w:w="10215" w:type="dxa"/>
            <w:tcBorders>
              <w:top w:val="single" w:sz="4" w:space="0" w:color="000000"/>
              <w:left w:val="single" w:sz="4" w:space="0" w:color="000000"/>
              <w:bottom w:val="single" w:sz="4" w:space="0" w:color="000000"/>
              <w:right w:val="single" w:sz="4" w:space="0" w:color="000000"/>
            </w:tcBorders>
            <w:shd w:fill="auto" w:val="clear"/>
            <w:vAlign w:val="center"/>
          </w:tcPr>
          <w:p>
            <w:pPr>
              <w:pStyle w:val="ListParagraph"/>
              <w:numPr>
                <w:ilvl w:val="0"/>
                <w:numId w:val="2"/>
              </w:numPr>
              <w:pBdr/>
              <w:ind w:left="360" w:right="261" w:hanging="360"/>
              <w:rPr>
                <w:color w:val="auto"/>
                <w:lang w:val="en-GB"/>
              </w:rPr>
            </w:pPr>
            <w:r>
              <w:rPr>
                <w:color w:val="auto"/>
                <w:lang w:val="en-GB"/>
              </w:rPr>
              <w:t>Corporate Resources Planning and Risk Assurance Directorate</w:t>
            </w:r>
          </w:p>
          <w:p>
            <w:pPr>
              <w:pStyle w:val="ListParagraph"/>
              <w:numPr>
                <w:ilvl w:val="0"/>
                <w:numId w:val="2"/>
              </w:numPr>
              <w:pBdr/>
              <w:ind w:left="360" w:right="261" w:hanging="360"/>
              <w:rPr>
                <w:color w:val="auto"/>
                <w:lang w:val="en-GB"/>
              </w:rPr>
            </w:pPr>
            <w:r>
              <w:rPr>
                <w:color w:val="auto"/>
                <w:lang w:val="en-GB"/>
              </w:rPr>
              <w:t xml:space="preserve">GMFRS Executive Board and Senior Leadership Team </w:t>
            </w:r>
          </w:p>
          <w:p>
            <w:pPr>
              <w:pStyle w:val="ListParagraph"/>
              <w:numPr>
                <w:ilvl w:val="0"/>
                <w:numId w:val="2"/>
              </w:numPr>
              <w:pBdr/>
              <w:ind w:left="360" w:right="261" w:hanging="360"/>
              <w:rPr>
                <w:color w:val="auto"/>
                <w:lang w:val="en-GB"/>
              </w:rPr>
            </w:pPr>
            <w:r>
              <w:rPr>
                <w:color w:val="auto"/>
                <w:lang w:val="en-GB"/>
              </w:rPr>
              <w:t>Response Teams – Borough and Station Management Teams</w:t>
            </w:r>
          </w:p>
          <w:p>
            <w:pPr>
              <w:pStyle w:val="ListParagraph"/>
              <w:numPr>
                <w:ilvl w:val="0"/>
                <w:numId w:val="2"/>
              </w:numPr>
              <w:pBdr/>
              <w:ind w:left="360" w:right="261" w:hanging="360"/>
              <w:rPr>
                <w:color w:val="auto"/>
                <w:lang w:val="en-GB"/>
              </w:rPr>
            </w:pPr>
            <w:r>
              <w:rPr>
                <w:color w:val="auto"/>
                <w:lang w:val="en-GB"/>
              </w:rPr>
              <w:t>Departmental / Service Managers</w:t>
            </w:r>
          </w:p>
          <w:p>
            <w:pPr>
              <w:pStyle w:val="ListParagraph"/>
              <w:numPr>
                <w:ilvl w:val="0"/>
                <w:numId w:val="2"/>
              </w:numPr>
              <w:pBdr/>
              <w:ind w:left="360" w:right="261" w:hanging="360"/>
              <w:rPr>
                <w:color w:val="auto"/>
                <w:lang w:val="en-GB"/>
              </w:rPr>
            </w:pPr>
            <w:r>
              <w:rPr>
                <w:color w:val="auto"/>
                <w:lang w:val="en-GB"/>
              </w:rPr>
              <w:t>Performance Reps</w:t>
            </w:r>
          </w:p>
          <w:p>
            <w:pPr>
              <w:pStyle w:val="ListParagraph"/>
              <w:numPr>
                <w:ilvl w:val="0"/>
                <w:numId w:val="2"/>
              </w:numPr>
              <w:pBdr/>
              <w:ind w:left="360" w:right="261" w:hanging="360"/>
              <w:rPr>
                <w:color w:val="auto"/>
                <w:lang w:val="en-GB"/>
              </w:rPr>
            </w:pPr>
            <w:r>
              <w:rPr>
                <w:color w:val="auto"/>
                <w:lang w:val="en-GB"/>
              </w:rPr>
              <w:t>Enabling Teams – Digital, Finance, Procurement, People</w:t>
            </w:r>
          </w:p>
          <w:p>
            <w:pPr>
              <w:pStyle w:val="ListParagraph"/>
              <w:numPr>
                <w:ilvl w:val="0"/>
                <w:numId w:val="2"/>
              </w:numPr>
              <w:pBdr/>
              <w:ind w:left="360" w:right="261" w:hanging="360"/>
              <w:rPr>
                <w:color w:val="auto"/>
                <w:lang w:val="en-GB"/>
              </w:rPr>
            </w:pPr>
            <w:r>
              <w:rPr>
                <w:color w:val="auto"/>
                <w:lang w:val="en-GB"/>
              </w:rPr>
              <w:t>GMCA Teams</w:t>
            </w:r>
          </w:p>
          <w:p>
            <w:pPr>
              <w:pStyle w:val="ListParagraph"/>
              <w:numPr>
                <w:ilvl w:val="0"/>
                <w:numId w:val="2"/>
              </w:numPr>
              <w:pBdr/>
              <w:ind w:left="360" w:right="261" w:hanging="360"/>
              <w:rPr>
                <w:lang w:val="en-GB"/>
              </w:rPr>
            </w:pPr>
            <w:r>
              <w:rPr>
                <w:lang w:val="en-GB"/>
              </w:rPr>
              <w:t>Other Fire and Rescue Services – Performance Teams / Leads</w:t>
            </w:r>
          </w:p>
        </w:tc>
      </w:tr>
    </w:tbl>
    <w:p>
      <w:pPr>
        <w:pStyle w:val="Body"/>
        <w:ind w:left="-567" w:right="261" w:hanging="0"/>
        <w:rPr>
          <w:rFonts w:eastAsia="Calibri"/>
          <w:b/>
          <w:b/>
          <w:bCs/>
          <w:iCs/>
        </w:rPr>
      </w:pPr>
      <w:r>
        <w:rPr>
          <w:rFonts w:eastAsia="Calibri"/>
          <w:b/>
          <w:bCs/>
          <w:iCs/>
        </w:rPr>
      </w:r>
    </w:p>
    <w:tbl>
      <w:tblPr>
        <w:tblW w:w="10220" w:type="dxa"/>
        <w:jc w:val="center"/>
        <w:tblInd w:w="0" w:type="dxa"/>
        <w:tblCellMar>
          <w:top w:w="80" w:type="dxa"/>
          <w:left w:w="80" w:type="dxa"/>
          <w:bottom w:w="80" w:type="dxa"/>
          <w:right w:w="80" w:type="dxa"/>
        </w:tblCellMar>
      </w:tblPr>
      <w:tblGrid>
        <w:gridCol w:w="10220"/>
      </w:tblGrid>
      <w:tr>
        <w:trPr>
          <w:trHeight w:val="479" w:hRule="atLeast"/>
        </w:trPr>
        <w:tc>
          <w:tcPr>
            <w:tcW w:w="10220" w:type="dxa"/>
            <w:tcBorders>
              <w:top w:val="single" w:sz="6" w:space="0" w:color="000000"/>
              <w:left w:val="single" w:sz="6" w:space="0" w:color="000000"/>
              <w:bottom w:val="single" w:sz="4" w:space="0" w:color="000000"/>
              <w:right w:val="single" w:sz="6" w:space="0" w:color="000000"/>
            </w:tcBorders>
            <w:shd w:fill="000000" w:val="clear"/>
            <w:vAlign w:val="center"/>
          </w:tcPr>
          <w:p>
            <w:pPr>
              <w:pStyle w:val="Body"/>
              <w:ind w:left="0" w:right="261" w:hanging="0"/>
              <w:rPr>
                <w:rFonts w:eastAsia="Calibri"/>
                <w:b/>
                <w:b/>
                <w:bCs/>
                <w:color w:val="FFFFFF"/>
                <w:u w:val="none" w:color="FFFFFF"/>
              </w:rPr>
            </w:pPr>
            <w:r>
              <w:rPr>
                <w:rFonts w:eastAsia="Calibri"/>
                <w:b/>
                <w:bCs/>
                <w:color w:val="FFFFFF"/>
                <w:u w:val="none" w:color="FFFFFF"/>
              </w:rPr>
              <w:t xml:space="preserve">KEY RESPONSIBILITIES </w:t>
            </w:r>
          </w:p>
        </w:tc>
      </w:tr>
      <w:tr>
        <w:trPr>
          <w:trHeight w:val="624" w:hRule="atLeast"/>
        </w:trPr>
        <w:tc>
          <w:tcPr>
            <w:tcW w:w="10220" w:type="dxa"/>
            <w:tcBorders>
              <w:top w:val="single" w:sz="4" w:space="0" w:color="000000"/>
              <w:left w:val="single" w:sz="4" w:space="0" w:color="000000"/>
              <w:bottom w:val="single" w:sz="4" w:space="0" w:color="000000"/>
              <w:right w:val="single" w:sz="6" w:space="0" w:color="000000"/>
            </w:tcBorders>
            <w:shd w:fill="auto" w:val="clear"/>
            <w:vAlign w:val="center"/>
          </w:tcPr>
          <w:p>
            <w:pPr>
              <w:pStyle w:val="Normal"/>
              <w:pBdr/>
              <w:spacing w:lineRule="auto" w:line="276" w:before="0" w:after="240"/>
              <w:ind w:left="0" w:right="195" w:hanging="0"/>
              <w:rPr>
                <w:rFonts w:ascii="Arial" w:hAnsi="Arial" w:cs="Arial"/>
                <w:sz w:val="22"/>
                <w:szCs w:val="22"/>
              </w:rPr>
            </w:pPr>
            <w:r>
              <w:rPr>
                <w:rFonts w:cs="Arial" w:ascii="Arial" w:hAnsi="Arial"/>
                <w:sz w:val="22"/>
                <w:szCs w:val="22"/>
              </w:rPr>
              <w:t>The responsibilities below reflect the two connected elements of the role: producing meaningful performance insight and supporting teams to turn that insight into improvement.</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Support development and implementation of a robust corporate performance management / performance improvement framework and toolkit.</w:t>
            </w:r>
          </w:p>
          <w:p>
            <w:pPr>
              <w:pStyle w:val="ListParagraph"/>
              <w:numPr>
                <w:ilvl w:val="0"/>
                <w:numId w:val="6"/>
              </w:numPr>
              <w:spacing w:lineRule="auto" w:line="276" w:before="0" w:after="240"/>
              <w:ind w:left="720" w:right="58" w:hanging="360"/>
              <w:rPr>
                <w:lang w:val="en-GB"/>
              </w:rPr>
            </w:pPr>
            <w:r>
              <w:rPr>
                <w:lang w:val="en-GB"/>
              </w:rPr>
              <w:t>Responsible for data interpretation and analysis of highly complex statistical information, to inform strategies and performance improvement activities.</w:t>
            </w:r>
          </w:p>
          <w:p>
            <w:pPr>
              <w:pStyle w:val="ListParagraph"/>
              <w:numPr>
                <w:ilvl w:val="0"/>
                <w:numId w:val="6"/>
              </w:numPr>
              <w:spacing w:lineRule="auto" w:line="276" w:before="0" w:after="240"/>
              <w:ind w:left="720" w:right="58" w:hanging="360"/>
              <w:rPr>
                <w:lang w:val="en-GB"/>
              </w:rPr>
            </w:pPr>
            <w:r>
              <w:rPr>
                <w:lang w:val="en-GB"/>
              </w:rPr>
              <w:t>Facilitate the production and development of performance indicators across the Service’s four strategic pillars, engaging with key stakeholders and making use of good practice.</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To provide senior managers with medium- and long-term trend analysis and contextual issues relating to fires and other emergency incidents.</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Interpreting and presenting data from multiple sources in a clear and consistent manner and providing guidance to a range of stakeholders in relation to performance improvement and strategy development and implementation, being mindful of any sensitivities with regard to data and/or information security.</w:t>
            </w:r>
          </w:p>
          <w:p>
            <w:pPr>
              <w:pStyle w:val="ListParagraph"/>
              <w:numPr>
                <w:ilvl w:val="0"/>
                <w:numId w:val="6"/>
              </w:numPr>
              <w:spacing w:lineRule="auto" w:line="276" w:before="0" w:after="240"/>
              <w:ind w:left="720" w:right="58" w:hanging="360"/>
              <w:rPr>
                <w:lang w:val="en-GB"/>
              </w:rPr>
            </w:pPr>
            <w:r>
              <w:rPr>
                <w:lang w:val="en-GB"/>
              </w:rPr>
              <w:t xml:space="preserve">Developing internal and external benchmarking and using this to support and influence internal stakeholders to target focused improvement activities and projects. </w:t>
            </w:r>
          </w:p>
          <w:p>
            <w:pPr>
              <w:pStyle w:val="ListParagraph"/>
              <w:numPr>
                <w:ilvl w:val="0"/>
                <w:numId w:val="6"/>
              </w:numPr>
              <w:spacing w:lineRule="auto" w:line="276" w:before="0" w:after="240"/>
              <w:ind w:left="720" w:right="58" w:hanging="360"/>
              <w:rPr>
                <w:lang w:val="en-GB"/>
              </w:rPr>
            </w:pPr>
            <w:r>
              <w:rPr>
                <w:lang w:val="en-GB"/>
              </w:rPr>
              <w:t xml:space="preserve">Support the development of performance management systems that enable effective measurement, identify opportunities for improvement and efficiency, and inform longer-term organisational strategy. </w:t>
            </w:r>
          </w:p>
          <w:p>
            <w:pPr>
              <w:pStyle w:val="ListParagraph"/>
              <w:numPr>
                <w:ilvl w:val="0"/>
                <w:numId w:val="6"/>
              </w:numPr>
              <w:spacing w:lineRule="auto" w:line="276" w:before="0" w:after="240"/>
              <w:ind w:left="720" w:right="58" w:hanging="360"/>
              <w:rPr>
                <w:lang w:val="en-GB"/>
              </w:rPr>
            </w:pPr>
            <w:r>
              <w:rPr>
                <w:lang w:val="en-GB"/>
              </w:rPr>
              <w:t>Ensure data integrity to provide quality and accuracy in performance reporting to support effective decision making, inform prevention activities and identify potential risks.</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To attend local meetings to assist in the identification of inter-agency issues pertinent to the Fire and Rescue Service</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 xml:space="preserve">Work with internal stakeholders to analyse quantitative and qualitative information and develop local performance dashboards and reports, KPIs, targets and internal benchmarking to inform organisational strategies. </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 xml:space="preserve">Lead, coach and mentor internal stakeholders to identify opportunities to improve performance and improve community outcomes. Facilitate robust review of improvement initiatives to ensure good practice is standardised. </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 xml:space="preserve">Support the continuous improvement of corporate governance arrangements to ensure clear responsibility and accountability is in place at all levels to deliver the corporate strategy in a cost-effective manner. </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 xml:space="preserve">Provide business analysis, value stream mapping and troubleshooting reviews for directorates as required to drive public value and performance improvements, proactively working with internal stakeholders to develop new processes, policies and procedures which help to drive continuous improvement. </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 xml:space="preserve">Support external assessment and audit including HMICFRS, Peer Challenge and any external inspection regime. Support internal stakeholders to deliver improvements through external assessment. </w:t>
            </w:r>
          </w:p>
          <w:p>
            <w:pPr>
              <w:pStyle w:val="ListParagraph"/>
              <w:numPr>
                <w:ilvl w:val="0"/>
                <w:numId w:val="6"/>
              </w:numPr>
              <w:pBdr/>
              <w:spacing w:lineRule="auto" w:line="276" w:before="0" w:after="240"/>
              <w:ind w:left="720" w:right="195" w:hanging="360"/>
              <w:contextualSpacing/>
              <w:rPr>
                <w:color w:val="auto"/>
                <w:lang w:val="en-GB"/>
              </w:rPr>
            </w:pPr>
            <w:r>
              <w:rPr>
                <w:color w:val="auto"/>
                <w:lang w:val="en-GB"/>
              </w:rPr>
              <w:t>Lead, coach and mentor internal stakeholders in the use of the Service’s continuous improvement tools and techniques and deliver focused improvement groups where an opportunity is identified through proactive performance monitoring and root cause analysis.</w:t>
            </w:r>
          </w:p>
          <w:p>
            <w:pPr>
              <w:pStyle w:val="ListParagraph"/>
              <w:numPr>
                <w:ilvl w:val="0"/>
                <w:numId w:val="6"/>
              </w:numPr>
              <w:pBdr/>
              <w:spacing w:lineRule="auto" w:line="276" w:before="0" w:after="240"/>
              <w:ind w:left="720" w:right="195" w:hanging="360"/>
              <w:contextualSpacing/>
              <w:rPr>
                <w:color w:val="auto"/>
                <w:lang w:val="en-GB"/>
              </w:rPr>
            </w:pPr>
            <w:r>
              <w:rPr>
                <w:color w:val="auto"/>
                <w:lang w:val="en-GB"/>
              </w:rPr>
              <w:t xml:space="preserve">Maintain a high level of professional awareness of good practice in performance improvement techniques through research and networking and use to enhance Service practices, procedures, and systems. </w:t>
            </w:r>
          </w:p>
          <w:p>
            <w:pPr>
              <w:pStyle w:val="Normal"/>
              <w:numPr>
                <w:ilvl w:val="0"/>
                <w:numId w:val="6"/>
              </w:numPr>
              <w:pBdr/>
              <w:spacing w:lineRule="auto" w:line="276" w:before="0" w:after="240"/>
              <w:ind w:left="720" w:right="195" w:hanging="360"/>
              <w:rPr>
                <w:rFonts w:ascii="Arial" w:hAnsi="Arial" w:cs="Arial"/>
                <w:sz w:val="22"/>
                <w:szCs w:val="22"/>
              </w:rPr>
            </w:pPr>
            <w:r>
              <w:rPr>
                <w:rFonts w:cs="Arial" w:ascii="Arial" w:hAnsi="Arial"/>
                <w:sz w:val="22"/>
                <w:szCs w:val="22"/>
              </w:rPr>
              <w:t>Production of regular and formally agreed performance reports to internal and external stakeholders at all levels. Co-ordinate, review and produce quarterly benchmarking reports, collating complex data from the Metropolitan Fire and Rescue Services, emphasising potential opportunities for shared learnings and communicating accordingly.</w:t>
            </w:r>
          </w:p>
          <w:p>
            <w:pPr>
              <w:pStyle w:val="ListParagraph"/>
              <w:numPr>
                <w:ilvl w:val="0"/>
                <w:numId w:val="6"/>
              </w:numPr>
              <w:pBdr/>
              <w:spacing w:lineRule="auto" w:line="276" w:before="120" w:after="240"/>
              <w:ind w:left="720" w:right="195" w:hanging="360"/>
              <w:rPr>
                <w:color w:val="auto"/>
                <w:lang w:val="en-GB"/>
              </w:rPr>
            </w:pPr>
            <w:r>
              <w:rPr>
                <w:color w:val="auto"/>
                <w:lang w:val="en-GB"/>
              </w:rPr>
              <w:t>The postholder will carry out their duties with full regard to the organisation’s strategies and policies including Equal Opportunities and Health &amp; Safety and will demonstrate a commitment to GM Public Service principles.</w:t>
            </w:r>
          </w:p>
          <w:p>
            <w:pPr>
              <w:pStyle w:val="Normal"/>
              <w:spacing w:lineRule="auto" w:line="276"/>
              <w:ind w:left="0" w:right="195" w:hanging="0"/>
              <w:rPr>
                <w:rFonts w:ascii="Arial" w:hAnsi="Arial" w:eastAsia="Arial" w:cs="Arial"/>
                <w:sz w:val="22"/>
                <w:szCs w:val="22"/>
                <w:u w:val="none" w:color="000000"/>
              </w:rPr>
            </w:pPr>
            <w:r>
              <w:rPr>
                <w:rFonts w:eastAsia="Arial" w:cs="Arial" w:ascii="Arial" w:hAnsi="Arial"/>
                <w:sz w:val="22"/>
                <w:szCs w:val="22"/>
                <w:u w:val="none" w:color="000000"/>
              </w:rPr>
              <w:t>NB: This list of duties and responsibilities is by no means exhaustive, and the postholder may be required to undertake other relevant and appropriate duties as required.</w:t>
            </w:r>
          </w:p>
        </w:tc>
      </w:tr>
    </w:tbl>
    <w:p>
      <w:pPr>
        <w:pStyle w:val="Normal"/>
        <w:shd w:fill="FFFFFF" w:val="clear"/>
        <w:rPr>
          <w:rFonts w:ascii="Arial" w:hAnsi="Arial" w:cs="Arial"/>
          <w:b/>
          <w:b/>
          <w:color w:val="595959"/>
          <w:sz w:val="22"/>
          <w:szCs w:val="22"/>
        </w:rPr>
      </w:pPr>
      <w:r>
        <w:rPr>
          <w:rFonts w:cs="Arial" w:ascii="Arial" w:hAnsi="Arial"/>
          <w:b/>
          <w:color w:val="595959"/>
          <w:sz w:val="22"/>
          <w:szCs w:val="22"/>
        </w:rPr>
      </w:r>
    </w:p>
    <w:tbl>
      <w:tblPr>
        <w:tblW w:w="10215" w:type="dxa"/>
        <w:jc w:val="left"/>
        <w:tblInd w:w="-572" w:type="dxa"/>
        <w:tblCellMar>
          <w:top w:w="0" w:type="dxa"/>
          <w:left w:w="108" w:type="dxa"/>
          <w:bottom w:w="0" w:type="dxa"/>
          <w:right w:w="108" w:type="dxa"/>
        </w:tblCellMar>
      </w:tblPr>
      <w:tblGrid>
        <w:gridCol w:w="10215"/>
      </w:tblGrid>
      <w:tr>
        <w:trPr/>
        <w:tc>
          <w:tcPr>
            <w:tcW w:w="10215" w:type="dxa"/>
            <w:tcBorders>
              <w:top w:val="single" w:sz="4" w:space="0" w:color="000000"/>
              <w:left w:val="single" w:sz="4" w:space="0" w:color="000000"/>
              <w:bottom w:val="single" w:sz="4" w:space="0" w:color="000000"/>
              <w:right w:val="single" w:sz="4" w:space="0" w:color="000000"/>
            </w:tcBorders>
            <w:shd w:fill="000000" w:val="clear"/>
          </w:tcPr>
          <w:p>
            <w:pPr>
              <w:pStyle w:val="Body"/>
              <w:pBdr/>
              <w:spacing w:lineRule="auto" w:line="240" w:before="0" w:after="0"/>
              <w:ind w:left="18" w:right="261" w:hanging="0"/>
              <w:rPr>
                <w:rFonts w:eastAsia="Calibri"/>
                <w:b/>
                <w:b/>
                <w:bCs/>
                <w:color w:val="FFFFFF"/>
                <w:u w:val="none" w:color="FFFFFF"/>
              </w:rPr>
            </w:pPr>
            <w:r>
              <w:rPr>
                <w:rFonts w:eastAsia="Calibri"/>
                <w:b/>
                <w:bCs/>
                <w:color w:val="FFFFFF"/>
                <w:u w:val="none" w:color="FFFFFF"/>
              </w:rPr>
              <w:t>KNOWLEDGE, SKILLS, AND EXPERIENCE</w:t>
            </w:r>
          </w:p>
        </w:tc>
      </w:tr>
      <w:tr>
        <w:trPr/>
        <w:tc>
          <w:tcPr>
            <w:tcW w:w="102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before="240" w:after="0"/>
              <w:ind w:left="-5" w:right="0" w:hanging="0"/>
              <w:rPr>
                <w:rFonts w:ascii="Arial" w:hAnsi="Arial" w:cs="Arial"/>
                <w:b/>
                <w:b/>
                <w:sz w:val="22"/>
                <w:szCs w:val="22"/>
              </w:rPr>
            </w:pPr>
            <w:r>
              <w:rPr>
                <w:rFonts w:cs="Arial" w:ascii="Arial" w:hAnsi="Arial"/>
                <w:b/>
                <w:sz w:val="22"/>
                <w:szCs w:val="22"/>
              </w:rPr>
              <w:t xml:space="preserve">Key Requirements Education, qualifications and associations </w:t>
            </w:r>
          </w:p>
          <w:p>
            <w:pPr>
              <w:pStyle w:val="Normal"/>
              <w:numPr>
                <w:ilvl w:val="0"/>
                <w:numId w:val="5"/>
              </w:numPr>
              <w:spacing w:lineRule="auto" w:line="276" w:before="0" w:after="0"/>
              <w:ind w:left="360" w:right="0" w:hanging="360"/>
              <w:rPr>
                <w:rFonts w:ascii="Arial" w:hAnsi="Arial" w:cs="Arial"/>
                <w:sz w:val="22"/>
                <w:szCs w:val="22"/>
              </w:rPr>
            </w:pPr>
            <w:r>
              <w:rPr>
                <w:rFonts w:cs="Arial" w:ascii="Arial" w:hAnsi="Arial"/>
                <w:sz w:val="22"/>
                <w:szCs w:val="22"/>
              </w:rPr>
              <w:t>Educated to degree level, or equivalent experience in a relevant field</w:t>
            </w:r>
          </w:p>
          <w:p>
            <w:pPr>
              <w:pStyle w:val="Normal"/>
              <w:numPr>
                <w:ilvl w:val="0"/>
                <w:numId w:val="5"/>
              </w:numPr>
              <w:spacing w:lineRule="auto" w:line="276" w:before="0" w:after="0"/>
              <w:ind w:left="360" w:right="0" w:hanging="360"/>
              <w:rPr>
                <w:rFonts w:ascii="Arial" w:hAnsi="Arial" w:cs="Arial"/>
                <w:sz w:val="22"/>
                <w:szCs w:val="22"/>
              </w:rPr>
            </w:pPr>
            <w:r>
              <w:rPr>
                <w:rFonts w:cs="Arial" w:ascii="Arial" w:hAnsi="Arial"/>
                <w:sz w:val="22"/>
                <w:szCs w:val="22"/>
              </w:rPr>
              <w:t>Professional training / qualification relating to continuous improvement techniques (e.g. LEAN), or equivalent experience in this area</w:t>
            </w:r>
          </w:p>
          <w:p>
            <w:pPr>
              <w:pStyle w:val="Normal"/>
              <w:numPr>
                <w:ilvl w:val="0"/>
                <w:numId w:val="5"/>
              </w:numPr>
              <w:spacing w:lineRule="auto" w:line="276" w:before="0" w:after="0"/>
              <w:ind w:left="360" w:right="0" w:hanging="360"/>
              <w:rPr>
                <w:rFonts w:ascii="Arial" w:hAnsi="Arial" w:cs="Arial"/>
                <w:sz w:val="22"/>
                <w:szCs w:val="22"/>
              </w:rPr>
            </w:pPr>
            <w:r>
              <w:rPr>
                <w:rFonts w:cs="Arial" w:ascii="Arial" w:hAnsi="Arial"/>
                <w:sz w:val="22"/>
                <w:szCs w:val="22"/>
              </w:rPr>
              <w:t>Professional training / qualification relating to performance audit and benchmarking techniques, or equivalent experience in this area</w:t>
            </w:r>
          </w:p>
          <w:p>
            <w:pPr>
              <w:pStyle w:val="Normal"/>
              <w:widowControl w:val="false"/>
              <w:pBdr/>
              <w:spacing w:lineRule="auto" w:line="276" w:before="240" w:after="0"/>
              <w:rPr/>
            </w:pPr>
            <w:r>
              <w:rPr>
                <w:rFonts w:cs="Arial" w:ascii="Arial" w:hAnsi="Arial"/>
                <w:b/>
                <w:sz w:val="22"/>
                <w:szCs w:val="22"/>
              </w:rPr>
              <w:t xml:space="preserve">Knowledge &amp; Experience </w:t>
            </w:r>
            <w:r>
              <w:rPr>
                <w:rFonts w:cs="Arial" w:ascii="Arial" w:hAnsi="Arial"/>
                <w:sz w:val="22"/>
                <w:szCs w:val="22"/>
              </w:rPr>
              <w:t xml:space="preserve"> </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Designing and delivering performance improvement arrangements to deliver efficiencies and improve service delivery</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Experience of analysing performance trends and other varied complex data to develop targets and improvement activities supporting the overall delivery of organisational strategies</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Significant experience in influencing internal stakeholders to deliver improvement opportunities</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High level of numerical accuracy and reasoning skills</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Understanding of the principles of continuous improvement</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Experience of internal and external benchmarking</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Experience of training, mentoring and coaching teams and individuals in the use of focused improvement techniques and performance tools, including delivering workshops as required</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Experience of collating and reporting highly complex performance data, trends analysis and ability to present this to a range of audiences</w:t>
            </w:r>
          </w:p>
          <w:p>
            <w:pPr>
              <w:pStyle w:val="Normal"/>
              <w:numPr>
                <w:ilvl w:val="0"/>
                <w:numId w:val="3"/>
              </w:numPr>
              <w:spacing w:lineRule="auto" w:line="276" w:before="0" w:after="0"/>
              <w:ind w:left="360" w:right="0" w:hanging="360"/>
              <w:rPr>
                <w:rFonts w:ascii="Arial" w:hAnsi="Arial" w:cs="Arial"/>
                <w:sz w:val="22"/>
                <w:szCs w:val="22"/>
              </w:rPr>
            </w:pPr>
            <w:r>
              <w:rPr>
                <w:rFonts w:cs="Arial" w:ascii="Arial" w:hAnsi="Arial"/>
                <w:sz w:val="22"/>
                <w:szCs w:val="22"/>
              </w:rPr>
              <w:t>Ability to work with limited supervision, making frequent decisions and exercising initiative within recognised guidelines</w:t>
            </w:r>
          </w:p>
          <w:p>
            <w:pPr>
              <w:pStyle w:val="Normal"/>
              <w:numPr>
                <w:ilvl w:val="0"/>
                <w:numId w:val="3"/>
              </w:numPr>
              <w:spacing w:lineRule="auto" w:line="276" w:before="0" w:after="240"/>
              <w:ind w:left="360" w:right="0" w:hanging="360"/>
              <w:rPr>
                <w:rFonts w:ascii="Arial" w:hAnsi="Arial" w:cs="Arial"/>
                <w:sz w:val="22"/>
                <w:szCs w:val="22"/>
              </w:rPr>
            </w:pPr>
            <w:r>
              <w:rPr>
                <w:rFonts w:cs="Arial" w:ascii="Arial" w:hAnsi="Arial"/>
                <w:sz w:val="22"/>
                <w:szCs w:val="22"/>
              </w:rPr>
              <w:t>Experience of communicating performance findings and improvement opportunities clearly to different audiences</w:t>
            </w:r>
          </w:p>
          <w:p>
            <w:pPr>
              <w:pStyle w:val="Body"/>
              <w:spacing w:lineRule="auto" w:line="276" w:before="0" w:after="0"/>
              <w:rPr>
                <w:b/>
                <w:b/>
                <w:color w:val="auto"/>
              </w:rPr>
            </w:pPr>
            <w:r>
              <w:rPr>
                <w:b/>
                <w:color w:val="auto"/>
              </w:rPr>
              <w:t xml:space="preserve">Skills &amp; Behaviours </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Advanced level analysis, data interpretation and problem-solving skills</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Excellent verbal and written communication skills, including report-writing, presentation and facilitation</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Ability to obtain, validate, analyse and interpret complex data from relevant systems and sources</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Experience of using data visualisation tools, such as Power BI, to interpret and present performance information in a clear and accessible way. Experience of developing dashboards and reports would be advantageous.</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Ability to convey often complex information and guidance in a clear and understandable manner appropriate to the recipient</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Flexible and adaptable approach</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 xml:space="preserve">Demonstrable project management skills </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 xml:space="preserve">Excellent organisational skills and ability to multi-task and reprioritise as required </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 xml:space="preserve">Excellent ICT skills and knowledge in use of Microsoft products (Excel, Word, PowerPoint, Teams etc.) </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Ability to build strong and trusting relationships with stakeholders, customers and colleagues</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 xml:space="preserve">Acting as a role model for the directorate </w:t>
            </w:r>
          </w:p>
          <w:p>
            <w:pPr>
              <w:pStyle w:val="Normal"/>
              <w:numPr>
                <w:ilvl w:val="0"/>
                <w:numId w:val="4"/>
              </w:numPr>
              <w:spacing w:lineRule="auto" w:line="276" w:before="0" w:after="0"/>
              <w:ind w:left="360" w:right="0" w:hanging="360"/>
              <w:rPr>
                <w:rFonts w:ascii="Arial" w:hAnsi="Arial" w:cs="Arial"/>
                <w:sz w:val="22"/>
                <w:szCs w:val="22"/>
              </w:rPr>
            </w:pPr>
            <w:r>
              <w:rPr>
                <w:rFonts w:cs="Arial" w:ascii="Arial" w:hAnsi="Arial"/>
                <w:sz w:val="22"/>
                <w:szCs w:val="22"/>
              </w:rPr>
              <w:t xml:space="preserve">Willingness and ability to travel across Greater Manchester and work from other sites when required, with occasional travel out of county. </w:t>
            </w:r>
          </w:p>
          <w:p>
            <w:pPr>
              <w:pStyle w:val="Normal"/>
              <w:widowControl w:val="false"/>
              <w:spacing w:lineRule="auto" w:line="276" w:before="240" w:after="0"/>
              <w:rPr/>
            </w:pPr>
            <w:r>
              <w:rPr>
                <w:rFonts w:cs="Arial" w:ascii="Arial" w:hAnsi="Arial"/>
                <w:b/>
                <w:sz w:val="22"/>
                <w:szCs w:val="22"/>
              </w:rPr>
              <w:t xml:space="preserve">FOR ROLES EXEMPT FROM THE REHABILITATION OF OFFENDERS ACT: </w:t>
            </w:r>
            <w:r>
              <w:rPr>
                <w:rFonts w:cs="Arial" w:ascii="Arial" w:hAnsi="Arial"/>
                <w:sz w:val="22"/>
                <w:szCs w:val="22"/>
              </w:rPr>
              <w:t>This role is exempt from the Rehabilitation of Offenders Act (1974) and will require disclosure of all convictions including those considered spent under the Act. The role holder will be subject to an Enhanced level check by the Disclosure &amp; Barring Service.</w:t>
            </w:r>
          </w:p>
          <w:p>
            <w:pPr>
              <w:pStyle w:val="Normal"/>
              <w:pBdr/>
              <w:spacing w:lineRule="auto" w:line="276" w:before="0" w:after="0"/>
              <w:ind w:left="0" w:right="-336" w:hanging="0"/>
              <w:rPr>
                <w:rFonts w:ascii="Arial" w:hAnsi="Arial" w:cs="Arial"/>
                <w:b/>
                <w:b/>
                <w:color w:val="595959"/>
                <w:sz w:val="22"/>
                <w:szCs w:val="22"/>
              </w:rPr>
            </w:pPr>
            <w:r>
              <w:rPr>
                <w:rFonts w:cs="Arial" w:ascii="Arial" w:hAnsi="Arial"/>
                <w:b/>
                <w:color w:val="595959"/>
                <w:sz w:val="22"/>
                <w:szCs w:val="22"/>
              </w:rPr>
            </w:r>
          </w:p>
        </w:tc>
      </w:tr>
    </w:tbl>
    <w:p>
      <w:pPr>
        <w:pStyle w:val="Normal"/>
        <w:shd w:fill="FFFFFF" w:val="clear"/>
        <w:ind w:left="-567" w:right="-336" w:hanging="0"/>
        <w:rPr>
          <w:rFonts w:ascii="Arial" w:hAnsi="Arial" w:cs="Arial"/>
          <w:b/>
          <w:b/>
          <w:color w:val="595959"/>
          <w:sz w:val="22"/>
          <w:szCs w:val="22"/>
        </w:rPr>
      </w:pPr>
      <w:r>
        <w:rPr>
          <w:rFonts w:cs="Arial" w:ascii="Arial" w:hAnsi="Arial"/>
          <w:b/>
          <w:color w:val="595959"/>
          <w:sz w:val="22"/>
          <w:szCs w:val="22"/>
        </w:rPr>
      </w:r>
    </w:p>
    <w:p>
      <w:pPr>
        <w:pStyle w:val="Normal"/>
        <w:shd w:fill="FFFFFF" w:val="clear"/>
        <w:ind w:left="-567" w:right="-336" w:hanging="0"/>
        <w:rPr>
          <w:rFonts w:ascii="Arial" w:hAnsi="Arial" w:cs="Arial"/>
          <w:b/>
          <w:b/>
          <w:color w:val="595959"/>
          <w:sz w:val="22"/>
          <w:szCs w:val="22"/>
        </w:rPr>
      </w:pPr>
      <w:r>
        <w:rPr>
          <w:rFonts w:cs="Arial" w:ascii="Arial" w:hAnsi="Arial"/>
          <w:b/>
          <w:color w:val="595959"/>
          <w:sz w:val="22"/>
          <w:szCs w:val="22"/>
        </w:rPr>
        <w:t>Corporate Duties</w:t>
      </w:r>
    </w:p>
    <w:p>
      <w:pPr>
        <w:pStyle w:val="TextBody"/>
        <w:widowControl w:val="false"/>
        <w:tabs>
          <w:tab w:val="clear" w:pos="720"/>
          <w:tab w:val="left" w:pos="-720" w:leader="none"/>
        </w:tabs>
        <w:suppressAutoHyphens w:val="true"/>
        <w:ind w:left="-567" w:right="-336" w:hanging="0"/>
        <w:rPr>
          <w:rFonts w:cs="Arial"/>
          <w:color w:val="595959"/>
          <w:sz w:val="22"/>
          <w:szCs w:val="22"/>
        </w:rPr>
      </w:pPr>
      <w:r>
        <w:rPr>
          <w:rFonts w:cs="Arial"/>
          <w:color w:val="595959"/>
          <w:sz w:val="22"/>
          <w:szCs w:val="22"/>
        </w:rPr>
        <w:t>Avoid any behaviour which discriminates against your fellow employees, or potential employees on the grounds of their sex, sexual orientation, marital status, race, religion, creed, colour, nationality, ethnic origin, or disability.  Safeguard at all times confidentiality of information relating to staff and pensioners.  Refrain from smoking in any areas of Service premises.  Behave in a manner that ensures the security of property and resources.  Abide by all relevant Service Policies and Procedures.</w:t>
      </w:r>
    </w:p>
    <w:p>
      <w:pPr>
        <w:pStyle w:val="ListParagraph"/>
        <w:ind w:left="-567" w:right="-336" w:hanging="0"/>
        <w:rPr>
          <w:color w:val="595959"/>
          <w:lang w:val="en-GB"/>
        </w:rPr>
      </w:pPr>
      <w:r>
        <w:rPr>
          <w:color w:val="595959"/>
          <w:lang w:val="en-GB"/>
        </w:rPr>
      </w:r>
    </w:p>
    <w:p>
      <w:pPr>
        <w:pStyle w:val="Normal"/>
        <w:tabs>
          <w:tab w:val="clear" w:pos="720"/>
          <w:tab w:val="left" w:pos="1134" w:leader="none"/>
        </w:tabs>
        <w:spacing w:before="0" w:after="0"/>
        <w:ind w:left="-567" w:right="-336" w:hanging="0"/>
        <w:contextualSpacing/>
        <w:rPr>
          <w:rFonts w:ascii="Arial" w:hAnsi="Arial" w:cs="Arial"/>
          <w:b/>
          <w:b/>
          <w:color w:val="595959"/>
          <w:sz w:val="22"/>
          <w:szCs w:val="22"/>
        </w:rPr>
      </w:pPr>
      <w:r>
        <w:rPr>
          <w:rFonts w:cs="Arial" w:ascii="Arial" w:hAnsi="Arial"/>
          <w:b/>
          <w:color w:val="595959"/>
          <w:sz w:val="22"/>
          <w:szCs w:val="22"/>
        </w:rPr>
        <w:t>Records Management/ Data Protection</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t>As an employee of the GMCA, you have a legal responsibility for all records (including employee health, financial, personal, and administrative) that you gather or use as part of your work with the Service. The records may be paper, electronic, audio or videotapes. You must consult your manager if you have any doubt as to the correct management of the records with which you work.</w:t>
      </w:r>
    </w:p>
    <w:p>
      <w:pPr>
        <w:pStyle w:val="BodyTextIndent3"/>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ind w:left="-567" w:right="-336" w:hanging="0"/>
        <w:contextualSpacing/>
        <w:rPr>
          <w:rFonts w:ascii="Arial" w:hAnsi="Arial" w:cs="Arial"/>
          <w:b/>
          <w:b/>
          <w:color w:val="595959"/>
          <w:sz w:val="22"/>
          <w:szCs w:val="22"/>
        </w:rPr>
      </w:pPr>
      <w:r>
        <w:rPr>
          <w:rFonts w:cs="Arial" w:ascii="Arial" w:hAnsi="Arial"/>
          <w:b/>
          <w:color w:val="595959"/>
          <w:sz w:val="22"/>
          <w:szCs w:val="22"/>
        </w:rPr>
        <w:t>Confidentiality and Information Security</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t>As a GMCA employee you are required to uphold the confidentiality of all records held by the GMCA, whether employee records or GMCA information. This duty lasts indefinitely and will continue after you leave the GMCA employment. All employees must maintain confidentiality and abide by the Data Protection Act.</w:t>
      </w:r>
    </w:p>
    <w:p>
      <w:pPr>
        <w:pStyle w:val="Normal"/>
        <w:spacing w:before="0" w:after="0"/>
        <w:ind w:left="-567" w:right="-336" w:hanging="0"/>
        <w:contextualSpacing/>
        <w:rPr>
          <w:rFonts w:ascii="Arial" w:hAnsi="Arial" w:eastAsia="Arial" w:cs="Arial"/>
          <w:color w:val="595959"/>
          <w:sz w:val="22"/>
          <w:szCs w:val="22"/>
        </w:rPr>
      </w:pPr>
      <w:r>
        <w:rPr>
          <w:rFonts w:eastAsia="Arial" w:cs="Arial" w:ascii="Arial" w:hAnsi="Arial"/>
          <w:color w:val="595959"/>
          <w:sz w:val="22"/>
          <w:szCs w:val="22"/>
        </w:rPr>
        <w:t xml:space="preserve"> </w:t>
      </w:r>
    </w:p>
    <w:p>
      <w:pPr>
        <w:pStyle w:val="Normal"/>
        <w:spacing w:before="0" w:after="0"/>
        <w:ind w:left="-567" w:right="-336" w:hanging="0"/>
        <w:contextualSpacing/>
        <w:rPr>
          <w:rFonts w:ascii="Arial" w:hAnsi="Arial" w:cs="Arial"/>
          <w:b/>
          <w:b/>
          <w:color w:val="595959"/>
          <w:sz w:val="22"/>
          <w:szCs w:val="22"/>
        </w:rPr>
      </w:pPr>
      <w:r>
        <w:rPr>
          <w:rFonts w:cs="Arial" w:ascii="Arial" w:hAnsi="Arial"/>
          <w:b/>
          <w:color w:val="595959"/>
          <w:sz w:val="22"/>
          <w:szCs w:val="22"/>
        </w:rPr>
        <w:t>Data Quality</w:t>
      </w:r>
    </w:p>
    <w:p>
      <w:pPr>
        <w:pStyle w:val="Normal"/>
        <w:spacing w:before="0" w:after="0"/>
        <w:ind w:left="-567" w:right="-336" w:hanging="0"/>
        <w:contextualSpacing/>
        <w:rPr/>
      </w:pPr>
      <w:r>
        <w:rPr>
          <w:rFonts w:cs="Arial" w:ascii="Arial" w:hAnsi="Arial"/>
          <w:color w:val="595959"/>
          <w:sz w:val="22"/>
          <w:szCs w:val="22"/>
        </w:rPr>
        <w:t>All staff are personally responsible</w:t>
      </w:r>
      <w:r>
        <w:rPr>
          <w:rFonts w:cs="Arial" w:ascii="Arial" w:hAnsi="Arial"/>
          <w:b/>
          <w:bCs/>
          <w:color w:val="595959"/>
          <w:sz w:val="22"/>
          <w:szCs w:val="22"/>
        </w:rPr>
        <w:t xml:space="preserve"> </w:t>
      </w:r>
      <w:r>
        <w:rPr>
          <w:rFonts w:cs="Arial" w:ascii="Arial" w:hAnsi="Arial"/>
          <w:color w:val="595959"/>
          <w:sz w:val="22"/>
          <w:szCs w:val="22"/>
        </w:rPr>
        <w:t xml:space="preserve">for the quality of data entered by themselves, or on their behalf, on GMCAs computerised systems or manual records (paper records) and must ensure that such data is entered accurately and, in a timely manner, to ensure high standards of data quality in accordance with Departmental protocols.  To ensure data is handled in a secure manner protecting the confidentiality of any personal data held in meeting the requirements of the Data Protection Act. </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ind w:left="-567" w:right="-336" w:hanging="0"/>
        <w:contextualSpacing/>
        <w:rPr>
          <w:rFonts w:ascii="Arial" w:hAnsi="Arial" w:cs="Arial"/>
          <w:b/>
          <w:b/>
          <w:color w:val="595959"/>
          <w:sz w:val="22"/>
          <w:szCs w:val="22"/>
        </w:rPr>
      </w:pPr>
      <w:r>
        <w:rPr>
          <w:rFonts w:cs="Arial" w:ascii="Arial" w:hAnsi="Arial"/>
          <w:b/>
          <w:color w:val="595959"/>
          <w:sz w:val="22"/>
          <w:szCs w:val="22"/>
        </w:rPr>
        <w:t>Health and Safety</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t>All employees of GMCA have a statutory duty of care for their own personal safety and that of others who may be affected by their acts or omissions. Employees are required to co-operate with management to enable GMCA to meet its own legal duties and to report any circumstances that may compromise the health, safety, and welfare of those affected by the Service’s undertakings.</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r>
    </w:p>
    <w:p>
      <w:pPr>
        <w:pStyle w:val="Normal"/>
        <w:tabs>
          <w:tab w:val="clear" w:pos="720"/>
          <w:tab w:val="left" w:pos="1134" w:leader="none"/>
        </w:tabs>
        <w:spacing w:before="0" w:after="0"/>
        <w:ind w:left="-567" w:right="-336" w:hanging="0"/>
        <w:contextualSpacing/>
        <w:rPr>
          <w:rFonts w:ascii="Arial" w:hAnsi="Arial" w:cs="Arial"/>
          <w:b/>
          <w:b/>
          <w:color w:val="595959"/>
          <w:sz w:val="22"/>
          <w:szCs w:val="22"/>
        </w:rPr>
      </w:pPr>
      <w:r>
        <w:rPr>
          <w:rFonts w:cs="Arial" w:ascii="Arial" w:hAnsi="Arial"/>
          <w:b/>
          <w:color w:val="595959"/>
          <w:sz w:val="22"/>
          <w:szCs w:val="22"/>
        </w:rPr>
        <w:t>Service Policies</w:t>
      </w:r>
    </w:p>
    <w:p>
      <w:pPr>
        <w:pStyle w:val="Normal"/>
        <w:tabs>
          <w:tab w:val="clear" w:pos="720"/>
          <w:tab w:val="left" w:pos="1134" w:leader="none"/>
        </w:tabs>
        <w:spacing w:before="0" w:after="0"/>
        <w:ind w:left="-567" w:right="-336" w:hanging="0"/>
        <w:contextualSpacing/>
        <w:rPr>
          <w:rFonts w:ascii="Arial" w:hAnsi="Arial" w:cs="Arial"/>
          <w:color w:val="595959"/>
          <w:sz w:val="22"/>
          <w:szCs w:val="22"/>
        </w:rPr>
      </w:pPr>
      <w:r>
        <w:rPr>
          <w:rFonts w:cs="Arial" w:ascii="Arial" w:hAnsi="Arial"/>
          <w:color w:val="595959"/>
          <w:sz w:val="22"/>
          <w:szCs w:val="22"/>
        </w:rPr>
        <w:t>All GMCA employees must observe and adhere to the provisions outlined in these policies.</w:t>
      </w:r>
    </w:p>
    <w:p>
      <w:pPr>
        <w:pStyle w:val="Normal"/>
        <w:spacing w:before="0" w:after="0"/>
        <w:ind w:left="-567" w:right="-336" w:hanging="0"/>
        <w:contextualSpacing/>
        <w:rPr>
          <w:rFonts w:ascii="Arial" w:hAnsi="Arial" w:cs="Arial"/>
          <w:color w:val="595959"/>
          <w:sz w:val="22"/>
          <w:szCs w:val="22"/>
        </w:rPr>
      </w:pPr>
      <w:r>
        <w:rPr>
          <w:rFonts w:cs="Arial" w:ascii="Arial" w:hAnsi="Arial"/>
          <w:color w:val="595959"/>
          <w:sz w:val="22"/>
          <w:szCs w:val="22"/>
        </w:rPr>
      </w:r>
    </w:p>
    <w:p>
      <w:pPr>
        <w:pStyle w:val="Body"/>
        <w:ind w:left="-567" w:right="-336" w:hanging="0"/>
        <w:rPr>
          <w:b/>
          <w:b/>
          <w:color w:val="595959"/>
        </w:rPr>
      </w:pPr>
      <w:r>
        <w:rPr>
          <w:b/>
          <w:color w:val="595959"/>
        </w:rPr>
        <w:t>Equal Opportunities</w:t>
      </w:r>
    </w:p>
    <w:p>
      <w:pPr>
        <w:pStyle w:val="Body"/>
        <w:ind w:left="-567" w:right="-336" w:hanging="0"/>
        <w:rPr>
          <w:color w:val="595959"/>
        </w:rPr>
      </w:pPr>
      <w:r>
        <w:rPr>
          <w:color w:val="595959"/>
        </w:rPr>
        <w:t>GMCA provides a range of services and employment opportunities for a diverse population. As a GMCA employee you are expected to treat all employees / partners / members of the public and work colleagues with dignity and respect irrespective of their background</w:t>
      </w:r>
    </w:p>
    <w:sectPr>
      <w:headerReference w:type="default" r:id="rId3"/>
      <w:headerReference w:type="first" r:id="rId4"/>
      <w:footerReference w:type="default" r:id="rId5"/>
      <w:footerReference w:type="first" r:id="rId6"/>
      <w:type w:val="nextPage"/>
      <w:pgSz w:w="11906" w:h="16838"/>
      <w:pgMar w:left="1440" w:right="1440" w:header="426" w:top="993" w:footer="144" w:bottom="851"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Segoe UI Symbol">
    <w:charset w:val="01"/>
    <w:family w:val="swiss"/>
    <w:pitch w:val="variable"/>
  </w:font>
  <w:font w:name="Tahoma">
    <w:charset w:val="00"/>
    <w:family w:val="roman"/>
    <w:pitch w:val="variable"/>
  </w:font>
  <w:font w:name="Courier New">
    <w:charset w:val="00"/>
    <w:family w:val="roman"/>
    <w:pitch w:val="variable"/>
  </w:font>
  <w:font w:name="Liberation Sans">
    <w:altName w:val="Arial"/>
    <w:charset w:val="00"/>
    <w:family w:val="swiss"/>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lang w:val="en-GB"/>
      </w:rPr>
    </w:pPr>
    <w:r>
      <w:rPr>
        <w:lang w:val="en-GB"/>
      </w:rPr>
      <w:fldChar w:fldCharType="begin"/>
    </w:r>
    <w:r>
      <w:rPr/>
      <w:instrText> PAGE </w:instrText>
    </w:r>
    <w:r>
      <w:rPr/>
      <w:fldChar w:fldCharType="separate"/>
    </w:r>
    <w:r>
      <w:rPr/>
      <w:t>5</w:t>
    </w:r>
    <w:r>
      <w:rPr/>
      <w:fldChar w:fldCharType="end"/>
    </w:r>
  </w:p>
  <w:p>
    <w:pPr>
      <w:pStyle w:val="Footer"/>
      <w:rPr>
        <w:lang w:val="en-GB"/>
      </w:rPr>
    </w:pPr>
    <w:r>
      <w:rPr>
        <w:lang w:val="en-GB"/>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lang w:val="en-GB"/>
      </w:rPr>
    </w:pPr>
    <w:r>
      <w:rPr>
        <w:lang w:val="en-GB"/>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458" w:hanging="360"/>
      </w:pPr>
      <w:rPr>
        <w:rFonts w:ascii="Symbol" w:hAnsi="Symbol" w:cs="Symbol" w:hint="default"/>
        <w:rFonts w:cs="Symbol"/>
      </w:rPr>
    </w:lvl>
    <w:lvl w:ilvl="1">
      <w:start w:val="1"/>
      <w:numFmt w:val="bullet"/>
      <w:lvlText w:val="o"/>
      <w:lvlJc w:val="left"/>
      <w:pPr>
        <w:ind w:left="1178" w:hanging="360"/>
      </w:pPr>
      <w:rPr>
        <w:rFonts w:ascii="Courier New" w:hAnsi="Courier New" w:cs="Courier New" w:hint="default"/>
        <w:rFonts w:cs="Courier New"/>
      </w:rPr>
    </w:lvl>
    <w:lvl w:ilvl="2">
      <w:start w:val="1"/>
      <w:numFmt w:val="bullet"/>
      <w:lvlText w:val=""/>
      <w:lvlJc w:val="left"/>
      <w:pPr>
        <w:ind w:left="1898" w:hanging="360"/>
      </w:pPr>
      <w:rPr>
        <w:rFonts w:ascii="Wingdings" w:hAnsi="Wingdings" w:cs="Wingdings" w:hint="default"/>
        <w:rFonts w:cs="Wingdings"/>
      </w:rPr>
    </w:lvl>
    <w:lvl w:ilvl="3">
      <w:start w:val="1"/>
      <w:numFmt w:val="bullet"/>
      <w:lvlText w:val=""/>
      <w:lvlJc w:val="left"/>
      <w:pPr>
        <w:ind w:left="2618" w:hanging="360"/>
      </w:pPr>
      <w:rPr>
        <w:rFonts w:ascii="Symbol" w:hAnsi="Symbol" w:cs="Symbol" w:hint="default"/>
        <w:rFonts w:cs="Symbol"/>
      </w:rPr>
    </w:lvl>
    <w:lvl w:ilvl="4">
      <w:start w:val="1"/>
      <w:numFmt w:val="bullet"/>
      <w:lvlText w:val="o"/>
      <w:lvlJc w:val="left"/>
      <w:pPr>
        <w:ind w:left="3338" w:hanging="360"/>
      </w:pPr>
      <w:rPr>
        <w:rFonts w:ascii="Courier New" w:hAnsi="Courier New" w:cs="Courier New" w:hint="default"/>
        <w:rFonts w:cs="Courier New"/>
      </w:rPr>
    </w:lvl>
    <w:lvl w:ilvl="5">
      <w:start w:val="1"/>
      <w:numFmt w:val="bullet"/>
      <w:lvlText w:val=""/>
      <w:lvlJc w:val="left"/>
      <w:pPr>
        <w:ind w:left="4058" w:hanging="360"/>
      </w:pPr>
      <w:rPr>
        <w:rFonts w:ascii="Wingdings" w:hAnsi="Wingdings" w:cs="Wingdings" w:hint="default"/>
        <w:rFonts w:cs="Wingdings"/>
      </w:rPr>
    </w:lvl>
    <w:lvl w:ilvl="6">
      <w:start w:val="1"/>
      <w:numFmt w:val="bullet"/>
      <w:lvlText w:val=""/>
      <w:lvlJc w:val="left"/>
      <w:pPr>
        <w:ind w:left="4778" w:hanging="360"/>
      </w:pPr>
      <w:rPr>
        <w:rFonts w:ascii="Symbol" w:hAnsi="Symbol" w:cs="Symbol" w:hint="default"/>
        <w:rFonts w:cs="Symbol"/>
      </w:rPr>
    </w:lvl>
    <w:lvl w:ilvl="7">
      <w:start w:val="1"/>
      <w:numFmt w:val="bullet"/>
      <w:lvlText w:val="o"/>
      <w:lvlJc w:val="left"/>
      <w:pPr>
        <w:ind w:left="5498" w:hanging="360"/>
      </w:pPr>
      <w:rPr>
        <w:rFonts w:ascii="Courier New" w:hAnsi="Courier New" w:cs="Courier New" w:hint="default"/>
        <w:rFonts w:cs="Courier New"/>
      </w:rPr>
    </w:lvl>
    <w:lvl w:ilvl="8">
      <w:start w:val="1"/>
      <w:numFmt w:val="bullet"/>
      <w:lvlText w:val=""/>
      <w:lvlJc w:val="left"/>
      <w:pPr>
        <w:ind w:left="6218" w:hanging="360"/>
      </w:pPr>
      <w:rPr>
        <w:rFonts w:ascii="Wingdings" w:hAnsi="Wingdings" w:cs="Wingdings" w:hint="default"/>
        <w:rFonts w:cs="Wingdings"/>
      </w:rPr>
    </w:lvl>
  </w:abstractNum>
  <w:abstractNum w:abstractNumId="3">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09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81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535"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25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397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695"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41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13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4">
    <w:lvl w:ilvl="0">
      <w:start w:val="1"/>
      <w:numFmt w:val="bullet"/>
      <w:lvlText w:val="•"/>
      <w:lvlJc w:val="left"/>
      <w:pPr>
        <w:ind w:left="36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09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181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535"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25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397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4695"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41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135"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5">
    <w:lvl w:ilvl="0">
      <w:start w:val="1"/>
      <w:numFmt w:val="bullet"/>
      <w:lvlText w:val="•"/>
      <w:lvlJc w:val="left"/>
      <w:pPr>
        <w:ind w:left="705"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1">
      <w:start w:val="1"/>
      <w:numFmt w:val="bullet"/>
      <w:lvlText w:val="o"/>
      <w:lvlJc w:val="left"/>
      <w:pPr>
        <w:ind w:left="144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2">
      <w:start w:val="1"/>
      <w:numFmt w:val="bullet"/>
      <w:lvlText w:val="▪"/>
      <w:lvlJc w:val="left"/>
      <w:pPr>
        <w:ind w:left="21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3">
      <w:start w:val="1"/>
      <w:numFmt w:val="bullet"/>
      <w:lvlText w:val="•"/>
      <w:lvlJc w:val="left"/>
      <w:pPr>
        <w:ind w:left="288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4">
      <w:start w:val="1"/>
      <w:numFmt w:val="bullet"/>
      <w:lvlText w:val="o"/>
      <w:lvlJc w:val="left"/>
      <w:pPr>
        <w:ind w:left="360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5">
      <w:start w:val="1"/>
      <w:numFmt w:val="bullet"/>
      <w:lvlText w:val="▪"/>
      <w:lvlJc w:val="left"/>
      <w:pPr>
        <w:ind w:left="432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6">
      <w:start w:val="1"/>
      <w:numFmt w:val="bullet"/>
      <w:lvlText w:val="•"/>
      <w:lvlJc w:val="left"/>
      <w:pPr>
        <w:ind w:left="5040" w:hanging="0"/>
      </w:pPr>
      <w:rPr>
        <w:rFonts w:ascii="Arial" w:hAnsi="Arial" w:cs="Arial" w:hint="default"/>
        <w:dstrike w:val="false"/>
        <w:strike w:val="false"/>
        <w:vertAlign w:val="baseline"/>
        <w:position w:val="0"/>
        <w:sz w:val="22"/>
        <w:sz w:val="22"/>
        <w:i w:val="false"/>
        <w:u w:val="none" w:color="000000"/>
        <w:b w:val="false"/>
        <w:szCs w:val="22"/>
        <w:rFonts w:cs="Arial"/>
        <w:color w:val="000000"/>
      </w:rPr>
    </w:lvl>
    <w:lvl w:ilvl="7">
      <w:start w:val="1"/>
      <w:numFmt w:val="bullet"/>
      <w:lvlText w:val="o"/>
      <w:lvlJc w:val="left"/>
      <w:pPr>
        <w:ind w:left="576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lvl w:ilvl="8">
      <w:start w:val="1"/>
      <w:numFmt w:val="bullet"/>
      <w:lvlText w:val="▪"/>
      <w:lvlJc w:val="left"/>
      <w:pPr>
        <w:ind w:left="6480" w:hanging="0"/>
      </w:pPr>
      <w:rPr>
        <w:rFonts w:ascii="Segoe UI Symbol" w:hAnsi="Segoe UI Symbol" w:cs="Segoe UI Symbol" w:hint="default"/>
        <w:dstrike w:val="false"/>
        <w:strike w:val="false"/>
        <w:vertAlign w:val="baseline"/>
        <w:position w:val="0"/>
        <w:sz w:val="22"/>
        <w:sz w:val="22"/>
        <w:i w:val="false"/>
        <w:u w:val="none" w:color="000000"/>
        <w:b w:val="false"/>
        <w:szCs w:val="22"/>
        <w:rFonts w:cs="Segoe UI Symbol"/>
        <w:color w:val="000000"/>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69"/>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pBdr/>
      <w:suppressAutoHyphens w:val="true"/>
      <w:bidi w:val="0"/>
      <w:spacing w:lineRule="auto" w:line="240" w:before="0" w:after="0"/>
      <w:jc w:val="left"/>
    </w:pPr>
    <w:rPr>
      <w:rFonts w:ascii="Times New Roman" w:hAnsi="Times New Roman" w:eastAsia="Arial Unicode MS" w:cs="Times New Roman"/>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480" w:after="0"/>
      <w:outlineLvl w:val="0"/>
    </w:pPr>
    <w:rPr>
      <w:rFonts w:ascii="Cambria" w:hAnsi="Cambria" w:eastAsia="" w:cs=""/>
      <w:b/>
      <w:bCs/>
      <w:color w:val="365F91"/>
      <w:sz w:val="28"/>
      <w:szCs w:val="28"/>
    </w:rPr>
  </w:style>
  <w:style w:type="paragraph" w:styleId="Heading2">
    <w:name w:val="Heading 2"/>
    <w:basedOn w:val="Normal"/>
    <w:next w:val="Normal"/>
    <w:qFormat/>
    <w:pPr>
      <w:keepNext w:val="true"/>
      <w:keepLines/>
      <w:numPr>
        <w:ilvl w:val="1"/>
        <w:numId w:val="1"/>
      </w:numPr>
      <w:spacing w:before="200" w:after="0"/>
      <w:outlineLvl w:val="1"/>
    </w:pPr>
    <w:rPr>
      <w:rFonts w:ascii="Cambria" w:hAnsi="Cambria" w:eastAsia="" w:cs=""/>
      <w:b/>
      <w:bCs/>
      <w:color w:val="4F81BD"/>
      <w:sz w:val="26"/>
      <w:szCs w:val="26"/>
    </w:rPr>
  </w:style>
  <w:style w:type="paragraph" w:styleId="Heading3">
    <w:name w:val="Heading 3"/>
    <w:next w:val="Body"/>
    <w:qFormat/>
    <w:pPr>
      <w:keepNext w:val="true"/>
      <w:widowControl/>
      <w:numPr>
        <w:ilvl w:val="2"/>
        <w:numId w:val="1"/>
      </w:numPr>
      <w:pBdr/>
      <w:suppressAutoHyphens w:val="true"/>
      <w:bidi w:val="0"/>
      <w:spacing w:lineRule="auto" w:line="240" w:before="0" w:after="0"/>
      <w:jc w:val="left"/>
      <w:outlineLvl w:val="2"/>
    </w:pPr>
    <w:rPr>
      <w:rFonts w:ascii="Arial" w:hAnsi="Arial" w:eastAsia="Arial" w:cs="Arial"/>
      <w:b/>
      <w:bCs/>
      <w:color w:val="FFFFFF"/>
      <w:kern w:val="0"/>
      <w:sz w:val="24"/>
      <w:szCs w:val="24"/>
      <w:u w:val="none" w:color="FFFFFF"/>
      <w:lang w:val="en-US" w:eastAsia="en-US" w:bidi="ar-SA"/>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2z1">
    <w:name w:val="WW8Num2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3z0">
    <w:name w:val="WW8Num3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3z1">
    <w:name w:val="WW8Num3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4z0">
    <w:name w:val="WW8Num4z0"/>
    <w:qFormat/>
    <w:rPr>
      <w:rFonts w:ascii="Arial" w:hAnsi="Arial" w:cs="Arial"/>
      <w:b w:val="false"/>
      <w:i w:val="false"/>
      <w:strike w:val="false"/>
      <w:dstrike w:val="false"/>
      <w:color w:val="000000"/>
      <w:position w:val="0"/>
      <w:sz w:val="22"/>
      <w:sz w:val="22"/>
      <w:szCs w:val="22"/>
      <w:u w:val="none" w:color="000000"/>
      <w:vertAlign w:val="baseline"/>
    </w:rPr>
  </w:style>
  <w:style w:type="character" w:styleId="WW8Num4z1">
    <w:name w:val="WW8Num4z1"/>
    <w:qFormat/>
    <w:rPr>
      <w:rFonts w:ascii="Segoe UI Symbol" w:hAnsi="Segoe UI Symbol" w:cs="Segoe UI Symbol"/>
      <w:b w:val="false"/>
      <w:i w:val="false"/>
      <w:strike w:val="false"/>
      <w:dstrike w:val="false"/>
      <w:color w:val="000000"/>
      <w:position w:val="0"/>
      <w:sz w:val="22"/>
      <w:sz w:val="22"/>
      <w:szCs w:val="22"/>
      <w:u w:val="none" w:color="000000"/>
      <w:vertAlign w:val="baseline"/>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Heading3Char">
    <w:name w:val="Heading 3 Char"/>
    <w:basedOn w:val="DefaultParagraphFont"/>
    <w:qFormat/>
    <w:rPr>
      <w:rFonts w:ascii="Arial" w:hAnsi="Arial" w:eastAsia="Arial" w:cs="Arial"/>
      <w:b/>
      <w:bCs/>
      <w:color w:val="FFFFFF"/>
      <w:sz w:val="24"/>
      <w:szCs w:val="24"/>
      <w:u w:val="none" w:color="FFFFFF"/>
      <w:lang w:val="en-US"/>
    </w:rPr>
  </w:style>
  <w:style w:type="character" w:styleId="HeaderChar">
    <w:name w:val="Header Char"/>
    <w:basedOn w:val="DefaultParagraphFont"/>
    <w:qFormat/>
    <w:rPr>
      <w:rFonts w:ascii="Arial" w:hAnsi="Arial" w:eastAsia="Arial" w:cs="Arial"/>
      <w:color w:val="000000"/>
      <w:u w:val="none" w:color="000000"/>
      <w:lang w:val="en-US"/>
    </w:rPr>
  </w:style>
  <w:style w:type="character" w:styleId="FooterChar">
    <w:name w:val="Footer Char"/>
    <w:basedOn w:val="DefaultParagraphFont"/>
    <w:qFormat/>
    <w:rPr>
      <w:rFonts w:ascii="Arial" w:hAnsi="Arial" w:eastAsia="Arial" w:cs="Arial"/>
      <w:color w:val="000000"/>
      <w:u w:val="none" w:color="000000"/>
      <w:lang w:val="en-US"/>
    </w:rPr>
  </w:style>
  <w:style w:type="character" w:styleId="Heading1Char">
    <w:name w:val="Heading 1 Char"/>
    <w:basedOn w:val="DefaultParagraphFont"/>
    <w:qFormat/>
    <w:rPr>
      <w:rFonts w:ascii="Cambria" w:hAnsi="Cambria" w:eastAsia="" w:cs=""/>
      <w:b/>
      <w:bCs/>
      <w:color w:val="365F91"/>
      <w:sz w:val="28"/>
      <w:szCs w:val="28"/>
      <w:lang w:val="en-US"/>
    </w:rPr>
  </w:style>
  <w:style w:type="character" w:styleId="Heading2Char">
    <w:name w:val="Heading 2 Char"/>
    <w:basedOn w:val="DefaultParagraphFont"/>
    <w:qFormat/>
    <w:rPr>
      <w:rFonts w:ascii="Cambria" w:hAnsi="Cambria" w:eastAsia="" w:cs=""/>
      <w:b/>
      <w:bCs/>
      <w:color w:val="4F81BD"/>
      <w:sz w:val="26"/>
      <w:szCs w:val="26"/>
      <w:lang w:val="en-US"/>
    </w:rPr>
  </w:style>
  <w:style w:type="character" w:styleId="BalloonTextChar">
    <w:name w:val="Balloon Text Char"/>
    <w:basedOn w:val="DefaultParagraphFont"/>
    <w:qFormat/>
    <w:rPr>
      <w:rFonts w:ascii="Tahoma" w:hAnsi="Tahoma" w:eastAsia="Arial Unicode MS" w:cs="Tahoma"/>
      <w:sz w:val="16"/>
      <w:szCs w:val="16"/>
      <w:lang w:val="en-US"/>
    </w:rPr>
  </w:style>
  <w:style w:type="character" w:styleId="PlainTextChar">
    <w:name w:val="Plain Text Char"/>
    <w:basedOn w:val="DefaultParagraphFont"/>
    <w:qFormat/>
    <w:rPr>
      <w:rFonts w:ascii="Courier New" w:hAnsi="Courier New" w:eastAsia="Times New Roman" w:cs="Times New Roman"/>
      <w:sz w:val="20"/>
      <w:szCs w:val="20"/>
    </w:rPr>
  </w:style>
  <w:style w:type="character" w:styleId="BodyTextChar">
    <w:name w:val="Body Text Char"/>
    <w:basedOn w:val="DefaultParagraphFont"/>
    <w:qFormat/>
    <w:rPr>
      <w:rFonts w:ascii="Arial" w:hAnsi="Arial" w:eastAsia="Times New Roman" w:cs="Times New Roman"/>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Arial Unicode MS" w:cs="Times New Roman"/>
      <w:sz w:val="20"/>
      <w:szCs w:val="20"/>
      <w:lang w:val="en-US"/>
    </w:rPr>
  </w:style>
  <w:style w:type="character" w:styleId="CommentSubjectChar">
    <w:name w:val="Comment Subject Char"/>
    <w:basedOn w:val="CommentTextChar"/>
    <w:qFormat/>
    <w:rPr>
      <w:rFonts w:ascii="Times New Roman" w:hAnsi="Times New Roman" w:eastAsia="Arial Unicode MS" w:cs="Times New Roman"/>
      <w:b/>
      <w:bCs/>
      <w:sz w:val="20"/>
      <w:szCs w:val="20"/>
      <w:lang w:val="en-US"/>
    </w:rPr>
  </w:style>
  <w:style w:type="character" w:styleId="BodyTextIndent3Char">
    <w:name w:val="Body Text Indent 3 Char"/>
    <w:basedOn w:val="DefaultParagraphFont"/>
    <w:qFormat/>
    <w:rPr>
      <w:rFonts w:ascii="Times New Roman" w:hAnsi="Times New Roman" w:eastAsia="Arial Unicode MS" w:cs="Times New Roman"/>
      <w:sz w:val="16"/>
      <w:szCs w:val="16"/>
      <w:lang w:val="en-US"/>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pBdr/>
      <w:snapToGrid w:val="false"/>
    </w:pPr>
    <w:rPr>
      <w:rFonts w:ascii="Arial" w:hAnsi="Arial" w:eastAsia="Times New Roman" w:cs="Arial"/>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Footer">
    <w:name w:val="Footer"/>
    <w:pPr>
      <w:widowControl/>
      <w:pBdr/>
      <w:tabs>
        <w:tab w:val="clear" w:pos="720"/>
        <w:tab w:val="center" w:pos="4153" w:leader="none"/>
        <w:tab w:val="right" w:pos="8306" w:leader="none"/>
      </w:tabs>
      <w:suppressAutoHyphens w:val="true"/>
      <w:bidi w:val="0"/>
      <w:spacing w:lineRule="auto" w:line="240" w:before="0" w:after="0"/>
      <w:jc w:val="left"/>
    </w:pPr>
    <w:rPr>
      <w:rFonts w:ascii="Arial" w:hAnsi="Arial" w:eastAsia="Arial" w:cs="Arial"/>
      <w:color w:val="000000"/>
      <w:kern w:val="0"/>
      <w:sz w:val="24"/>
      <w:szCs w:val="22"/>
      <w:u w:val="none" w:color="000000"/>
      <w:lang w:val="en-US" w:eastAsia="en-US" w:bidi="ar-SA"/>
    </w:rPr>
  </w:style>
  <w:style w:type="paragraph" w:styleId="Body">
    <w:name w:val="Body"/>
    <w:qFormat/>
    <w:pPr>
      <w:widowControl/>
      <w:pBdr/>
      <w:suppressAutoHyphens w:val="true"/>
      <w:bidi w:val="0"/>
      <w:spacing w:lineRule="auto" w:line="240" w:before="0" w:after="0"/>
      <w:jc w:val="left"/>
    </w:pPr>
    <w:rPr>
      <w:rFonts w:ascii="Arial" w:hAnsi="Arial" w:eastAsia="Arial" w:cs="Arial"/>
      <w:color w:val="000000"/>
      <w:kern w:val="0"/>
      <w:sz w:val="24"/>
      <w:szCs w:val="22"/>
      <w:u w:val="none" w:color="000000"/>
      <w:lang w:val="en-GB" w:eastAsia="en-US" w:bidi="ar-SA"/>
    </w:rPr>
  </w:style>
  <w:style w:type="paragraph" w:styleId="ListParagraph">
    <w:name w:val="List Paragraph"/>
    <w:qFormat/>
    <w:pPr>
      <w:widowControl/>
      <w:pBdr/>
      <w:suppressAutoHyphens w:val="true"/>
      <w:bidi w:val="0"/>
      <w:spacing w:lineRule="auto" w:line="240" w:before="0" w:after="0"/>
      <w:ind w:left="720" w:right="0" w:hanging="0"/>
      <w:jc w:val="left"/>
    </w:pPr>
    <w:rPr>
      <w:rFonts w:ascii="Arial" w:hAnsi="Arial" w:eastAsia="Arial" w:cs="Arial"/>
      <w:color w:val="000000"/>
      <w:kern w:val="0"/>
      <w:sz w:val="24"/>
      <w:szCs w:val="22"/>
      <w:u w:val="none" w:color="000000"/>
      <w:lang w:val="en-US" w:eastAsia="en-US" w:bidi="ar-SA"/>
    </w:rPr>
  </w:style>
  <w:style w:type="paragraph" w:styleId="BalloonText">
    <w:name w:val="Balloon Text"/>
    <w:basedOn w:val="Normal"/>
    <w:qFormat/>
    <w:pPr/>
    <w:rPr>
      <w:rFonts w:ascii="Tahoma" w:hAnsi="Tahoma" w:cs="Tahoma"/>
      <w:sz w:val="16"/>
      <w:szCs w:val="16"/>
    </w:rPr>
  </w:style>
  <w:style w:type="paragraph" w:styleId="Default">
    <w:name w:val="Default"/>
    <w:qFormat/>
    <w:pPr>
      <w:widowControl/>
      <w:suppressAutoHyphens w:val="true"/>
      <w:bidi w:val="0"/>
      <w:spacing w:lineRule="auto" w:line="240" w:before="0" w:after="0"/>
      <w:jc w:val="left"/>
    </w:pPr>
    <w:rPr>
      <w:rFonts w:ascii="Verdana" w:hAnsi="Verdana" w:eastAsia="Times New Roman" w:cs="Verdana"/>
      <w:color w:val="000000"/>
      <w:kern w:val="0"/>
      <w:sz w:val="24"/>
      <w:szCs w:val="24"/>
      <w:lang w:val="en-GB" w:eastAsia="en-GB" w:bidi="ar-SA"/>
    </w:rPr>
  </w:style>
  <w:style w:type="paragraph" w:styleId="PlainText">
    <w:name w:val="Plain Text"/>
    <w:basedOn w:val="Normal"/>
    <w:qFormat/>
    <w:pPr>
      <w:pBdr/>
    </w:pPr>
    <w:rPr>
      <w:rFonts w:ascii="Courier New" w:hAnsi="Courier New" w:eastAsia="Times New Roman" w:cs="Courier New"/>
      <w:sz w:val="20"/>
      <w:szCs w:val="20"/>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BodyTextIndent3">
    <w:name w:val="Body Text Indent 3"/>
    <w:basedOn w:val="Normal"/>
    <w:qFormat/>
    <w:pPr>
      <w:spacing w:before="0" w:after="120"/>
      <w:ind w:left="283" w:right="0" w:hanging="0"/>
    </w:pPr>
    <w:rPr>
      <w:sz w:val="16"/>
      <w:szCs w:val="16"/>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183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