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80"/>
        <w:rPr/>
      </w:pPr>
      <w:r>
        <w:rPr>
          <w:b/>
          <w:color w:val="0F5469"/>
          <w:sz w:val="64"/>
        </w:rPr>
        <w:t>GMCA</w:t>
      </w:r>
      <w:r>
        <w:rPr>
          <w:b/>
          <w:color w:val="0F5469"/>
          <w:sz w:val="26"/>
        </w:rPr>
        <w:t xml:space="preserve">  </w:t>
      </w:r>
    </w:p>
    <w:p>
      <w:pPr>
        <w:pStyle w:val="Normal"/>
        <w:spacing w:before="0" w:after="80"/>
        <w:rPr/>
      </w:pPr>
      <w:r>
        <w:rPr>
          <w:rFonts w:cs="Arial"/>
          <w:b/>
          <w:color w:val="0F5469"/>
          <w:sz w:val="26"/>
        </w:rPr>
        <w:t xml:space="preserve">  </w:t>
      </w:r>
      <w:r>
        <w:rPr>
          <w:b/>
          <w:color w:val="0F5469"/>
          <w:sz w:val="26"/>
        </w:rPr>
        <w:t>GREATER</w:t>
        <w:br/>
        <w:t xml:space="preserve">  MANCHESTER</w:t>
        <w:br/>
        <w:t xml:space="preserve">  COMBINED</w:t>
        <w:br/>
        <w:t xml:space="preserve">  AUTHORITY</w:t>
      </w:r>
    </w:p>
    <w:p>
      <w:pPr>
        <w:pStyle w:val="Normal"/>
        <w:jc w:val="right"/>
        <w:rPr>
          <w:color w:val="595959"/>
          <w:sz w:val="17"/>
        </w:rPr>
      </w:pPr>
      <w:r>
        <w:rPr>
          <w:color w:val="595959"/>
          <w:sz w:val="17"/>
        </w:rPr>
        <w:t>Created: July 2026</w:t>
        <w:br/>
      </w:r>
    </w:p>
    <w:p>
      <w:pPr>
        <w:pStyle w:val="Heading1"/>
        <w:numPr>
          <w:ilvl w:val="0"/>
          <w:numId w:val="2"/>
        </w:numPr>
        <w:spacing w:before="120" w:after="60"/>
        <w:rPr/>
      </w:pPr>
      <w:r>
        <w:rPr/>
        <w:t>Role profile</w:t>
      </w:r>
    </w:p>
    <w:p>
      <w:pPr>
        <w:pStyle w:val="ListBullet"/>
        <w:numPr>
          <w:ilvl w:val="0"/>
          <w:numId w:val="3"/>
        </w:numPr>
        <w:spacing w:before="0" w:after="40"/>
        <w:contextualSpacing/>
        <w:rPr/>
      </w:pPr>
      <w:r>
        <w:rPr>
          <w:b/>
          <w:bCs/>
        </w:rPr>
        <w:t xml:space="preserve">Job title: </w:t>
      </w:r>
      <w:r>
        <w:rPr/>
        <w:t>Digital Economy Strategic Lead (Senior Principal)</w:t>
      </w:r>
    </w:p>
    <w:p>
      <w:pPr>
        <w:pStyle w:val="ListBullet"/>
        <w:numPr>
          <w:ilvl w:val="0"/>
          <w:numId w:val="3"/>
        </w:numPr>
        <w:spacing w:before="0" w:after="40"/>
        <w:contextualSpacing/>
        <w:rPr/>
      </w:pPr>
      <w:r>
        <w:rPr>
          <w:b/>
          <w:bCs/>
        </w:rPr>
        <w:t xml:space="preserve">Grade: </w:t>
      </w:r>
      <w:r>
        <w:rPr/>
        <w:t>GMCA Grade 11 (TBC through HR evaluation)</w:t>
      </w:r>
    </w:p>
    <w:p>
      <w:pPr>
        <w:pStyle w:val="ListBullet"/>
        <w:numPr>
          <w:ilvl w:val="0"/>
          <w:numId w:val="3"/>
        </w:numPr>
        <w:spacing w:before="0" w:after="40"/>
        <w:contextualSpacing/>
        <w:rPr/>
      </w:pPr>
      <w:r>
        <w:rPr>
          <w:b/>
          <w:bCs/>
        </w:rPr>
        <w:t xml:space="preserve">Business area: </w:t>
      </w:r>
      <w:r>
        <w:rPr/>
        <w:t>Digital Services</w:t>
      </w:r>
    </w:p>
    <w:p>
      <w:pPr>
        <w:pStyle w:val="ListBullet"/>
        <w:numPr>
          <w:ilvl w:val="0"/>
          <w:numId w:val="3"/>
        </w:numPr>
        <w:spacing w:before="0" w:after="40"/>
        <w:contextualSpacing/>
        <w:rPr/>
      </w:pPr>
      <w:r>
        <w:rPr>
          <w:b/>
          <w:bCs/>
        </w:rPr>
        <w:t xml:space="preserve">Reporting line: </w:t>
      </w:r>
      <w:r>
        <w:rPr/>
        <w:t>Head / Deputy Director, Digital Policy and Strategy (TBC)</w:t>
      </w:r>
    </w:p>
    <w:p>
      <w:pPr>
        <w:pStyle w:val="ListBullet"/>
        <w:numPr>
          <w:ilvl w:val="0"/>
          <w:numId w:val="3"/>
        </w:numPr>
        <w:spacing w:before="0" w:after="40"/>
        <w:contextualSpacing/>
        <w:rPr/>
      </w:pPr>
      <w:r>
        <w:rPr>
          <w:b/>
          <w:bCs/>
        </w:rPr>
        <w:t xml:space="preserve">Team: </w:t>
      </w:r>
      <w:r>
        <w:rPr/>
        <w:t>Digital Policy and Strategy</w:t>
      </w:r>
    </w:p>
    <w:p>
      <w:pPr>
        <w:pStyle w:val="Heading3"/>
        <w:numPr>
          <w:ilvl w:val="2"/>
          <w:numId w:val="2"/>
        </w:numPr>
        <w:spacing w:before="120" w:after="60"/>
        <w:rPr/>
      </w:pPr>
      <w:r>
        <w:rPr/>
        <w:t>Job Purpose</w:t>
      </w:r>
    </w:p>
    <w:p>
      <w:pPr>
        <w:pStyle w:val="Normal"/>
        <w:spacing w:before="0" w:after="100"/>
        <w:rPr/>
      </w:pPr>
      <w:r>
        <w:rPr/>
        <w:t>The Digital Economy Strategic Lead will provide senior strategic leadership for Greater Manchester’s Digital Economy priority, ensuring clear ownership, policy coherence and delivery across AI, cyber, digital innovation, sector development and the Manchester Digital Campus.</w:t>
      </w:r>
    </w:p>
    <w:p>
      <w:pPr>
        <w:pStyle w:val="Normal"/>
        <w:spacing w:before="0" w:after="100"/>
        <w:rPr/>
      </w:pPr>
      <w:r>
        <w:rPr/>
        <w:t xml:space="preserve">The role will lead and develop delivery of the </w:t>
      </w:r>
      <w:r>
        <w:rPr>
          <w:rStyle w:val="Hyperlink"/>
        </w:rPr>
        <w:t>GM Digital Blueprint</w:t>
      </w:r>
      <w:r>
        <w:rPr/>
        <w:t xml:space="preserve"> priority: </w:t>
      </w:r>
      <w:r>
        <w:rPr>
          <w:i/>
          <w:iCs/>
        </w:rPr>
        <w:t>Digitally enabling a resilient and prosperous economy</w:t>
      </w:r>
      <w:r>
        <w:rPr/>
        <w:t>. This will include translating the Greater Manchester Strategy ambition for inclusive growth, innovation and responsible AI into a coherent portfolio of policy, partnership, programme and ecosystem activity.</w:t>
      </w:r>
    </w:p>
    <w:p>
      <w:pPr>
        <w:pStyle w:val="Normal"/>
        <w:spacing w:before="0" w:after="100"/>
        <w:rPr/>
      </w:pPr>
      <w:r>
        <w:rPr/>
        <w:t xml:space="preserve">This is a policy and systems leadership role. It requires the post holder to work across a range of GMCA teams and organisations through complex, multi-organisational networks across Digital including the </w:t>
      </w:r>
      <w:r>
        <w:rPr>
          <w:rStyle w:val="Hyperlink"/>
        </w:rPr>
        <w:t>ADIO</w:t>
      </w:r>
      <w:r>
        <w:rPr/>
        <w:t xml:space="preserve">, Economy, Education, Work and Skills, Invest Manchester / Growth Company, local authorities, universities, government, industry and civic partners. The role will create and maintain shared ownership where responsibilities span several portfolios, and will ensure that </w:t>
      </w:r>
      <w:r>
        <w:rPr>
          <w:rStyle w:val="Hyperlink"/>
        </w:rPr>
        <w:t>AI.GM,</w:t>
      </w:r>
      <w:r>
        <w:rPr/>
        <w:t xml:space="preserve"> cyber, sector development, innovation and Digital Campus activity are aligned to a single strategic direction and evidence base.</w:t>
      </w:r>
    </w:p>
    <w:p>
      <w:pPr>
        <w:pStyle w:val="Normal"/>
        <w:spacing w:before="0" w:after="100"/>
        <w:rPr/>
      </w:pPr>
      <w:r>
        <w:rPr/>
        <w:t>The post holder will provide strategic advice to senior officers, elected members and partners; define and maintain a clear GM digital economic policy position; support delivery programmes to move from concept to implementation; and build purposeful partnerships that strengthen Greater Manchester’s national influence, investment proposition and ability to demonstrate public and economic value from digital technologies.</w:t>
      </w:r>
    </w:p>
    <w:p>
      <w:pPr>
        <w:pStyle w:val="Heading3"/>
        <w:numPr>
          <w:ilvl w:val="2"/>
          <w:numId w:val="2"/>
        </w:numPr>
        <w:spacing w:before="120" w:after="60"/>
        <w:rPr/>
      </w:pPr>
      <w:r>
        <w:rPr/>
        <w:t>Key working relationships</w:t>
      </w:r>
    </w:p>
    <w:p>
      <w:pPr>
        <w:pStyle w:val="ListBullet"/>
        <w:numPr>
          <w:ilvl w:val="0"/>
          <w:numId w:val="3"/>
        </w:numPr>
        <w:spacing w:before="0" w:after="40"/>
        <w:contextualSpacing/>
        <w:rPr/>
      </w:pPr>
      <w:r>
        <w:rPr/>
        <w:t>Head / Deputy Director, Digital Policy and Strategy; Deputy Director of Digital and Transformation; Digital Policy and Strategy team; Digital PMO; Digital Communications; and relevant Digital Blueprint priority leads.</w:t>
      </w:r>
    </w:p>
    <w:p>
      <w:pPr>
        <w:pStyle w:val="ListBullet"/>
        <w:numPr>
          <w:ilvl w:val="0"/>
          <w:numId w:val="3"/>
        </w:numPr>
        <w:spacing w:before="0" w:after="40"/>
        <w:contextualSpacing/>
        <w:rPr/>
      </w:pPr>
      <w:r>
        <w:rPr/>
        <w:t>GM Digital portfolio governance comprising; Steering Group, Portfolio Delivery Executive and relevant governance or advisory groups relating to AI, cyber, digital growth and innovation such as the Digital Innovation and Growth Group</w:t>
      </w:r>
    </w:p>
    <w:p>
      <w:pPr>
        <w:pStyle w:val="ListBullet"/>
        <w:numPr>
          <w:ilvl w:val="0"/>
          <w:numId w:val="3"/>
        </w:numPr>
        <w:spacing w:before="0" w:after="40"/>
        <w:contextualSpacing/>
        <w:rPr/>
      </w:pPr>
      <w:r>
        <w:rPr/>
        <w:t>GMCA Directorates including; Economy, Innovation, Culture and International Education Work and Skills, Strategy, Research, Public Service Reform, Place, Environment, Mayoral and Government Engagement teams....and sector development leads across frontier and foundational economy areas</w:t>
      </w:r>
    </w:p>
    <w:p>
      <w:pPr>
        <w:pStyle w:val="ListBullet"/>
        <w:numPr>
          <w:ilvl w:val="0"/>
          <w:numId w:val="3"/>
        </w:numPr>
        <w:spacing w:before="0" w:after="40"/>
        <w:contextualSpacing/>
        <w:rPr/>
      </w:pPr>
      <w:r>
        <w:rPr/>
        <w:t>Growth Company, Innovation Greater Manchester, Business Growth Hub, GM Business Alliance and sector representative bodies .</w:t>
      </w:r>
    </w:p>
    <w:p>
      <w:pPr>
        <w:pStyle w:val="ListBullet"/>
        <w:numPr>
          <w:ilvl w:val="0"/>
          <w:numId w:val="3"/>
        </w:numPr>
        <w:spacing w:before="0" w:after="40"/>
        <w:contextualSpacing/>
        <w:rPr/>
      </w:pPr>
      <w:r>
        <w:rPr/>
        <w:t>Greater Manchester local authorities, Transport for Greater Manchester, NHS partners, Greater Manchester Police, Housing and wider public sector organisations.</w:t>
      </w:r>
    </w:p>
    <w:p>
      <w:pPr>
        <w:pStyle w:val="ListBullet"/>
        <w:numPr>
          <w:ilvl w:val="0"/>
          <w:numId w:val="3"/>
        </w:numPr>
        <w:spacing w:before="0" w:after="40"/>
        <w:contextualSpacing/>
        <w:rPr/>
      </w:pPr>
      <w:r>
        <w:rPr/>
        <w:t xml:space="preserve">Universities, colleges, research organisations and innovation assets involved in AI, cyber, advanced digital technologies, skills, commercialisation and challenge-led innovation </w:t>
      </w:r>
    </w:p>
    <w:p>
      <w:pPr>
        <w:pStyle w:val="ListBullet"/>
        <w:numPr>
          <w:ilvl w:val="0"/>
          <w:numId w:val="3"/>
        </w:numPr>
        <w:spacing w:before="0" w:after="40"/>
        <w:contextualSpacing/>
        <w:rPr/>
      </w:pPr>
      <w:r>
        <w:rPr/>
        <w:t>Digital, cyber, AI and technology businesses, SMEs, large corporates, specialist suppliers, investors, representative bodies and ecosystem convenors.</w:t>
      </w:r>
    </w:p>
    <w:p>
      <w:pPr>
        <w:pStyle w:val="ListBullet"/>
        <w:numPr>
          <w:ilvl w:val="0"/>
          <w:numId w:val="3"/>
        </w:numPr>
        <w:spacing w:before="0" w:after="40"/>
        <w:contextualSpacing/>
        <w:rPr/>
      </w:pPr>
      <w:r>
        <w:rPr/>
        <w:t>Relevant government departments and national agencies, including DCMS, GDS, DBIST, MHCLG, Cabinet Office / Places for Growth, UKRI, NCSC / GCHQ and Digital Catapult where relevant.</w:t>
      </w:r>
    </w:p>
    <w:p>
      <w:pPr>
        <w:pStyle w:val="ListBullet"/>
        <w:numPr>
          <w:ilvl w:val="0"/>
          <w:numId w:val="3"/>
        </w:numPr>
        <w:spacing w:before="0" w:after="40"/>
        <w:contextualSpacing/>
        <w:rPr/>
      </w:pPr>
      <w:r>
        <w:rPr/>
        <w:t>Residents, community representatives and civic organisations where digital economy activity has implications for trust, inclusion, skills, work, public value or responsible innovation.</w:t>
      </w:r>
    </w:p>
    <w:p>
      <w:pPr>
        <w:pStyle w:val="ListBullet"/>
        <w:numPr>
          <w:ilvl w:val="0"/>
          <w:numId w:val="3"/>
        </w:numPr>
        <w:spacing w:before="0" w:after="40"/>
        <w:contextualSpacing/>
        <w:rPr/>
      </w:pPr>
      <w:r>
        <w:rPr/>
        <w:t>International cities whose Digital Economy ambitions compliment GM working with InvestManchester and the GMCA International team</w:t>
      </w:r>
    </w:p>
    <w:p>
      <w:pPr>
        <w:pStyle w:val="Heading3"/>
        <w:numPr>
          <w:ilvl w:val="2"/>
          <w:numId w:val="2"/>
        </w:numPr>
        <w:spacing w:before="120" w:after="60"/>
        <w:rPr/>
      </w:pPr>
      <w:r>
        <w:rPr/>
        <w:t>Key Responsibilities</w:t>
      </w:r>
    </w:p>
    <w:p>
      <w:pPr>
        <w:pStyle w:val="Heading4"/>
        <w:numPr>
          <w:ilvl w:val="3"/>
          <w:numId w:val="2"/>
        </w:numPr>
        <w:spacing w:before="120" w:after="60"/>
        <w:rPr/>
      </w:pPr>
      <w:r>
        <w:rPr/>
        <w:t>Strategic leadership and portfolio coherence</w:t>
      </w:r>
    </w:p>
    <w:p>
      <w:pPr>
        <w:pStyle w:val="ListBullet"/>
        <w:numPr>
          <w:ilvl w:val="0"/>
          <w:numId w:val="3"/>
        </w:numPr>
        <w:spacing w:before="0" w:after="40"/>
        <w:contextualSpacing/>
        <w:rPr/>
      </w:pPr>
      <w:r>
        <w:rPr/>
        <w:t>Lead the development and continuous evolution of a coherent Digital Economy strategy and delivery framework for Greater Manchester, aligned to the Greater Manchester Strategy, GM Digital Blueprint, AI.GM roadmap, Sector Development Plan and national policy developments.</w:t>
      </w:r>
    </w:p>
    <w:p>
      <w:pPr>
        <w:pStyle w:val="ListBullet"/>
        <w:numPr>
          <w:ilvl w:val="0"/>
          <w:numId w:val="3"/>
        </w:numPr>
        <w:spacing w:before="0" w:after="40"/>
        <w:contextualSpacing/>
        <w:rPr/>
      </w:pPr>
      <w:r>
        <w:rPr/>
        <w:t>Provide clear strategic ownership of the Digital Economy portfolio across AI, cyber, digital innovation, sector development, Manchester Digital Campus and related national security opportunities.</w:t>
      </w:r>
    </w:p>
    <w:p>
      <w:pPr>
        <w:pStyle w:val="ListBullet"/>
        <w:numPr>
          <w:ilvl w:val="0"/>
          <w:numId w:val="3"/>
        </w:numPr>
        <w:spacing w:before="0" w:after="40"/>
        <w:contextualSpacing/>
        <w:rPr/>
      </w:pPr>
      <w:r>
        <w:rPr/>
        <w:t>Create coherence across activities that sit across multiple portfolios, ensuring Digital, Economy &amp;Innovation, Education Work and Skills, Connected Places and Digital Government priorities are mutually reinforcing and not fragmented.</w:t>
      </w:r>
    </w:p>
    <w:p>
      <w:pPr>
        <w:pStyle w:val="ListBullet"/>
        <w:numPr>
          <w:ilvl w:val="0"/>
          <w:numId w:val="3"/>
        </w:numPr>
        <w:spacing w:before="0" w:after="40"/>
        <w:contextualSpacing/>
        <w:rPr/>
      </w:pPr>
      <w:r>
        <w:rPr/>
        <w:t>Act as a senior representative of GMCA in high-profile digital economy discussions, translating complex technology, economic and policy issues into clear strategic choices for senior officers, elected members and partners.</w:t>
      </w:r>
    </w:p>
    <w:p>
      <w:pPr>
        <w:pStyle w:val="ListBullet"/>
        <w:numPr>
          <w:ilvl w:val="0"/>
          <w:numId w:val="3"/>
        </w:numPr>
        <w:spacing w:before="0" w:after="40"/>
        <w:contextualSpacing/>
        <w:rPr/>
      </w:pPr>
      <w:r>
        <w:rPr/>
        <w:t>Use evidence, stakeholder insight and delivery learning to define priorities, trade-offs, risks, benefits and realistic routes to implementation.</w:t>
      </w:r>
    </w:p>
    <w:p>
      <w:pPr>
        <w:pStyle w:val="Heading4"/>
        <w:numPr>
          <w:ilvl w:val="3"/>
          <w:numId w:val="2"/>
        </w:numPr>
        <w:spacing w:before="120" w:after="60"/>
        <w:rPr/>
      </w:pPr>
      <w:r>
        <w:rPr/>
        <w:t>Policy development and analysis</w:t>
      </w:r>
    </w:p>
    <w:p>
      <w:pPr>
        <w:pStyle w:val="ListBullet"/>
        <w:numPr>
          <w:ilvl w:val="0"/>
          <w:numId w:val="3"/>
        </w:numPr>
        <w:spacing w:before="0" w:after="40"/>
        <w:contextualSpacing/>
        <w:rPr/>
      </w:pPr>
      <w:r>
        <w:rPr/>
        <w:t>Develop evidence-led policy positions on the digital economy, including AI adoption, cyber growth and resilience, digital sector development, digital skills demand, innovation infrastructure, digital civil service growth and Manchester Digital Campus opportunities.</w:t>
      </w:r>
    </w:p>
    <w:p>
      <w:pPr>
        <w:pStyle w:val="ListBullet"/>
        <w:numPr>
          <w:ilvl w:val="0"/>
          <w:numId w:val="3"/>
        </w:numPr>
        <w:spacing w:before="0" w:after="40"/>
        <w:contextualSpacing/>
        <w:rPr/>
      </w:pPr>
      <w:r>
        <w:rPr/>
        <w:t>Track and interpret national policy, funding and legislative developments, assessing implications for Greater Manchester and shaping clear local positions or asks to government.</w:t>
      </w:r>
    </w:p>
    <w:p>
      <w:pPr>
        <w:pStyle w:val="ListBullet"/>
        <w:numPr>
          <w:ilvl w:val="0"/>
          <w:numId w:val="3"/>
        </w:numPr>
        <w:spacing w:before="0" w:after="40"/>
        <w:contextualSpacing/>
        <w:rPr/>
      </w:pPr>
      <w:r>
        <w:rPr/>
        <w:t>Lead and commission policy briefings, options papers, committee reports, senior leadership briefings, mayoral advice and national engagement material relating to the Digital Economy portfolio.</w:t>
      </w:r>
    </w:p>
    <w:p>
      <w:pPr>
        <w:pStyle w:val="ListBullet"/>
        <w:numPr>
          <w:ilvl w:val="0"/>
          <w:numId w:val="3"/>
        </w:numPr>
        <w:spacing w:before="0" w:after="40"/>
        <w:contextualSpacing/>
        <w:rPr/>
      </w:pPr>
      <w:r>
        <w:rPr/>
        <w:t>Ensure GMCA can respond quickly and credibly to emerging opportunities, including industrial strategy, AI policy, national cyber strategy, national security, devolution, innovation funding, regulatory change and regional growth initiatives.</w:t>
      </w:r>
    </w:p>
    <w:p>
      <w:pPr>
        <w:pStyle w:val="ListBullet"/>
        <w:numPr>
          <w:ilvl w:val="0"/>
          <w:numId w:val="3"/>
        </w:numPr>
        <w:spacing w:before="0" w:after="40"/>
        <w:contextualSpacing/>
        <w:rPr/>
      </w:pPr>
      <w:r>
        <w:rPr/>
        <w:t>Develop logical, evidence-based propositions that move from high-level ambition to practical asks, investment cases, governance routes and delivery plans.</w:t>
      </w:r>
    </w:p>
    <w:p>
      <w:pPr>
        <w:pStyle w:val="Heading4"/>
        <w:numPr>
          <w:ilvl w:val="3"/>
          <w:numId w:val="2"/>
        </w:numPr>
        <w:spacing w:before="120" w:after="60"/>
        <w:rPr/>
      </w:pPr>
      <w:r>
        <w:rPr/>
        <w:t>Programme oversight and delivery</w:t>
      </w:r>
    </w:p>
    <w:p>
      <w:pPr>
        <w:pStyle w:val="ListBullet"/>
        <w:numPr>
          <w:ilvl w:val="0"/>
          <w:numId w:val="3"/>
        </w:numPr>
        <w:spacing w:before="0" w:after="40"/>
        <w:contextualSpacing/>
        <w:rPr/>
      </w:pPr>
      <w:r>
        <w:rPr/>
        <w:t>Provide senior oversight of the Digital Economy work programme, ensuring priorities are translated into planned, resourced and accountable delivery activity with clear milestones, owners, risks and benefits.</w:t>
      </w:r>
    </w:p>
    <w:p>
      <w:pPr>
        <w:pStyle w:val="ListBullet"/>
        <w:numPr>
          <w:ilvl w:val="0"/>
          <w:numId w:val="3"/>
        </w:numPr>
        <w:spacing w:before="0" w:after="40"/>
        <w:contextualSpacing/>
        <w:rPr/>
      </w:pPr>
      <w:r>
        <w:rPr/>
        <w:t>Lead the delivery of the Digital, AI and Cyber Sector Development Plan ensuring alignment with other sector plans</w:t>
      </w:r>
    </w:p>
    <w:p>
      <w:pPr>
        <w:pStyle w:val="ListBullet"/>
        <w:numPr>
          <w:ilvl w:val="0"/>
          <w:numId w:val="3"/>
        </w:numPr>
        <w:spacing w:before="0" w:after="40"/>
        <w:contextualSpacing/>
        <w:rPr/>
      </w:pPr>
      <w:r>
        <w:rPr/>
        <w:t>Maintain an integrated view of AI.GM, cyber, sector development, innovation, Digital Campus and partner-led activity where these relate to GMCA’s strategic role.</w:t>
      </w:r>
    </w:p>
    <w:p>
      <w:pPr>
        <w:pStyle w:val="ListBullet"/>
        <w:numPr>
          <w:ilvl w:val="0"/>
          <w:numId w:val="3"/>
        </w:numPr>
        <w:spacing w:before="0" w:after="40"/>
        <w:contextualSpacing/>
        <w:rPr/>
      </w:pPr>
      <w:r>
        <w:rPr/>
        <w:t>Establish effective performance, risk and dependency reporting so that senior leaders can understand progress, unblock barriers and make timely decisions.</w:t>
      </w:r>
    </w:p>
    <w:p>
      <w:pPr>
        <w:pStyle w:val="ListBullet"/>
        <w:numPr>
          <w:ilvl w:val="0"/>
          <w:numId w:val="3"/>
        </w:numPr>
        <w:spacing w:before="0" w:after="40"/>
        <w:contextualSpacing/>
        <w:rPr/>
      </w:pPr>
      <w:r>
        <w:rPr/>
        <w:t>Work with programme and project managers to ensure delivery activity is appropriately scoped, documented, governed and evaluated.</w:t>
      </w:r>
    </w:p>
    <w:p>
      <w:pPr>
        <w:pStyle w:val="ListBullet"/>
        <w:numPr>
          <w:ilvl w:val="0"/>
          <w:numId w:val="3"/>
        </w:numPr>
        <w:spacing w:before="0" w:after="40"/>
        <w:contextualSpacing/>
        <w:rPr/>
      </w:pPr>
      <w:r>
        <w:rPr/>
        <w:t>Ensure lessons from pilot activity, partner delivery, challenge programmes, ecosystem engagement and public sector use cases are captured and used to inform future policy and investment decisions.</w:t>
      </w:r>
    </w:p>
    <w:p>
      <w:pPr>
        <w:pStyle w:val="Heading4"/>
        <w:numPr>
          <w:ilvl w:val="3"/>
          <w:numId w:val="2"/>
        </w:numPr>
        <w:spacing w:before="120" w:after="60"/>
        <w:rPr/>
      </w:pPr>
      <w:r>
        <w:rPr/>
        <w:t>AI.GM, responsible innovation and evidence</w:t>
      </w:r>
    </w:p>
    <w:p>
      <w:pPr>
        <w:pStyle w:val="ListBullet"/>
        <w:numPr>
          <w:ilvl w:val="0"/>
          <w:numId w:val="3"/>
        </w:numPr>
        <w:spacing w:before="0" w:after="40"/>
        <w:contextualSpacing/>
        <w:rPr/>
      </w:pPr>
      <w:r>
        <w:rPr/>
        <w:t>Own the development and delivery of AI.GM, ensuring the system leadership model is aligned with Digital Blueprint priorities, GMCA governance and wider economic and public service objectives.</w:t>
      </w:r>
    </w:p>
    <w:p>
      <w:pPr>
        <w:pStyle w:val="ListBullet"/>
        <w:numPr>
          <w:ilvl w:val="0"/>
          <w:numId w:val="3"/>
        </w:numPr>
        <w:spacing w:before="0" w:after="40"/>
        <w:contextualSpacing/>
        <w:rPr/>
      </w:pPr>
      <w:r>
        <w:rPr/>
        <w:t>Work closely with ADIO, GROW AI and GM Digital Policy &amp; Communications to maintain clear boundaries, programme alignment and coherent external messaging.</w:t>
      </w:r>
    </w:p>
    <w:p>
      <w:pPr>
        <w:pStyle w:val="ListBullet"/>
        <w:numPr>
          <w:ilvl w:val="0"/>
          <w:numId w:val="3"/>
        </w:numPr>
        <w:spacing w:before="0" w:after="40"/>
        <w:contextualSpacing/>
        <w:rPr/>
      </w:pPr>
      <w:r>
        <w:rPr/>
        <w:t>Ensure AI.GM provides a credible regional model for responsible AI adoption, public value, business adoption, challenge-led innovation and national influence.</w:t>
      </w:r>
    </w:p>
    <w:p>
      <w:pPr>
        <w:pStyle w:val="ListBullet"/>
        <w:numPr>
          <w:ilvl w:val="0"/>
          <w:numId w:val="3"/>
        </w:numPr>
        <w:spacing w:before="0" w:after="40"/>
        <w:contextualSpacing/>
        <w:rPr/>
      </w:pPr>
      <w:r>
        <w:rPr/>
        <w:t>Ensure responsible AI innovation, public value, trust, inclusion and transparency are considered in Digital Economy activity, particularly where emerging technologies affect people, services, jobs or communities.</w:t>
      </w:r>
    </w:p>
    <w:p>
      <w:pPr>
        <w:pStyle w:val="ListBullet"/>
        <w:numPr>
          <w:ilvl w:val="0"/>
          <w:numId w:val="3"/>
        </w:numPr>
        <w:spacing w:before="0" w:after="40"/>
        <w:contextualSpacing/>
        <w:rPr/>
      </w:pPr>
      <w:r>
        <w:rPr/>
        <w:t>Develop and maintain a benefits realisation approach that can evidence economic value, public value, adoption value and reputational value.</w:t>
      </w:r>
    </w:p>
    <w:p>
      <w:pPr>
        <w:pStyle w:val="Heading4"/>
        <w:numPr>
          <w:ilvl w:val="3"/>
          <w:numId w:val="2"/>
        </w:numPr>
        <w:spacing w:before="120" w:after="60"/>
        <w:rPr/>
      </w:pPr>
      <w:r>
        <w:rPr/>
        <w:t>Cyber, national security and Manchester Digital Campus</w:t>
      </w:r>
    </w:p>
    <w:p>
      <w:pPr>
        <w:pStyle w:val="ListBullet"/>
        <w:numPr>
          <w:ilvl w:val="0"/>
          <w:numId w:val="3"/>
        </w:numPr>
        <w:spacing w:before="0" w:after="40"/>
        <w:contextualSpacing/>
        <w:rPr/>
      </w:pPr>
      <w:r>
        <w:rPr/>
        <w:t>Lead strategic alignment of cyber, national security, digital campus and digital sector development activity, ensuring GMCA has a clear position on how these agendas contribute to economic growth and broader sector development, resilience and public value.</w:t>
      </w:r>
    </w:p>
    <w:p>
      <w:pPr>
        <w:pStyle w:val="ListBullet"/>
        <w:numPr>
          <w:ilvl w:val="0"/>
          <w:numId w:val="3"/>
        </w:numPr>
        <w:spacing w:before="0" w:after="40"/>
        <w:contextualSpacing/>
        <w:rPr/>
      </w:pPr>
      <w:r>
        <w:rPr/>
        <w:t>Review and refresh partnership arrangements where required, including advisory or ecosystem groups, ensuring they have clear purpose, governance, membership and routes into GM Digital and wider GMCA decision-making.</w:t>
      </w:r>
    </w:p>
    <w:p>
      <w:pPr>
        <w:pStyle w:val="ListBullet"/>
        <w:numPr>
          <w:ilvl w:val="0"/>
          <w:numId w:val="3"/>
        </w:numPr>
        <w:spacing w:before="0" w:after="40"/>
        <w:contextualSpacing/>
        <w:rPr/>
      </w:pPr>
      <w:r>
        <w:rPr/>
        <w:t>Work with partners to strengthen Greater Manchester’s proposition around cyber capability, responsible digital innovation, national security science and technology, and digital civil service growth.</w:t>
      </w:r>
    </w:p>
    <w:p>
      <w:pPr>
        <w:pStyle w:val="ListBullet"/>
        <w:numPr>
          <w:ilvl w:val="0"/>
          <w:numId w:val="3"/>
        </w:numPr>
        <w:spacing w:before="0" w:after="40"/>
        <w:contextualSpacing/>
        <w:rPr/>
      </w:pPr>
      <w:r>
        <w:rPr/>
        <w:t>Ensure skills, talent pipeline, business adoption, inward investment, infrastructure and communications implications are surfaced and aligned with the relevant portfolio leads.</w:t>
      </w:r>
    </w:p>
    <w:p>
      <w:pPr>
        <w:pStyle w:val="Heading4"/>
        <w:numPr>
          <w:ilvl w:val="3"/>
          <w:numId w:val="2"/>
        </w:numPr>
        <w:spacing w:before="120" w:after="60"/>
        <w:rPr/>
      </w:pPr>
      <w:r>
        <w:rPr/>
        <w:t>Partnership, stakeholder and ecosystem development</w:t>
      </w:r>
    </w:p>
    <w:p>
      <w:pPr>
        <w:pStyle w:val="ListBullet"/>
        <w:numPr>
          <w:ilvl w:val="0"/>
          <w:numId w:val="3"/>
        </w:numPr>
        <w:spacing w:before="0" w:after="40"/>
        <w:contextualSpacing/>
        <w:rPr/>
      </w:pPr>
      <w:r>
        <w:rPr/>
        <w:t>Build, maintain and purposefully manage strategic relationships with senior stakeholders across government, industry, academia, local authorities, innovation bodies and public services.</w:t>
      </w:r>
    </w:p>
    <w:p>
      <w:pPr>
        <w:pStyle w:val="ListBullet"/>
        <w:numPr>
          <w:ilvl w:val="0"/>
          <w:numId w:val="3"/>
        </w:numPr>
        <w:spacing w:before="0" w:after="40"/>
        <w:contextualSpacing/>
        <w:rPr/>
      </w:pPr>
      <w:r>
        <w:rPr/>
        <w:t>Move partnership activity beyond general networking by agreeing shared objectives, routes to action, evidence requirements and governance mechanisms where there are mutual priorities.</w:t>
      </w:r>
    </w:p>
    <w:p>
      <w:pPr>
        <w:pStyle w:val="ListBullet"/>
        <w:numPr>
          <w:ilvl w:val="0"/>
          <w:numId w:val="3"/>
        </w:numPr>
        <w:spacing w:before="0" w:after="40"/>
        <w:contextualSpacing/>
        <w:rPr/>
      </w:pPr>
      <w:r>
        <w:rPr/>
        <w:t>Represent GMCA in senior forums, roundtables, boards, workshops and national engagement relating to the digital economy.</w:t>
      </w:r>
    </w:p>
    <w:p>
      <w:pPr>
        <w:pStyle w:val="ListBullet"/>
        <w:numPr>
          <w:ilvl w:val="0"/>
          <w:numId w:val="3"/>
        </w:numPr>
        <w:spacing w:before="0" w:after="40"/>
        <w:contextualSpacing/>
        <w:rPr/>
      </w:pPr>
      <w:r>
        <w:rPr/>
        <w:t>Create clear mechanisms for surfacing intelligence from across the ecosystem, including technical, socio-technical, business, public sector and community perspectives.</w:t>
      </w:r>
    </w:p>
    <w:p>
      <w:pPr>
        <w:pStyle w:val="ListBullet"/>
        <w:numPr>
          <w:ilvl w:val="0"/>
          <w:numId w:val="3"/>
        </w:numPr>
        <w:spacing w:before="0" w:after="40"/>
        <w:contextualSpacing/>
        <w:rPr/>
      </w:pPr>
      <w:r>
        <w:rPr/>
        <w:t>Work with communications colleagues to ensure public-facing messages are accurate, evidence-based, appropriately ambitious and consistent with delivery maturity.</w:t>
      </w:r>
    </w:p>
    <w:p>
      <w:pPr>
        <w:pStyle w:val="Heading4"/>
        <w:numPr>
          <w:ilvl w:val="3"/>
          <w:numId w:val="2"/>
        </w:numPr>
        <w:spacing w:before="120" w:after="60"/>
        <w:rPr/>
      </w:pPr>
      <w:r>
        <w:rPr/>
        <w:t>Individual responsibilities</w:t>
      </w:r>
    </w:p>
    <w:p>
      <w:pPr>
        <w:pStyle w:val="ListBullet"/>
        <w:numPr>
          <w:ilvl w:val="0"/>
          <w:numId w:val="3"/>
        </w:numPr>
        <w:spacing w:before="0" w:after="40"/>
        <w:contextualSpacing/>
        <w:rPr/>
      </w:pPr>
      <w:r>
        <w:rPr/>
        <w:t>Provide direct line management and/or matrix management to relevant officers, programme roles, policy support and virtual teams, supporting performance, development, prioritisation and wellbeing.</w:t>
      </w:r>
    </w:p>
    <w:p>
      <w:pPr>
        <w:pStyle w:val="ListBullet"/>
        <w:numPr>
          <w:ilvl w:val="0"/>
          <w:numId w:val="3"/>
        </w:numPr>
        <w:spacing w:before="0" w:after="40"/>
        <w:contextualSpacing/>
        <w:rPr/>
      </w:pPr>
      <w:r>
        <w:rPr/>
        <w:t>Manage assigned resources, including budgets, consultancy support or programme funds where relevant, ensuring value for money, compliance and alignment to GMCA governance.</w:t>
      </w:r>
    </w:p>
    <w:p>
      <w:pPr>
        <w:pStyle w:val="ListBullet"/>
        <w:numPr>
          <w:ilvl w:val="0"/>
          <w:numId w:val="3"/>
        </w:numPr>
        <w:spacing w:before="0" w:after="40"/>
        <w:contextualSpacing/>
        <w:rPr/>
      </w:pPr>
      <w:r>
        <w:rPr/>
        <w:t>Contribute to the overall leadership of Digital Policy and Strategy, supporting portfolio planning, business planning, risk management and organisational development.</w:t>
      </w:r>
    </w:p>
    <w:p>
      <w:pPr>
        <w:pStyle w:val="ListBullet"/>
        <w:numPr>
          <w:ilvl w:val="0"/>
          <w:numId w:val="3"/>
        </w:numPr>
        <w:spacing w:before="0" w:after="40"/>
        <w:contextualSpacing/>
        <w:rPr/>
      </w:pPr>
      <w:r>
        <w:rPr/>
        <w:t>Undertake other duties appropriate to the role and grade that support Greater Manchester’s ambition to be a globally recognised, responsible and inclusive digital city-region.</w:t>
      </w:r>
    </w:p>
    <w:p>
      <w:pPr>
        <w:pStyle w:val="ListBullet"/>
        <w:numPr>
          <w:ilvl w:val="0"/>
          <w:numId w:val="3"/>
        </w:numPr>
        <w:spacing w:before="0" w:after="40"/>
        <w:contextualSpacing/>
        <w:rPr/>
      </w:pPr>
      <w:r>
        <w:rPr/>
        <w:t>Supporting the development of an effective and inclusive working environment and culture within the immediate team and wider organisation.</w:t>
      </w:r>
    </w:p>
    <w:p>
      <w:pPr>
        <w:pStyle w:val="Heading3"/>
        <w:numPr>
          <w:ilvl w:val="2"/>
          <w:numId w:val="2"/>
        </w:numPr>
        <w:spacing w:before="120" w:after="60"/>
        <w:rPr/>
      </w:pPr>
      <w:r>
        <w:rPr/>
      </w:r>
    </w:p>
    <w:p>
      <w:pPr>
        <w:pStyle w:val="Heading3"/>
        <w:numPr>
          <w:ilvl w:val="2"/>
          <w:numId w:val="2"/>
        </w:numPr>
        <w:spacing w:before="120" w:after="60"/>
        <w:rPr/>
      </w:pPr>
      <w:r>
        <w:rPr/>
        <w:t>Knowledge, Skills, and Experience</w:t>
      </w:r>
    </w:p>
    <w:p>
      <w:pPr>
        <w:pStyle w:val="Heading4"/>
        <w:numPr>
          <w:ilvl w:val="3"/>
          <w:numId w:val="2"/>
        </w:numPr>
        <w:spacing w:before="120" w:after="60"/>
        <w:rPr/>
      </w:pPr>
      <w:r>
        <w:rPr/>
        <w:t>Essential</w:t>
      </w:r>
    </w:p>
    <w:p>
      <w:pPr>
        <w:pStyle w:val="ListBullet"/>
        <w:numPr>
          <w:ilvl w:val="0"/>
          <w:numId w:val="3"/>
        </w:numPr>
        <w:spacing w:before="0" w:after="40"/>
        <w:contextualSpacing/>
        <w:rPr/>
      </w:pPr>
      <w:r>
        <w:rPr/>
        <w:t>Significant experience of developing strategy and policy in a complex multi-organisational environment, with the ability to draw disparate ideas into coherent narratives, options, logic models and delivery plans.</w:t>
      </w:r>
    </w:p>
    <w:p>
      <w:pPr>
        <w:pStyle w:val="ListBullet"/>
        <w:numPr>
          <w:ilvl w:val="0"/>
          <w:numId w:val="3"/>
        </w:numPr>
        <w:spacing w:before="0" w:after="40"/>
        <w:contextualSpacing/>
        <w:rPr/>
      </w:pPr>
      <w:r>
        <w:rPr/>
        <w:t>Strong understanding of digital economy policy, including digital sector growth, technology adoption, AI, cyber, innovation, digital skills, investment and the role of digital infrastructure in economic resilience.</w:t>
      </w:r>
    </w:p>
    <w:p>
      <w:pPr>
        <w:pStyle w:val="ListBullet"/>
        <w:numPr>
          <w:ilvl w:val="0"/>
          <w:numId w:val="3"/>
        </w:numPr>
        <w:spacing w:before="0" w:after="40"/>
        <w:contextualSpacing/>
        <w:rPr/>
      </w:pPr>
      <w:r>
        <w:rPr/>
        <w:t>Experience of leading work across multiple organisations where authority is shared, accountability is distributed and progress depends on influence, convening power and shared purpose.</w:t>
      </w:r>
    </w:p>
    <w:p>
      <w:pPr>
        <w:pStyle w:val="ListBullet"/>
        <w:numPr>
          <w:ilvl w:val="0"/>
          <w:numId w:val="3"/>
        </w:numPr>
        <w:spacing w:before="0" w:after="40"/>
        <w:contextualSpacing/>
        <w:rPr/>
      </w:pPr>
      <w:r>
        <w:rPr/>
        <w:t>Experience of working effectively in a political or high-profile environment, advising senior leaders and supporting elected-member decision-making.</w:t>
      </w:r>
    </w:p>
    <w:p>
      <w:pPr>
        <w:pStyle w:val="ListBullet"/>
        <w:numPr>
          <w:ilvl w:val="0"/>
          <w:numId w:val="3"/>
        </w:numPr>
        <w:spacing w:before="0" w:after="40"/>
        <w:contextualSpacing/>
        <w:rPr/>
      </w:pPr>
      <w:r>
        <w:rPr/>
        <w:t>Experience of translating strategy into delivery models, including milestones, benefits, risks, governance, reporting and evaluation.</w:t>
      </w:r>
    </w:p>
    <w:p>
      <w:pPr>
        <w:pStyle w:val="ListBullet"/>
        <w:numPr>
          <w:ilvl w:val="0"/>
          <w:numId w:val="3"/>
        </w:numPr>
        <w:spacing w:before="0" w:after="40"/>
        <w:contextualSpacing/>
        <w:rPr/>
      </w:pPr>
      <w:r>
        <w:rPr/>
        <w:t>Significant experience of building strategic partnerships with public, private, academic, government and civic stakeholders, including where relationships are non-contractual.</w:t>
      </w:r>
    </w:p>
    <w:p>
      <w:pPr>
        <w:pStyle w:val="ListBullet"/>
        <w:numPr>
          <w:ilvl w:val="0"/>
          <w:numId w:val="3"/>
        </w:numPr>
        <w:spacing w:before="0" w:after="40"/>
        <w:contextualSpacing/>
        <w:rPr/>
      </w:pPr>
      <w:r>
        <w:rPr/>
        <w:t>Experience of working with, influencing or responding to government departments, national agencies or national policy programmes.</w:t>
      </w:r>
    </w:p>
    <w:p>
      <w:pPr>
        <w:pStyle w:val="ListBullet"/>
        <w:numPr>
          <w:ilvl w:val="0"/>
          <w:numId w:val="3"/>
        </w:numPr>
        <w:spacing w:before="0" w:after="40"/>
        <w:contextualSpacing/>
        <w:rPr/>
      </w:pPr>
      <w:r>
        <w:rPr/>
        <w:t>Ability to use quantitative and qualitative evidence, policy analysis, stakeholder insight and delivery learning to support decisions and recommendations.</w:t>
      </w:r>
    </w:p>
    <w:p>
      <w:pPr>
        <w:pStyle w:val="ListBullet"/>
        <w:numPr>
          <w:ilvl w:val="0"/>
          <w:numId w:val="3"/>
        </w:numPr>
        <w:spacing w:before="0" w:after="40"/>
        <w:contextualSpacing/>
        <w:rPr/>
      </w:pPr>
      <w:r>
        <w:rPr/>
        <w:t>Understanding of the ethical, social, legal and public trust issues associated with emerging technologies, particularly AI, data, cyber and digital infrastructure.</w:t>
      </w:r>
    </w:p>
    <w:p>
      <w:pPr>
        <w:pStyle w:val="ListBullet"/>
        <w:numPr>
          <w:ilvl w:val="0"/>
          <w:numId w:val="3"/>
        </w:numPr>
        <w:spacing w:before="0" w:after="40"/>
        <w:contextualSpacing/>
        <w:rPr/>
      </w:pPr>
      <w:r>
        <w:rPr/>
        <w:t>Excellent communication and influencing skills, with the ability to distil complex ideas into clear advice, briefings, reports, presentations and action.</w:t>
      </w:r>
    </w:p>
    <w:p>
      <w:pPr>
        <w:pStyle w:val="Heading4"/>
        <w:numPr>
          <w:ilvl w:val="3"/>
          <w:numId w:val="2"/>
        </w:numPr>
        <w:spacing w:before="120" w:after="60"/>
        <w:rPr/>
      </w:pPr>
      <w:r>
        <w:rPr/>
        <w:t>Desirable</w:t>
      </w:r>
    </w:p>
    <w:p>
      <w:pPr>
        <w:pStyle w:val="ListBullet"/>
        <w:numPr>
          <w:ilvl w:val="0"/>
          <w:numId w:val="3"/>
        </w:numPr>
        <w:spacing w:before="0" w:after="40"/>
        <w:contextualSpacing/>
        <w:rPr/>
      </w:pPr>
      <w:r>
        <w:rPr/>
        <w:t>Experience of digital, cyber, AI or technology sector development, including engagement with businesses, investors, innovation assets or cluster organisations.</w:t>
      </w:r>
    </w:p>
    <w:p>
      <w:pPr>
        <w:pStyle w:val="ListBullet"/>
        <w:numPr>
          <w:ilvl w:val="0"/>
          <w:numId w:val="3"/>
        </w:numPr>
        <w:spacing w:before="0" w:after="40"/>
        <w:contextualSpacing/>
        <w:rPr/>
      </w:pPr>
      <w:r>
        <w:rPr/>
        <w:t>Experience of place-based economic development, innovation funding, sector development plans, devolution or combined authority working.</w:t>
      </w:r>
    </w:p>
    <w:p>
      <w:pPr>
        <w:pStyle w:val="ListBullet"/>
        <w:numPr>
          <w:ilvl w:val="0"/>
          <w:numId w:val="3"/>
        </w:numPr>
        <w:spacing w:before="0" w:after="40"/>
        <w:contextualSpacing/>
        <w:rPr/>
      </w:pPr>
      <w:r>
        <w:rPr/>
        <w:t>Experience of developing or overseeing benefits realisation frameworks, performance dashboards, evaluation plans or impact reporting.</w:t>
      </w:r>
    </w:p>
    <w:p>
      <w:pPr>
        <w:pStyle w:val="ListBullet"/>
        <w:numPr>
          <w:ilvl w:val="0"/>
          <w:numId w:val="3"/>
        </w:numPr>
        <w:spacing w:before="0" w:after="40"/>
        <w:contextualSpacing/>
        <w:rPr/>
      </w:pPr>
      <w:r>
        <w:rPr/>
        <w:t>Experience of working with universities, technical specialists and innovation bodies to turn research or emerging capability into policy, investment or delivery propositions.</w:t>
      </w:r>
    </w:p>
    <w:p>
      <w:pPr>
        <w:pStyle w:val="ListBullet"/>
        <w:numPr>
          <w:ilvl w:val="0"/>
          <w:numId w:val="3"/>
        </w:numPr>
        <w:spacing w:before="0" w:after="40"/>
        <w:contextualSpacing/>
        <w:rPr/>
      </w:pPr>
      <w:r>
        <w:rPr/>
        <w:t>Experience of supporting high-profile events, summits, roundtables or external positioning activity where policy, stakeholder and communications disciplines need to align.</w:t>
      </w:r>
    </w:p>
    <w:p>
      <w:pPr>
        <w:pStyle w:val="Heading4"/>
        <w:numPr>
          <w:ilvl w:val="3"/>
          <w:numId w:val="2"/>
        </w:numPr>
        <w:spacing w:before="120" w:after="60"/>
        <w:rPr/>
      </w:pPr>
      <w:r>
        <w:rPr/>
        <w:t>Qualifications / Training</w:t>
      </w:r>
    </w:p>
    <w:p>
      <w:pPr>
        <w:pStyle w:val="ListBullet"/>
        <w:numPr>
          <w:ilvl w:val="0"/>
          <w:numId w:val="3"/>
        </w:numPr>
        <w:spacing w:before="0" w:after="40"/>
        <w:contextualSpacing/>
        <w:rPr/>
      </w:pPr>
      <w:r>
        <w:rPr/>
        <w:t>Educated to at least degree level in a relevant subject, or able to demonstrate significant equivalent experience relevant to the duties of the post.</w:t>
      </w:r>
    </w:p>
    <w:p>
      <w:pPr>
        <w:pStyle w:val="ListBullet"/>
        <w:numPr>
          <w:ilvl w:val="0"/>
          <w:numId w:val="3"/>
        </w:numPr>
        <w:spacing w:before="0" w:after="40"/>
        <w:contextualSpacing/>
        <w:rPr/>
      </w:pPr>
      <w:r>
        <w:rPr/>
        <w:t>Programme, project, policy, strategy, economic development, digital, data, innovation or leadership qualifications are desirable but not essential where equivalent experience can be demonstrated.</w:t>
      </w:r>
    </w:p>
    <w:p>
      <w:pPr>
        <w:pStyle w:val="ListBullet"/>
        <w:numPr>
          <w:ilvl w:val="0"/>
          <w:numId w:val="3"/>
        </w:numPr>
        <w:spacing w:before="0" w:after="40"/>
        <w:contextualSpacing/>
        <w:rPr/>
      </w:pPr>
      <w:r>
        <w:rPr/>
        <w:t>Commitment to maintaining high professional standards, continuous learning and compliance with relevant GMCA procedures and statutory requirements.</w:t>
      </w:r>
    </w:p>
    <w:p>
      <w:pPr>
        <w:pStyle w:val="Heading3"/>
        <w:numPr>
          <w:ilvl w:val="2"/>
          <w:numId w:val="2"/>
        </w:numPr>
        <w:spacing w:before="120" w:after="60"/>
        <w:rPr/>
      </w:pPr>
      <w:r>
        <w:rPr/>
        <w:t>Skills, Values &amp; Behaviours</w:t>
      </w:r>
    </w:p>
    <w:p>
      <w:pPr>
        <w:pStyle w:val="Heading4"/>
        <w:numPr>
          <w:ilvl w:val="3"/>
          <w:numId w:val="2"/>
        </w:numPr>
        <w:spacing w:before="120" w:after="60"/>
        <w:rPr/>
      </w:pPr>
      <w:r>
        <w:rPr/>
        <w:t>Skills</w:t>
      </w:r>
    </w:p>
    <w:p>
      <w:pPr>
        <w:pStyle w:val="ListBullet"/>
        <w:numPr>
          <w:ilvl w:val="0"/>
          <w:numId w:val="3"/>
        </w:numPr>
        <w:spacing w:before="0" w:after="40"/>
        <w:contextualSpacing/>
        <w:rPr/>
      </w:pPr>
      <w:r>
        <w:rPr/>
        <w:t>Proven ability to translate complex digital economy, AI, cyber and innovation issues into clear, actionable strategy and policy aligned with regional goals.</w:t>
      </w:r>
    </w:p>
    <w:p>
      <w:pPr>
        <w:pStyle w:val="ListBullet"/>
        <w:numPr>
          <w:ilvl w:val="0"/>
          <w:numId w:val="3"/>
        </w:numPr>
        <w:spacing w:before="0" w:after="40"/>
        <w:contextualSpacing/>
        <w:rPr/>
      </w:pPr>
      <w:r>
        <w:rPr/>
        <w:t>Exceptional ability to communicate technical, economic and policy concepts to non-technical, senior and political audiences.</w:t>
      </w:r>
    </w:p>
    <w:p>
      <w:pPr>
        <w:pStyle w:val="ListBullet"/>
        <w:numPr>
          <w:ilvl w:val="0"/>
          <w:numId w:val="3"/>
        </w:numPr>
        <w:spacing w:before="0" w:after="40"/>
        <w:contextualSpacing/>
        <w:rPr/>
      </w:pPr>
      <w:r>
        <w:rPr/>
        <w:t>Highly developed influencing and negotiation skills, including the ability to build consensus across organisations with different priorities and accountabilities.</w:t>
      </w:r>
    </w:p>
    <w:p>
      <w:pPr>
        <w:pStyle w:val="ListBullet"/>
        <w:numPr>
          <w:ilvl w:val="0"/>
          <w:numId w:val="3"/>
        </w:numPr>
        <w:spacing w:before="0" w:after="40"/>
        <w:contextualSpacing/>
        <w:rPr/>
      </w:pPr>
      <w:r>
        <w:rPr/>
        <w:t>Strong analytical and reasoning skills, including the ability to identify patterns, define problems, test assumptions, develop options and recommend realistic courses of action.</w:t>
      </w:r>
    </w:p>
    <w:p>
      <w:pPr>
        <w:pStyle w:val="ListBullet"/>
        <w:numPr>
          <w:ilvl w:val="0"/>
          <w:numId w:val="3"/>
        </w:numPr>
        <w:spacing w:before="0" w:after="40"/>
        <w:contextualSpacing/>
        <w:rPr/>
      </w:pPr>
      <w:r>
        <w:rPr/>
        <w:t>Ability to work flexibly and creatively as part of an effective team, recognising and blending different working styles.</w:t>
      </w:r>
    </w:p>
    <w:p>
      <w:pPr>
        <w:pStyle w:val="ListBullet"/>
        <w:numPr>
          <w:ilvl w:val="0"/>
          <w:numId w:val="3"/>
        </w:numPr>
        <w:spacing w:before="0" w:after="40"/>
        <w:contextualSpacing/>
        <w:rPr/>
      </w:pPr>
      <w:r>
        <w:rPr/>
        <w:t>Ability to motivate project teams and virtual teams to successful outcomes and secure or direct resources to fulfil work requirements across a wide area of service.</w:t>
      </w:r>
    </w:p>
    <w:p>
      <w:pPr>
        <w:pStyle w:val="Heading4"/>
        <w:numPr>
          <w:ilvl w:val="3"/>
          <w:numId w:val="2"/>
        </w:numPr>
        <w:spacing w:before="120" w:after="60"/>
        <w:rPr/>
      </w:pPr>
      <w:r>
        <w:rPr/>
        <w:t>Values</w:t>
      </w:r>
    </w:p>
    <w:p>
      <w:pPr>
        <w:pStyle w:val="Normal"/>
        <w:spacing w:before="0" w:after="100"/>
        <w:rPr/>
      </w:pPr>
      <w:r>
        <w:rPr/>
        <w:t>The GMCA values are:</w:t>
      </w:r>
    </w:p>
    <w:p>
      <w:pPr>
        <w:pStyle w:val="ListBullet"/>
        <w:numPr>
          <w:ilvl w:val="0"/>
          <w:numId w:val="3"/>
        </w:numPr>
        <w:spacing w:before="0" w:after="40"/>
        <w:contextualSpacing/>
        <w:rPr/>
      </w:pPr>
      <w:r>
        <w:rPr>
          <w:b/>
          <w:bCs/>
        </w:rPr>
        <w:t xml:space="preserve">Collaborating: </w:t>
      </w:r>
      <w:r>
        <w:rPr/>
        <w:t>Bringing together people and organisations from our city region and beyond, forming strong and trusting partnerships which achieve more than any of us could do alone.</w:t>
      </w:r>
    </w:p>
    <w:p>
      <w:pPr>
        <w:pStyle w:val="ListBullet"/>
        <w:numPr>
          <w:ilvl w:val="0"/>
          <w:numId w:val="3"/>
        </w:numPr>
        <w:spacing w:before="0" w:after="40"/>
        <w:contextualSpacing/>
        <w:rPr/>
      </w:pPr>
      <w:r>
        <w:rPr>
          <w:b/>
          <w:bCs/>
        </w:rPr>
        <w:t xml:space="preserve">Empowering: </w:t>
      </w:r>
      <w:r>
        <w:rPr/>
        <w:t>Championing and supporting people and partners, ensuring everyone is able to contribute to and benefit from Greater Manchester’s ambitions.</w:t>
      </w:r>
    </w:p>
    <w:p>
      <w:pPr>
        <w:pStyle w:val="ListBullet"/>
        <w:numPr>
          <w:ilvl w:val="0"/>
          <w:numId w:val="3"/>
        </w:numPr>
        <w:spacing w:before="0" w:after="40"/>
        <w:contextualSpacing/>
        <w:rPr/>
      </w:pPr>
      <w:r>
        <w:rPr>
          <w:b/>
          <w:bCs/>
        </w:rPr>
        <w:t xml:space="preserve">Delivering: </w:t>
      </w:r>
      <w:r>
        <w:rPr/>
        <w:t>Taking positive and innovative actions with purpose, achieving a better future with our people, partners and communities.</w:t>
      </w:r>
    </w:p>
    <w:p>
      <w:pPr>
        <w:pStyle w:val="Normal"/>
        <w:spacing w:before="0" w:after="100"/>
        <w:rPr/>
      </w:pPr>
      <w:r>
        <w:rPr/>
        <w:t>In addition to the GMCA values, the successful candidate is expected to demonstrate the following role-specific behaviours:</w:t>
      </w:r>
    </w:p>
    <w:p>
      <w:pPr>
        <w:pStyle w:val="ListBullet"/>
        <w:numPr>
          <w:ilvl w:val="0"/>
          <w:numId w:val="3"/>
        </w:numPr>
        <w:spacing w:before="0" w:after="40"/>
        <w:contextualSpacing/>
        <w:rPr/>
      </w:pPr>
      <w:r>
        <w:rPr>
          <w:b/>
          <w:bCs/>
        </w:rPr>
        <w:t xml:space="preserve">System leader: </w:t>
      </w:r>
      <w:r>
        <w:rPr/>
        <w:t>Works beyond organisational boundaries, creating shared ownership and clarity where delivery depends on many partners.</w:t>
      </w:r>
    </w:p>
    <w:p>
      <w:pPr>
        <w:pStyle w:val="ListBullet"/>
        <w:numPr>
          <w:ilvl w:val="0"/>
          <w:numId w:val="3"/>
        </w:numPr>
        <w:spacing w:before="0" w:after="40"/>
        <w:contextualSpacing/>
        <w:rPr/>
      </w:pPr>
      <w:r>
        <w:rPr>
          <w:b/>
          <w:bCs/>
        </w:rPr>
        <w:t xml:space="preserve">Evidence-led and transparent: </w:t>
      </w:r>
      <w:r>
        <w:rPr/>
        <w:t>Uses evidence, logic and openness to support credible decisions, challenge assumptions and build trust.</w:t>
      </w:r>
    </w:p>
    <w:p>
      <w:pPr>
        <w:pStyle w:val="ListBullet"/>
        <w:numPr>
          <w:ilvl w:val="0"/>
          <w:numId w:val="3"/>
        </w:numPr>
        <w:spacing w:before="0" w:after="40"/>
        <w:contextualSpacing/>
        <w:rPr/>
      </w:pPr>
      <w:r>
        <w:rPr>
          <w:b/>
          <w:bCs/>
        </w:rPr>
        <w:t xml:space="preserve">Future-focused and practical: </w:t>
      </w:r>
      <w:r>
        <w:rPr/>
        <w:t xml:space="preserve">Understands emerging technology and policy trends while keeping attention on delivery, benefits and implementation. </w:t>
      </w:r>
    </w:p>
    <w:p>
      <w:pPr>
        <w:pStyle w:val="ListBullet"/>
        <w:numPr>
          <w:ilvl w:val="0"/>
          <w:numId w:val="3"/>
        </w:numPr>
        <w:spacing w:before="0" w:after="40"/>
        <w:contextualSpacing/>
        <w:rPr/>
      </w:pPr>
      <w:r>
        <w:rPr>
          <w:b/>
          <w:bCs/>
        </w:rPr>
        <w:t xml:space="preserve">Inclusive and responsible: </w:t>
      </w:r>
      <w:r>
        <w:rPr/>
        <w:t>Ensures digital economy growth is connected to public benefit, responsible innovation, trust, fairness and access to opportunity.</w:t>
      </w:r>
    </w:p>
    <w:p>
      <w:pPr>
        <w:pStyle w:val="ListBullet"/>
        <w:numPr>
          <w:ilvl w:val="0"/>
          <w:numId w:val="3"/>
        </w:numPr>
        <w:spacing w:before="0" w:after="40"/>
        <w:contextualSpacing/>
        <w:rPr/>
      </w:pPr>
      <w:r>
        <w:rPr>
          <w:b/>
          <w:bCs/>
        </w:rPr>
        <w:t xml:space="preserve">Outward-facing and credible: </w:t>
      </w:r>
      <w:r>
        <w:rPr/>
        <w:t>Builds confidence with senior partners, government, industry and academia while maintaining GMCA’s public value objectives.</w:t>
      </w:r>
    </w:p>
    <w:p>
      <w:pPr>
        <w:pStyle w:val="ListBullet"/>
        <w:numPr>
          <w:ilvl w:val="0"/>
          <w:numId w:val="3"/>
        </w:numPr>
        <w:spacing w:before="0" w:after="40"/>
        <w:contextualSpacing/>
        <w:rPr/>
      </w:pPr>
      <w:r>
        <w:rPr>
          <w:b/>
          <w:bCs/>
        </w:rPr>
        <w:t xml:space="preserve">Comfortable with ambiguity: </w:t>
      </w:r>
      <w:r>
        <w:rPr/>
        <w:t>Leads confidently where technology, policy, governance and funding landscapes are still evolving.</w:t>
      </w:r>
    </w:p>
    <w:p>
      <w:pPr>
        <w:pStyle w:val="Heading3"/>
        <w:numPr>
          <w:ilvl w:val="2"/>
          <w:numId w:val="2"/>
        </w:numPr>
        <w:spacing w:before="120" w:after="60"/>
        <w:rPr/>
      </w:pPr>
      <w:r>
        <w:rPr/>
        <w:t>For politically restricted posts</w:t>
      </w:r>
    </w:p>
    <w:p>
      <w:pPr>
        <w:pStyle w:val="Normal"/>
        <w:spacing w:before="0" w:after="100"/>
        <w:rPr/>
      </w:pPr>
      <w:r>
        <w:rPr/>
        <w:t>This post is likely to be politically restricted, subject to formal HR and legal review, because the duties may include giving advice on a regular basis to the Authority, Committees or Sub-Committees, Executive Members, elected members or senior decision-makers, and may involve speaking to the media or external audiences on policy matters. Final determination should be confirmed through GMCA processes.</w:t>
      </w:r>
    </w:p>
    <w:p>
      <w:pPr>
        <w:pStyle w:val="Heading3"/>
        <w:numPr>
          <w:ilvl w:val="2"/>
          <w:numId w:val="2"/>
        </w:numPr>
        <w:spacing w:before="120" w:after="60"/>
        <w:rPr/>
      </w:pPr>
      <w:r>
        <w:rPr/>
        <w:t>Corporate Duties</w:t>
      </w:r>
    </w:p>
    <w:p>
      <w:pPr>
        <w:pStyle w:val="ListBullet"/>
        <w:numPr>
          <w:ilvl w:val="0"/>
          <w:numId w:val="3"/>
        </w:numPr>
        <w:spacing w:before="0" w:after="40"/>
        <w:contextualSpacing/>
        <w:rPr/>
      </w:pPr>
      <w:r>
        <w:rPr/>
        <w:t>Do not behave in a way which discriminates against fellow employees, or potential employees, on the grounds of their sex, sexual orientation, marital status, race, religion, creed, colour, nationality, ethnic origin or disability.</w:t>
      </w:r>
    </w:p>
    <w:p>
      <w:pPr>
        <w:pStyle w:val="ListBullet"/>
        <w:numPr>
          <w:ilvl w:val="0"/>
          <w:numId w:val="3"/>
        </w:numPr>
        <w:spacing w:before="0" w:after="40"/>
        <w:contextualSpacing/>
        <w:rPr/>
      </w:pPr>
      <w:r>
        <w:rPr/>
        <w:t>Safeguard at all times confidentiality of information relating to staff and pensioners. Refrain from smoking in any areas of Service premises.</w:t>
      </w:r>
    </w:p>
    <w:p>
      <w:pPr>
        <w:pStyle w:val="ListBullet"/>
        <w:numPr>
          <w:ilvl w:val="0"/>
          <w:numId w:val="3"/>
        </w:numPr>
        <w:spacing w:before="0" w:after="40"/>
        <w:contextualSpacing/>
        <w:rPr/>
      </w:pPr>
      <w:r>
        <w:rPr/>
        <w:t>Behave in a manner that ensures the security of property and resources. Abide by all relevant Service Policies and Procedures.</w:t>
      </w:r>
    </w:p>
    <w:p>
      <w:pPr>
        <w:pStyle w:val="ListBullet"/>
        <w:numPr>
          <w:ilvl w:val="0"/>
          <w:numId w:val="3"/>
        </w:numPr>
        <w:spacing w:before="0" w:after="40"/>
        <w:contextualSpacing/>
        <w:rPr/>
      </w:pPr>
      <w:r>
        <w:rPr>
          <w:b/>
          <w:bCs/>
        </w:rPr>
        <w:t xml:space="preserve">Records Management / Data Protection – </w:t>
      </w:r>
      <w:r>
        <w:rPr/>
        <w:t>As an employee of the GMCA, you have a legal responsibility for all records, including employee health, financial, personal and administrative records, that you gather or use as part of your work with the Service. You must consult your manager if you have any doubt as to the correct management of records with which you work.</w:t>
      </w:r>
    </w:p>
    <w:p>
      <w:pPr>
        <w:pStyle w:val="ListBullet"/>
        <w:numPr>
          <w:ilvl w:val="0"/>
          <w:numId w:val="3"/>
        </w:numPr>
        <w:spacing w:before="0" w:after="40"/>
        <w:contextualSpacing/>
        <w:rPr/>
      </w:pPr>
      <w:r>
        <w:rPr>
          <w:b/>
          <w:bCs/>
        </w:rPr>
        <w:t xml:space="preserve">Confidentiality and Information Security – </w:t>
      </w:r>
      <w:r>
        <w:rPr/>
        <w:t>As a GMCA employee you are required to uphold the confidentiality of all records held by the GMCA, whether employee records or GMCA information. This duty lasts indefinitely and will continue after you leave GMCA employment. All employees must maintain confidentiality and abide by data protection legislation.</w:t>
      </w:r>
    </w:p>
    <w:p>
      <w:pPr>
        <w:pStyle w:val="ListBullet"/>
        <w:numPr>
          <w:ilvl w:val="0"/>
          <w:numId w:val="3"/>
        </w:numPr>
        <w:spacing w:before="0" w:after="40"/>
        <w:contextualSpacing/>
        <w:rPr/>
      </w:pPr>
      <w:r>
        <w:rPr>
          <w:b/>
          <w:bCs/>
        </w:rPr>
        <w:t xml:space="preserve">Data Quality – </w:t>
      </w:r>
      <w:r>
        <w:rPr/>
        <w:t>All staff are personally responsible for the quality of data entered by themselves, or on their behalf, on GMCA computerised systems or manual records and must ensure such data is entered accurately and in a timely manner. Data must be handled securely, protecting the confidentiality of any personal data held.</w:t>
      </w:r>
    </w:p>
    <w:p>
      <w:pPr>
        <w:pStyle w:val="ListBullet"/>
        <w:numPr>
          <w:ilvl w:val="0"/>
          <w:numId w:val="3"/>
        </w:numPr>
        <w:spacing w:before="0" w:after="40"/>
        <w:contextualSpacing/>
        <w:rPr/>
      </w:pPr>
      <w:r>
        <w:rPr>
          <w:b/>
          <w:bCs/>
        </w:rPr>
        <w:t xml:space="preserve">Health and Safety – </w:t>
      </w:r>
      <w:r>
        <w:rPr/>
        <w:t>All employees of GMCA have a statutory duty of care for their own personal safety and that of others who may be affected by their acts or omissions. Employees are required to co-operate with management and report circumstances that may compromise health, safety or welfare.</w:t>
      </w:r>
    </w:p>
    <w:p>
      <w:pPr>
        <w:pStyle w:val="ListBullet"/>
        <w:numPr>
          <w:ilvl w:val="0"/>
          <w:numId w:val="3"/>
        </w:numPr>
        <w:spacing w:before="0" w:after="40"/>
        <w:contextualSpacing/>
        <w:rPr/>
      </w:pPr>
      <w:r>
        <w:rPr>
          <w:b/>
          <w:bCs/>
        </w:rPr>
        <w:t xml:space="preserve">Service Policies – </w:t>
      </w:r>
      <w:r>
        <w:rPr/>
        <w:t>All GMCA employees must observe and adhere to the provisions outlined in these policies.</w:t>
      </w:r>
    </w:p>
    <w:p>
      <w:pPr>
        <w:pStyle w:val="ListBullet"/>
        <w:numPr>
          <w:ilvl w:val="0"/>
          <w:numId w:val="3"/>
        </w:numPr>
        <w:spacing w:before="0" w:after="40"/>
        <w:contextualSpacing/>
        <w:rPr/>
      </w:pPr>
      <w:r>
        <w:rPr>
          <w:b/>
          <w:bCs/>
        </w:rPr>
        <w:t xml:space="preserve">Equal Opportunities – </w:t>
      </w:r>
      <w:r>
        <w:rPr/>
        <w:t>GMCA provides a range of services and employment opportunities for a diverse population. As a GMCA employee you are expected to treat all employees, partners, members of the public and work colleagues with dignity and respect irrespective of their background.</w:t>
      </w:r>
    </w:p>
    <w:sectPr>
      <w:footerReference w:type="default" r:id="rId2"/>
      <w:type w:val="nextPage"/>
      <w:pgSz w:w="12240" w:h="15840"/>
      <w:pgMar w:left="1080" w:right="1080" w:gutter="0" w:header="0" w:top="936" w:footer="720" w:bottom="93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ymbol">
    <w:charset w:val="00"/>
    <w:family w:val="roman"/>
    <w:pitch w:val="variable"/>
  </w:font>
  <w:font w:name="Courier">
    <w:altName w:val="Courier New"/>
    <w:charset w:val="00"/>
    <w:family w:val="roman"/>
    <w:pitch w:val="variable"/>
  </w:font>
  <w:font w:name="Liberation Sans">
    <w:altName w:val="Arial"/>
    <w:charset w:val="00"/>
    <w:family w:val="roman"/>
    <w:pitch w:val="variable"/>
  </w:font>
  <w:font w:name="Cambr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color w:val="595959"/>
        <w:sz w:val="16"/>
      </w:rPr>
    </w:pPr>
    <w:r>
      <w:rPr>
        <w:color w:val="595959"/>
        <w:sz w:val="16"/>
      </w:rPr>
      <w:t>Digital Economy Strategic Lead role profile | Draft for review</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pStyle w:val="Heading7"/>
      <w:numFmt w:val="none"/>
      <w:suff w:val="nothing"/>
      <w:lvlText w:val=""/>
      <w:lvlJc w:val="left"/>
      <w:pPr>
        <w:tabs>
          <w:tab w:val="num" w:pos="0"/>
        </w:tabs>
        <w:ind w:left="0" w:hanging="0"/>
      </w:pPr>
    </w:lvl>
    <w:lvl w:ilvl="7">
      <w:start w:val="1"/>
      <w:pStyle w:val="Heading8"/>
      <w:numFmt w:val="none"/>
      <w:suff w:val="nothing"/>
      <w:lvlText w:val=""/>
      <w:lvlJc w:val="left"/>
      <w:pPr>
        <w:tabs>
          <w:tab w:val="num" w:pos="0"/>
        </w:tabs>
        <w:ind w:left="0" w:hanging="0"/>
      </w:pPr>
    </w:lvl>
    <w:lvl w:ilvl="8">
      <w:start w:val="1"/>
      <w:pStyle w:val="Heading9"/>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Arial" w:hAnsi="Arial" w:eastAsia="Arial" w:cs="Lucida Sans"/>
      <w:color w:val="auto"/>
      <w:kern w:val="0"/>
      <w:sz w:val="20"/>
      <w:szCs w:val="22"/>
      <w:lang w:val="en-US" w:eastAsia="en-US" w:bidi="ar-SA"/>
    </w:rPr>
  </w:style>
  <w:style w:type="paragraph" w:styleId="Heading1">
    <w:name w:val="Heading 1"/>
    <w:basedOn w:val="Normal"/>
    <w:next w:val="Normal"/>
    <w:qFormat/>
    <w:pPr>
      <w:keepNext w:val="true"/>
      <w:keepLines/>
      <w:numPr>
        <w:ilvl w:val="0"/>
        <w:numId w:val="1"/>
      </w:numPr>
      <w:spacing w:before="480" w:after="0"/>
      <w:outlineLvl w:val="0"/>
    </w:pPr>
    <w:rPr>
      <w:rFonts w:ascii="Calibri" w:hAnsi="Calibri" w:eastAsia="MS Gothic" w:cs="Calibri"/>
      <w:b/>
      <w:bCs/>
      <w:color w:val="0F5469"/>
      <w:sz w:val="32"/>
      <w:szCs w:val="28"/>
    </w:rPr>
  </w:style>
  <w:style w:type="paragraph" w:styleId="Heading2">
    <w:name w:val="Heading 2"/>
    <w:basedOn w:val="Normal"/>
    <w:next w:val="Normal"/>
    <w:qFormat/>
    <w:pPr>
      <w:keepNext w:val="true"/>
      <w:keepLines/>
      <w:numPr>
        <w:ilvl w:val="1"/>
        <w:numId w:val="1"/>
      </w:numPr>
      <w:spacing w:before="200" w:after="0"/>
      <w:outlineLvl w:val="1"/>
    </w:pPr>
    <w:rPr>
      <w:rFonts w:ascii="Calibri" w:hAnsi="Calibri" w:eastAsia="MS Gothic" w:cs="Calibri"/>
      <w:b/>
      <w:bCs/>
      <w:color w:val="0F5469"/>
      <w:sz w:val="26"/>
      <w:szCs w:val="26"/>
    </w:rPr>
  </w:style>
  <w:style w:type="paragraph" w:styleId="Heading3">
    <w:name w:val="Heading 3"/>
    <w:basedOn w:val="Normal"/>
    <w:next w:val="Normal"/>
    <w:qFormat/>
    <w:pPr>
      <w:keepNext w:val="true"/>
      <w:keepLines/>
      <w:numPr>
        <w:ilvl w:val="2"/>
        <w:numId w:val="1"/>
      </w:numPr>
      <w:spacing w:before="200" w:after="0"/>
      <w:outlineLvl w:val="2"/>
    </w:pPr>
    <w:rPr>
      <w:rFonts w:ascii="Calibri" w:hAnsi="Calibri" w:eastAsia="MS Gothic" w:cs="Calibri"/>
      <w:b/>
      <w:bCs/>
      <w:color w:val="0F5469"/>
      <w:sz w:val="22"/>
    </w:rPr>
  </w:style>
  <w:style w:type="paragraph" w:styleId="Heading4">
    <w:name w:val="Heading 4"/>
    <w:basedOn w:val="Normal"/>
    <w:next w:val="Normal"/>
    <w:qFormat/>
    <w:pPr>
      <w:keepNext w:val="true"/>
      <w:keepLines/>
      <w:numPr>
        <w:ilvl w:val="3"/>
        <w:numId w:val="1"/>
      </w:numPr>
      <w:spacing w:before="200" w:after="0"/>
      <w:outlineLvl w:val="3"/>
    </w:pPr>
    <w:rPr>
      <w:rFonts w:ascii="Calibri" w:hAnsi="Calibri" w:eastAsia="MS Gothic" w:cs="Calibri"/>
      <w:b/>
      <w:bCs/>
      <w:i/>
      <w:iCs/>
      <w:color w:val="0F5469"/>
    </w:rPr>
  </w:style>
  <w:style w:type="paragraph" w:styleId="Heading5">
    <w:name w:val="Heading 5"/>
    <w:basedOn w:val="Normal"/>
    <w:next w:val="Normal"/>
    <w:qFormat/>
    <w:pPr>
      <w:keepNext w:val="true"/>
      <w:keepLines/>
      <w:numPr>
        <w:ilvl w:val="4"/>
        <w:numId w:val="1"/>
      </w:numPr>
      <w:spacing w:before="200" w:after="0"/>
      <w:outlineLvl w:val="4"/>
    </w:pPr>
    <w:rPr>
      <w:rFonts w:ascii="Calibri" w:hAnsi="Calibri" w:eastAsia="MS Gothic" w:cs="Calibri"/>
      <w:color w:val="243F60"/>
    </w:rPr>
  </w:style>
  <w:style w:type="paragraph" w:styleId="Heading6">
    <w:name w:val="Heading 6"/>
    <w:basedOn w:val="Normal"/>
    <w:next w:val="Normal"/>
    <w:qFormat/>
    <w:pPr>
      <w:keepNext w:val="true"/>
      <w:keepLines/>
      <w:numPr>
        <w:ilvl w:val="5"/>
        <w:numId w:val="1"/>
      </w:numPr>
      <w:spacing w:before="200" w:after="0"/>
      <w:outlineLvl w:val="5"/>
    </w:pPr>
    <w:rPr>
      <w:rFonts w:ascii="Calibri" w:hAnsi="Calibri" w:eastAsia="MS Gothic" w:cs="Calibri"/>
      <w:i/>
      <w:iCs/>
      <w:color w:val="243F60"/>
    </w:rPr>
  </w:style>
  <w:style w:type="paragraph" w:styleId="Heading7">
    <w:name w:val="Heading 7"/>
    <w:basedOn w:val="Normal"/>
    <w:next w:val="Normal"/>
    <w:qFormat/>
    <w:pPr>
      <w:keepNext w:val="true"/>
      <w:keepLines/>
      <w:numPr>
        <w:ilvl w:val="6"/>
        <w:numId w:val="1"/>
      </w:numPr>
      <w:spacing w:before="200" w:after="0"/>
      <w:outlineLvl w:val="6"/>
    </w:pPr>
    <w:rPr>
      <w:rFonts w:ascii="Calibri" w:hAnsi="Calibri" w:eastAsia="MS Gothic" w:cs="Calibri"/>
      <w:i/>
      <w:iCs/>
      <w:color w:val="404040"/>
    </w:rPr>
  </w:style>
  <w:style w:type="paragraph" w:styleId="Heading8">
    <w:name w:val="Heading 8"/>
    <w:basedOn w:val="Normal"/>
    <w:next w:val="Normal"/>
    <w:qFormat/>
    <w:pPr>
      <w:keepNext w:val="true"/>
      <w:keepLines/>
      <w:numPr>
        <w:ilvl w:val="7"/>
        <w:numId w:val="1"/>
      </w:numPr>
      <w:spacing w:before="200" w:after="0"/>
      <w:outlineLvl w:val="7"/>
    </w:pPr>
    <w:rPr>
      <w:rFonts w:ascii="Calibri" w:hAnsi="Calibri" w:eastAsia="MS Gothic" w:cs="Calibri"/>
      <w:color w:val="4F81BD"/>
      <w:szCs w:val="20"/>
    </w:rPr>
  </w:style>
  <w:style w:type="paragraph" w:styleId="Heading9">
    <w:name w:val="Heading 9"/>
    <w:basedOn w:val="Normal"/>
    <w:next w:val="Normal"/>
    <w:qFormat/>
    <w:pPr>
      <w:keepNext w:val="true"/>
      <w:keepLines/>
      <w:numPr>
        <w:ilvl w:val="8"/>
        <w:numId w:val="1"/>
      </w:numPr>
      <w:spacing w:before="200" w:after="0"/>
      <w:outlineLvl w:val="8"/>
    </w:pPr>
    <w:rPr>
      <w:rFonts w:ascii="Calibri" w:hAnsi="Calibri" w:eastAsia="MS Gothic" w:cs="Calibri"/>
      <w:i/>
      <w:iCs/>
      <w:color w:val="404040"/>
      <w:szCs w:val="20"/>
    </w:rPr>
  </w:style>
  <w:style w:type="character" w:styleId="WW8Num3z0">
    <w:name w:val="WW8Num3z0"/>
    <w:qFormat/>
    <w:rPr>
      <w:rFonts w:ascii="Symbol" w:hAnsi="Symbol" w:cs="Symbol"/>
    </w:rPr>
  </w:style>
  <w:style w:type="character" w:styleId="DefaultParagraphFont">
    <w:name w:val="Default Paragraph Font"/>
    <w:qFormat/>
    <w:rPr/>
  </w:style>
  <w:style w:type="character" w:styleId="WW8Num1z0">
    <w:name w:val="WW8Num1z0"/>
    <w:qFormat/>
    <w:rPr>
      <w:rFonts w:ascii="Symbol" w:hAnsi="Symbol" w:cs="Symbol"/>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eading1Char">
    <w:name w:val="Heading 1 Char"/>
    <w:basedOn w:val="DefaultParagraphFont"/>
    <w:qFormat/>
    <w:rPr>
      <w:rFonts w:ascii="Calibri" w:hAnsi="Calibri" w:eastAsia="MS Gothic" w:cs="Calibri"/>
      <w:b/>
      <w:bCs/>
      <w:color w:val="365F91"/>
      <w:sz w:val="28"/>
      <w:szCs w:val="28"/>
    </w:rPr>
  </w:style>
  <w:style w:type="character" w:styleId="Heading2Char">
    <w:name w:val="Heading 2 Char"/>
    <w:basedOn w:val="DefaultParagraphFont"/>
    <w:qFormat/>
    <w:rPr>
      <w:rFonts w:ascii="Calibri" w:hAnsi="Calibri" w:eastAsia="MS Gothic" w:cs="Calibri"/>
      <w:b/>
      <w:bCs/>
      <w:color w:val="4F81BD"/>
      <w:sz w:val="26"/>
      <w:szCs w:val="26"/>
    </w:rPr>
  </w:style>
  <w:style w:type="character" w:styleId="Heading3Char">
    <w:name w:val="Heading 3 Char"/>
    <w:basedOn w:val="DefaultParagraphFont"/>
    <w:qFormat/>
    <w:rPr>
      <w:rFonts w:ascii="Calibri" w:hAnsi="Calibri" w:eastAsia="MS Gothic" w:cs="Calibri"/>
      <w:b/>
      <w:bCs/>
      <w:color w:val="4F81BD"/>
    </w:rPr>
  </w:style>
  <w:style w:type="character" w:styleId="TitleChar">
    <w:name w:val="Title Char"/>
    <w:basedOn w:val="DefaultParagraphFont"/>
    <w:qFormat/>
    <w:rPr>
      <w:rFonts w:ascii="Calibri" w:hAnsi="Calibri" w:eastAsia="MS Gothic" w:cs="Calibri"/>
      <w:color w:val="17365D"/>
      <w:spacing w:val="5"/>
      <w:kern w:val="2"/>
      <w:sz w:val="52"/>
      <w:szCs w:val="52"/>
    </w:rPr>
  </w:style>
  <w:style w:type="character" w:styleId="SubtitleChar">
    <w:name w:val="Subtitle Char"/>
    <w:basedOn w:val="DefaultParagraphFont"/>
    <w:qFormat/>
    <w:rPr>
      <w:rFonts w:ascii="Calibri" w:hAnsi="Calibri" w:eastAsia="MS Gothic" w:cs="Calibri"/>
      <w:i/>
      <w:iCs/>
      <w:color w:val="4F81BD"/>
      <w:spacing w:val="15"/>
      <w:sz w:val="24"/>
      <w:szCs w:val="24"/>
    </w:rPr>
  </w:style>
  <w:style w:type="character" w:styleId="BodyTextChar">
    <w:name w:val="Body Text Char"/>
    <w:basedOn w:val="DefaultParagraphFont"/>
    <w:qFormat/>
    <w:rPr/>
  </w:style>
  <w:style w:type="character" w:styleId="BodyText2Char">
    <w:name w:val="Body Text 2 Char"/>
    <w:basedOn w:val="DefaultParagraphFont"/>
    <w:qFormat/>
    <w:rPr/>
  </w:style>
  <w:style w:type="character" w:styleId="BodyText3Char">
    <w:name w:val="Body Text 3 Char"/>
    <w:basedOn w:val="DefaultParagraphFont"/>
    <w:qFormat/>
    <w:rPr>
      <w:sz w:val="16"/>
      <w:szCs w:val="16"/>
    </w:rPr>
  </w:style>
  <w:style w:type="character" w:styleId="MacroTextChar">
    <w:name w:val="Macro Text Char"/>
    <w:basedOn w:val="DefaultParagraphFont"/>
    <w:qFormat/>
    <w:rPr>
      <w:rFonts w:ascii="Courier;Courier New" w:hAnsi="Courier;Courier New" w:cs="Courier;Courier New"/>
      <w:sz w:val="20"/>
      <w:szCs w:val="20"/>
    </w:rPr>
  </w:style>
  <w:style w:type="character" w:styleId="QuoteChar">
    <w:name w:val="Quote Char"/>
    <w:basedOn w:val="DefaultParagraphFont"/>
    <w:qFormat/>
    <w:rPr>
      <w:i/>
      <w:iCs/>
      <w:color w:val="000000"/>
    </w:rPr>
  </w:style>
  <w:style w:type="character" w:styleId="Heading4Char">
    <w:name w:val="Heading 4 Char"/>
    <w:basedOn w:val="DefaultParagraphFont"/>
    <w:qFormat/>
    <w:rPr>
      <w:rFonts w:ascii="Calibri" w:hAnsi="Calibri" w:eastAsia="MS Gothic" w:cs="Calibri"/>
      <w:b/>
      <w:bCs/>
      <w:i/>
      <w:iCs/>
      <w:color w:val="4F81BD"/>
    </w:rPr>
  </w:style>
  <w:style w:type="character" w:styleId="Heading5Char">
    <w:name w:val="Heading 5 Char"/>
    <w:basedOn w:val="DefaultParagraphFont"/>
    <w:qFormat/>
    <w:rPr>
      <w:rFonts w:ascii="Calibri" w:hAnsi="Calibri" w:eastAsia="MS Gothic" w:cs="Calibri"/>
      <w:color w:val="243F60"/>
    </w:rPr>
  </w:style>
  <w:style w:type="character" w:styleId="Heading6Char">
    <w:name w:val="Heading 6 Char"/>
    <w:basedOn w:val="DefaultParagraphFont"/>
    <w:qFormat/>
    <w:rPr>
      <w:rFonts w:ascii="Calibri" w:hAnsi="Calibri" w:eastAsia="MS Gothic" w:cs="Calibri"/>
      <w:i/>
      <w:iCs/>
      <w:color w:val="243F60"/>
    </w:rPr>
  </w:style>
  <w:style w:type="character" w:styleId="Heading7Char">
    <w:name w:val="Heading 7 Char"/>
    <w:basedOn w:val="DefaultParagraphFont"/>
    <w:qFormat/>
    <w:rPr>
      <w:rFonts w:ascii="Calibri" w:hAnsi="Calibri" w:eastAsia="MS Gothic" w:cs="Calibri"/>
      <w:i/>
      <w:iCs/>
      <w:color w:val="404040"/>
    </w:rPr>
  </w:style>
  <w:style w:type="character" w:styleId="Heading8Char">
    <w:name w:val="Heading 8 Char"/>
    <w:basedOn w:val="DefaultParagraphFont"/>
    <w:qFormat/>
    <w:rPr>
      <w:rFonts w:ascii="Calibri" w:hAnsi="Calibri" w:eastAsia="MS Gothic" w:cs="Calibri"/>
      <w:color w:val="4F81BD"/>
      <w:sz w:val="20"/>
      <w:szCs w:val="20"/>
    </w:rPr>
  </w:style>
  <w:style w:type="character" w:styleId="Heading9Char">
    <w:name w:val="Heading 9 Char"/>
    <w:basedOn w:val="DefaultParagraphFont"/>
    <w:qFormat/>
    <w:rPr>
      <w:rFonts w:ascii="Calibri" w:hAnsi="Calibri" w:eastAsia="MS Gothic" w:cs="Calibri"/>
      <w:i/>
      <w:iCs/>
      <w:color w:val="404040"/>
      <w:sz w:val="20"/>
      <w:szCs w:val="20"/>
    </w:rPr>
  </w:style>
  <w:style w:type="character" w:styleId="Strong">
    <w:name w:val="Strong"/>
    <w:basedOn w:val="DefaultParagraphFont"/>
    <w:qFormat/>
    <w:rPr>
      <w:b/>
      <w:bCs/>
    </w:rPr>
  </w:style>
  <w:style w:type="character" w:styleId="Emphasis">
    <w:name w:val="Emphasis"/>
    <w:basedOn w:val="DefaultParagraphFont"/>
    <w:qFormat/>
    <w:rPr>
      <w:i/>
      <w:iCs/>
    </w:rPr>
  </w:style>
  <w:style w:type="character" w:styleId="IntenseQuoteChar">
    <w:name w:val="Intense Quote Char"/>
    <w:basedOn w:val="DefaultParagraphFont"/>
    <w:qFormat/>
    <w:rPr>
      <w:b/>
      <w:bCs/>
      <w:i/>
      <w:iCs/>
      <w:color w:val="4F81BD"/>
    </w:rPr>
  </w:style>
  <w:style w:type="character" w:styleId="SubtleEmphasis">
    <w:name w:val="Subtle Emphasis"/>
    <w:basedOn w:val="DefaultParagraphFont"/>
    <w:qFormat/>
    <w:rPr>
      <w:i/>
      <w:iCs/>
      <w:color w:val="808080"/>
    </w:rPr>
  </w:style>
  <w:style w:type="character" w:styleId="IntenseEmphasis">
    <w:name w:val="Intense Emphasis"/>
    <w:basedOn w:val="DefaultParagraphFont"/>
    <w:qFormat/>
    <w:rPr>
      <w:b/>
      <w:bCs/>
      <w:i/>
      <w:iCs/>
      <w:color w:val="4F81BD"/>
    </w:rPr>
  </w:style>
  <w:style w:type="character" w:styleId="SubtleReference">
    <w:name w:val="Subtle Reference"/>
    <w:basedOn w:val="DefaultParagraphFont"/>
    <w:qFormat/>
    <w:rPr>
      <w:smallCaps/>
      <w:color w:val="C0504D"/>
      <w:u w:val="single"/>
    </w:rPr>
  </w:style>
  <w:style w:type="character" w:styleId="IntenseReference">
    <w:name w:val="Intense Reference"/>
    <w:basedOn w:val="DefaultParagraphFont"/>
    <w:qFormat/>
    <w:rPr>
      <w:b/>
      <w:bCs/>
      <w:smallCaps/>
      <w:color w:val="C0504D"/>
      <w:spacing w:val="5"/>
      <w:u w:val="single"/>
    </w:rPr>
  </w:style>
  <w:style w:type="character" w:styleId="BookTitle">
    <w:name w:val="Book Title"/>
    <w:basedOn w:val="DefaultParagraphFont"/>
    <w:qFormat/>
    <w:rPr>
      <w:b/>
      <w:bCs/>
      <w:smallCaps/>
      <w:spacing w:val="5"/>
    </w:rPr>
  </w:style>
  <w:style w:type="character" w:styleId="Hyperlink">
    <w:name w:val="Hyperlink"/>
    <w:basedOn w:val="DefaultParagraphFont"/>
    <w:rPr>
      <w:color w:val="0000FF"/>
      <w:u w:val="single"/>
    </w:rPr>
  </w:style>
  <w:style w:type="character" w:styleId="UnresolvedMention">
    <w:name w:val="Unresolved Mention"/>
    <w:basedOn w:val="DefaultParagraphFont"/>
    <w:qFormat/>
    <w:rPr>
      <w:color w:val="605E5C"/>
      <w:shd w:fill="E1DFDD" w:val="clear"/>
    </w:rPr>
  </w:style>
  <w:style w:type="character" w:styleId="CommentTextChar">
    <w:name w:val="Comment Text Char"/>
    <w:basedOn w:val="DefaultParagraphFont"/>
    <w:qFormat/>
    <w:rPr>
      <w:rFonts w:ascii="Arial" w:hAnsi="Arial" w:eastAsia="Arial" w:cs="Arial"/>
      <w:sz w:val="20"/>
      <w:szCs w:val="20"/>
    </w:rPr>
  </w:style>
  <w:style w:type="character" w:styleId="annotationreference">
    <w:name w:val="annotation reference"/>
    <w:basedOn w:val="DefaultParagraphFont"/>
    <w:qFormat/>
    <w:rPr>
      <w:sz w:val="16"/>
      <w:szCs w:val="16"/>
    </w:rPr>
  </w:style>
  <w:style w:type="paragraph" w:styleId="Heading">
    <w:name w:val="Heading"/>
    <w:basedOn w:val="Normal"/>
    <w:next w:val="BodyText"/>
    <w:qFormat/>
    <w:pPr>
      <w:keepNext w:val="true"/>
      <w:spacing w:before="240" w:after="120"/>
    </w:pPr>
    <w:rPr>
      <w:rFonts w:ascii="Liberation Sans;Arial" w:hAnsi="Liberation Sans;Arial" w:eastAsia="Microsoft YaHei" w:cs="Liberation Sans;Arial"/>
      <w:sz w:val="28"/>
      <w:szCs w:val="28"/>
    </w:rPr>
  </w:style>
  <w:style w:type="paragraph" w:styleId="BodyText">
    <w:name w:val="Body Text"/>
    <w:basedOn w:val="Normal"/>
    <w:pPr>
      <w:spacing w:before="0" w:after="120"/>
    </w:pPr>
    <w:rPr/>
  </w:style>
  <w:style w:type="paragraph" w:styleId="List">
    <w:name w:val="List"/>
    <w:basedOn w:val="Normal"/>
    <w:pPr>
      <w:spacing w:before="0" w:after="200"/>
      <w:ind w:hanging="360" w:left="360" w:right="0"/>
      <w:contextualSpacing/>
    </w:pPr>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style>
  <w:style w:type="paragraph" w:styleId="caption1">
    <w:name w:val="caption1"/>
    <w:basedOn w:val="Normal"/>
    <w:qFormat/>
    <w:pPr>
      <w:suppressLineNumbers/>
      <w:spacing w:before="120" w:after="120"/>
    </w:pPr>
    <w:rPr>
      <w:i/>
      <w:iCs/>
      <w:sz w:val="24"/>
      <w:szCs w:val="24"/>
    </w:rPr>
  </w:style>
  <w:style w:type="paragraph" w:styleId="HeaderandFooter">
    <w:name w:val="Header and Footer"/>
    <w:basedOn w:val="Normal"/>
    <w:qFormat/>
    <w:pPr/>
    <w:rPr/>
  </w:style>
  <w:style w:type="paragraph" w:styleId="Header">
    <w:name w:val="Header"/>
    <w:basedOn w:val="Normal"/>
    <w:pPr>
      <w:tabs>
        <w:tab w:val="clear" w:pos="720"/>
        <w:tab w:val="center" w:pos="4680" w:leader="none"/>
        <w:tab w:val="right" w:pos="9360" w:leader="none"/>
      </w:tabs>
      <w:spacing w:lineRule="auto" w:line="240" w:before="0" w:after="0"/>
    </w:pPr>
    <w:rPr/>
  </w:style>
  <w:style w:type="paragraph" w:styleId="Footer">
    <w:name w:val="Footer"/>
    <w:basedOn w:val="Normal"/>
    <w:pPr>
      <w:tabs>
        <w:tab w:val="clear" w:pos="720"/>
        <w:tab w:val="center" w:pos="4680" w:leader="none"/>
        <w:tab w:val="right" w:pos="9360" w:leader="none"/>
      </w:tabs>
      <w:spacing w:lineRule="auto" w:line="240" w:before="0" w:after="0"/>
    </w:pPr>
    <w:rPr/>
  </w:style>
  <w:style w:type="paragraph" w:styleId="NoSpacing">
    <w:name w:val="No Spacing"/>
    <w:qFormat/>
    <w:pPr>
      <w:widowControl/>
      <w:suppressAutoHyphens w:val="true"/>
      <w:bidi w:val="0"/>
      <w:spacing w:before="0" w:after="0"/>
      <w:jc w:val="left"/>
    </w:pPr>
    <w:rPr>
      <w:rFonts w:ascii="Cambria" w:hAnsi="Cambria" w:eastAsia="MS Mincho" w:cs="Lucida Sans"/>
      <w:color w:val="auto"/>
      <w:kern w:val="0"/>
      <w:sz w:val="20"/>
      <w:szCs w:val="22"/>
      <w:lang w:val="en-US" w:eastAsia="en-US" w:bidi="ar-SA"/>
    </w:rPr>
  </w:style>
  <w:style w:type="paragraph" w:styleId="Title">
    <w:name w:val="Title"/>
    <w:basedOn w:val="Normal"/>
    <w:next w:val="Normal"/>
    <w:qFormat/>
    <w:pPr>
      <w:pBdr>
        <w:bottom w:val="single" w:sz="8" w:space="4" w:color="4F81BD"/>
      </w:pBdr>
      <w:spacing w:lineRule="auto" w:line="240" w:before="0" w:after="300"/>
      <w:contextualSpacing/>
    </w:pPr>
    <w:rPr>
      <w:rFonts w:ascii="Calibri" w:hAnsi="Calibri" w:eastAsia="MS Gothic" w:cs="Calibri"/>
      <w:color w:val="17365D"/>
      <w:spacing w:val="5"/>
      <w:kern w:val="2"/>
      <w:sz w:val="52"/>
      <w:szCs w:val="52"/>
    </w:rPr>
  </w:style>
  <w:style w:type="paragraph" w:styleId="Subtitle">
    <w:name w:val="Subtitle"/>
    <w:basedOn w:val="Normal"/>
    <w:next w:val="Normal"/>
    <w:qFormat/>
    <w:pPr/>
    <w:rPr>
      <w:rFonts w:ascii="Calibri" w:hAnsi="Calibri" w:eastAsia="MS Gothic" w:cs="Calibri"/>
      <w:i/>
      <w:iCs/>
      <w:color w:val="4F81BD"/>
      <w:spacing w:val="15"/>
      <w:sz w:val="24"/>
      <w:szCs w:val="24"/>
    </w:rPr>
  </w:style>
  <w:style w:type="paragraph" w:styleId="ListParagraph">
    <w:name w:val="List Paragraph"/>
    <w:basedOn w:val="Normal"/>
    <w:qFormat/>
    <w:pPr>
      <w:spacing w:before="0" w:after="200"/>
      <w:ind w:hanging="0" w:left="720" w:right="0"/>
      <w:contextualSpacing/>
    </w:pPr>
    <w:rPr/>
  </w:style>
  <w:style w:type="paragraph" w:styleId="BodyText2">
    <w:name w:val="Body Text 2"/>
    <w:basedOn w:val="Normal"/>
    <w:qFormat/>
    <w:pPr>
      <w:spacing w:lineRule="auto" w:line="480" w:before="0" w:after="120"/>
    </w:pPr>
    <w:rPr/>
  </w:style>
  <w:style w:type="paragraph" w:styleId="BodyText3">
    <w:name w:val="Body Text 3"/>
    <w:basedOn w:val="Normal"/>
    <w:qFormat/>
    <w:pPr>
      <w:spacing w:before="0" w:after="120"/>
    </w:pPr>
    <w:rPr>
      <w:sz w:val="16"/>
      <w:szCs w:val="16"/>
    </w:rPr>
  </w:style>
  <w:style w:type="paragraph" w:styleId="ListBullet2">
    <w:name w:val="List Bullet 2"/>
    <w:basedOn w:val="Normal"/>
    <w:qFormat/>
    <w:pPr>
      <w:spacing w:before="0" w:after="200"/>
      <w:ind w:hanging="360" w:left="720" w:right="0"/>
      <w:contextualSpacing/>
    </w:pPr>
    <w:rPr/>
  </w:style>
  <w:style w:type="paragraph" w:styleId="ListBullet3">
    <w:name w:val="List Bullet 3"/>
    <w:basedOn w:val="Normal"/>
    <w:qFormat/>
    <w:pPr>
      <w:spacing w:before="0" w:after="200"/>
      <w:ind w:hanging="360" w:left="1080" w:right="0"/>
      <w:contextualSpacing/>
    </w:pPr>
    <w:rPr/>
  </w:style>
  <w:style w:type="paragraph" w:styleId="ListBullet">
    <w:name w:val="List Bullet"/>
    <w:basedOn w:val="Normal"/>
    <w:qFormat/>
    <w:pPr>
      <w:spacing w:before="0" w:after="200"/>
      <w:contextualSpacing/>
    </w:pPr>
    <w:rPr/>
  </w:style>
  <w:style w:type="paragraph" w:styleId="ListBullet21">
    <w:name w:val="List Bullet 21"/>
    <w:basedOn w:val="Normal"/>
    <w:qFormat/>
    <w:pPr>
      <w:spacing w:before="0" w:after="200"/>
      <w:contextualSpacing/>
    </w:pPr>
    <w:rPr/>
  </w:style>
  <w:style w:type="paragraph" w:styleId="ListBullet31">
    <w:name w:val="List Bullet 31"/>
    <w:basedOn w:val="Normal"/>
    <w:qFormat/>
    <w:pPr>
      <w:spacing w:before="0" w:after="200"/>
      <w:contextualSpacing/>
    </w:pPr>
    <w:rPr/>
  </w:style>
  <w:style w:type="paragraph" w:styleId="ListNumber">
    <w:name w:val="List Number"/>
    <w:basedOn w:val="Normal"/>
    <w:qFormat/>
    <w:pPr>
      <w:spacing w:before="0" w:after="200"/>
      <w:contextualSpacing/>
    </w:pPr>
    <w:rPr/>
  </w:style>
  <w:style w:type="paragraph" w:styleId="ListNumber2">
    <w:name w:val="List Number 2"/>
    <w:basedOn w:val="Normal"/>
    <w:qFormat/>
    <w:pPr>
      <w:spacing w:before="0" w:after="200"/>
      <w:contextualSpacing/>
    </w:pPr>
    <w:rPr/>
  </w:style>
  <w:style w:type="paragraph" w:styleId="ListNumber3">
    <w:name w:val="List Number 3"/>
    <w:basedOn w:val="Normal"/>
    <w:qFormat/>
    <w:pPr>
      <w:spacing w:before="0" w:after="200"/>
      <w:contextualSpacing/>
    </w:pPr>
    <w:rPr/>
  </w:style>
  <w:style w:type="paragraph" w:styleId="ListContinue">
    <w:name w:val="List Continue"/>
    <w:basedOn w:val="Normal"/>
    <w:qFormat/>
    <w:pPr>
      <w:spacing w:before="0" w:after="120"/>
      <w:ind w:hanging="0" w:left="360" w:right="0"/>
      <w:contextualSpacing/>
    </w:pPr>
    <w:rPr/>
  </w:style>
  <w:style w:type="paragraph" w:styleId="ListContinue2">
    <w:name w:val="List Continue 2"/>
    <w:basedOn w:val="Normal"/>
    <w:qFormat/>
    <w:pPr>
      <w:spacing w:before="0" w:after="120"/>
      <w:ind w:hanging="0" w:left="720" w:right="0"/>
      <w:contextualSpacing/>
    </w:pPr>
    <w:rPr/>
  </w:style>
  <w:style w:type="paragraph" w:styleId="ListContinue3">
    <w:name w:val="List Continue 3"/>
    <w:basedOn w:val="Normal"/>
    <w:qFormat/>
    <w:pPr>
      <w:spacing w:before="0" w:after="120"/>
      <w:ind w:hanging="0" w:left="1080" w:right="0"/>
      <w:contextualSpacing/>
    </w:pPr>
    <w:rPr/>
  </w:style>
  <w:style w:type="paragraph" w:styleId="macro">
    <w:name w:val="macro"/>
    <w:qFormat/>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left"/>
    </w:pPr>
    <w:rPr>
      <w:rFonts w:ascii="Courier;Courier New" w:hAnsi="Courier;Courier New" w:eastAsia="MS Mincho" w:cs="Lucida Sans"/>
      <w:color w:val="auto"/>
      <w:kern w:val="0"/>
      <w:sz w:val="20"/>
      <w:szCs w:val="20"/>
      <w:lang w:val="en-US" w:eastAsia="en-US" w:bidi="ar-SA"/>
    </w:rPr>
  </w:style>
  <w:style w:type="paragraph" w:styleId="Quote">
    <w:name w:val="Quote"/>
    <w:basedOn w:val="Normal"/>
    <w:next w:val="Normal"/>
    <w:qFormat/>
    <w:pPr/>
    <w:rPr>
      <w:i/>
      <w:iCs/>
      <w:color w:val="000000"/>
    </w:rPr>
  </w:style>
  <w:style w:type="paragraph" w:styleId="caption11">
    <w:name w:val="caption11"/>
    <w:basedOn w:val="Normal"/>
    <w:next w:val="Normal"/>
    <w:qFormat/>
    <w:pPr>
      <w:spacing w:lineRule="auto" w:line="240"/>
    </w:pPr>
    <w:rPr>
      <w:b/>
      <w:bCs/>
      <w:color w:val="4F81BD"/>
      <w:sz w:val="18"/>
      <w:szCs w:val="18"/>
    </w:rPr>
  </w:style>
  <w:style w:type="paragraph" w:styleId="IntenseQuote">
    <w:name w:val="Intense Quote"/>
    <w:basedOn w:val="Normal"/>
    <w:next w:val="Normal"/>
    <w:qFormat/>
    <w:pPr>
      <w:pBdr>
        <w:bottom w:val="single" w:sz="4" w:space="4" w:color="4F81BD"/>
      </w:pBdr>
      <w:spacing w:before="200" w:after="280"/>
      <w:ind w:hanging="0" w:left="936" w:right="936"/>
    </w:pPr>
    <w:rPr>
      <w:b/>
      <w:bCs/>
      <w:i/>
      <w:iCs/>
      <w:color w:val="4F81BD"/>
    </w:rPr>
  </w:style>
  <w:style w:type="paragraph" w:styleId="TOCHeading">
    <w:name w:val="TOC Heading"/>
    <w:basedOn w:val="Heading1"/>
    <w:next w:val="Normal"/>
    <w:qFormat/>
    <w:pPr>
      <w:numPr>
        <w:ilvl w:val="0"/>
        <w:numId w:val="0"/>
      </w:numPr>
      <w:ind w:hanging="0" w:left="0" w:right="0"/>
      <w:outlineLvl w:val="9"/>
    </w:pPr>
    <w:rPr/>
  </w:style>
  <w:style w:type="paragraph" w:styleId="annotationtext">
    <w:name w:val="annotation text"/>
    <w:basedOn w:val="Normal"/>
    <w:qFormat/>
    <w:pPr>
      <w:spacing w:lineRule="auto" w:line="240"/>
    </w:pPr>
    <w:rPr>
      <w:szCs w:val="20"/>
    </w:rPr>
  </w:style>
  <w:style w:type="paragraph" w:styleId="Revision">
    <w:name w:val="Revision"/>
    <w:qFormat/>
    <w:pPr>
      <w:widowControl/>
      <w:suppressAutoHyphens w:val="true"/>
      <w:bidi w:val="0"/>
      <w:spacing w:before="0" w:after="0"/>
      <w:jc w:val="left"/>
    </w:pPr>
    <w:rPr>
      <w:rFonts w:ascii="Arial" w:hAnsi="Arial" w:eastAsia="Arial" w:cs="Lucida Sans"/>
      <w:color w:val="auto"/>
      <w:kern w:val="0"/>
      <w:sz w:val="20"/>
      <w:szCs w:val="22"/>
      <w:lang w:val="en-US" w:eastAsia="en-US" w:bidi="ar-SA"/>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