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br/>
        <w:t xml:space="preserve">Principal Researcher – Homelessness &amp; Migration </w:t>
      </w:r>
    </w:p>
    <w:p>
      <w:pPr>
        <w:pStyle w:val="ListParagraph"/>
        <w:numPr>
          <w:ilvl w:val="0"/>
          <w:numId w:val="2"/>
        </w:numPr>
        <w:rPr/>
      </w:pPr>
      <w:r>
        <w:rPr>
          <w:rFonts w:cs="Arial"/>
          <w:b/>
          <w:bCs/>
          <w:szCs w:val="24"/>
        </w:rPr>
        <w:t>Grade:</w:t>
      </w:r>
      <w:r>
        <w:rPr>
          <w:rFonts w:cs="Arial"/>
          <w:szCs w:val="24"/>
        </w:rPr>
        <w:t xml:space="preserve"> 9-10</w:t>
      </w:r>
    </w:p>
    <w:p>
      <w:pPr>
        <w:pStyle w:val="ListParagraph"/>
        <w:numPr>
          <w:ilvl w:val="0"/>
          <w:numId w:val="2"/>
        </w:numPr>
        <w:rPr/>
      </w:pPr>
      <w:r>
        <w:rPr>
          <w:rFonts w:cs="Arial"/>
          <w:b/>
          <w:bCs/>
          <w:szCs w:val="24"/>
        </w:rPr>
        <w:t>Business area:</w:t>
      </w:r>
      <w:r>
        <w:rPr>
          <w:rFonts w:cs="Arial"/>
          <w:szCs w:val="24"/>
        </w:rPr>
        <w:t xml:space="preserve"> Strategy and Research</w:t>
      </w:r>
    </w:p>
    <w:p>
      <w:pPr>
        <w:pStyle w:val="ListParagraph"/>
        <w:numPr>
          <w:ilvl w:val="0"/>
          <w:numId w:val="2"/>
        </w:numPr>
        <w:rPr/>
      </w:pPr>
      <w:r>
        <w:rPr>
          <w:rFonts w:cs="Arial"/>
          <w:b/>
          <w:bCs/>
          <w:szCs w:val="24"/>
        </w:rPr>
        <w:t>Job title</w:t>
      </w:r>
      <w:r>
        <w:rPr>
          <w:rFonts w:cs="Arial"/>
          <w:szCs w:val="24"/>
        </w:rPr>
        <w:t>: Principal Researcher – Homelessness &amp; Migration</w:t>
      </w:r>
    </w:p>
    <w:p>
      <w:pPr>
        <w:pStyle w:val="ListParagraph"/>
        <w:numPr>
          <w:ilvl w:val="0"/>
          <w:numId w:val="2"/>
        </w:numPr>
        <w:rPr/>
      </w:pPr>
      <w:r>
        <w:rPr>
          <w:rFonts w:cs="Arial"/>
          <w:b/>
          <w:bCs/>
          <w:szCs w:val="24"/>
        </w:rPr>
        <w:t>Reporting line:</w:t>
      </w:r>
      <w:r>
        <w:rPr>
          <w:rFonts w:cs="Arial"/>
          <w:szCs w:val="24"/>
        </w:rPr>
        <w:t xml:space="preserve"> Assistant Director – Research</w:t>
      </w:r>
    </w:p>
    <w:p>
      <w:pPr>
        <w:pStyle w:val="ListParagraph"/>
        <w:numPr>
          <w:ilvl w:val="0"/>
          <w:numId w:val="2"/>
        </w:numPr>
        <w:rPr/>
      </w:pPr>
      <w:r>
        <w:rPr>
          <w:rFonts w:cs="Arial"/>
          <w:b/>
          <w:bCs/>
          <w:szCs w:val="24"/>
        </w:rPr>
        <w:t>Team:</w:t>
      </w:r>
      <w:r>
        <w:rPr>
          <w:rFonts w:cs="Arial"/>
          <w:szCs w:val="24"/>
        </w:rPr>
        <w:t xml:space="preserve"> Research team</w:t>
      </w:r>
    </w:p>
    <w:p>
      <w:pPr>
        <w:pStyle w:val="Heading2"/>
        <w:shd w:fill="004F6E" w:val="clear"/>
        <w:rPr>
          <w:rFonts w:cs="Arial"/>
          <w:sz w:val="24"/>
          <w:szCs w:val="24"/>
        </w:rPr>
      </w:pPr>
      <w:r>
        <w:rPr>
          <w:rFonts w:cs="Arial"/>
          <w:sz w:val="24"/>
          <w:szCs w:val="24"/>
        </w:rPr>
        <w:t>Job Purpose</w:t>
      </w:r>
    </w:p>
    <w:p>
      <w:pPr>
        <w:pStyle w:val="Normal"/>
        <w:rPr>
          <w:rFonts w:cs="Arial"/>
          <w:color w:val="000000"/>
          <w:szCs w:val="24"/>
        </w:rPr>
      </w:pPr>
      <w:r>
        <w:rPr>
          <w:rFonts w:cs="Arial"/>
          <w:color w:val="000000"/>
          <w:szCs w:val="24"/>
        </w:rPr>
        <w:t xml:space="preserve">To deliver the Greater Manchester Combined Authority’s (GMCA) homelessness &amp; migration research programme, serving the needs of a wide range of internal and external customers. The principal functional responsibilities in this thematic area include the following: </w:t>
      </w:r>
    </w:p>
    <w:p>
      <w:pPr>
        <w:pStyle w:val="ListParagraph"/>
        <w:numPr>
          <w:ilvl w:val="0"/>
          <w:numId w:val="4"/>
        </w:numPr>
        <w:spacing w:before="60" w:after="0"/>
        <w:ind w:left="714" w:right="0" w:hanging="357"/>
        <w:rPr>
          <w:rFonts w:cs="Arial"/>
          <w:color w:val="000000"/>
          <w:szCs w:val="24"/>
        </w:rPr>
      </w:pPr>
      <w:r>
        <w:rPr>
          <w:rFonts w:cs="Arial"/>
          <w:color w:val="000000"/>
          <w:szCs w:val="24"/>
        </w:rPr>
        <w:t>Having overall responsibility for the design and implementation of the team’s research programme supporting the Greater Manchester Strategy’s (GMS) priorities in this theme area</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Overseeing all work of Lead Analyst staff within the sub-team that falls within the homelessness &amp; migration thematic area. </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Act as a thought leader in the development of homeless and migration research and analysis. This means that you will: </w:t>
      </w:r>
    </w:p>
    <w:p>
      <w:pPr>
        <w:pStyle w:val="ListParagraph"/>
        <w:numPr>
          <w:ilvl w:val="1"/>
          <w:numId w:val="4"/>
        </w:numPr>
        <w:spacing w:before="60" w:after="0"/>
        <w:rPr>
          <w:rFonts w:cs="Arial"/>
          <w:color w:val="000000"/>
          <w:szCs w:val="24"/>
        </w:rPr>
      </w:pPr>
      <w:r>
        <w:rPr>
          <w:rFonts w:cs="Arial"/>
          <w:color w:val="000000"/>
          <w:szCs w:val="24"/>
        </w:rPr>
        <w:t>Operate in a strategy / policy / commissioning and delivery environment as a champion of evidence-based decision making;</w:t>
      </w:r>
    </w:p>
    <w:p>
      <w:pPr>
        <w:pStyle w:val="ListParagraph"/>
        <w:numPr>
          <w:ilvl w:val="1"/>
          <w:numId w:val="4"/>
        </w:numPr>
        <w:spacing w:before="60" w:after="0"/>
        <w:rPr>
          <w:rFonts w:cs="Arial"/>
          <w:color w:val="000000"/>
          <w:szCs w:val="24"/>
        </w:rPr>
      </w:pPr>
      <w:r>
        <w:rPr>
          <w:rFonts w:cs="Arial"/>
          <w:color w:val="000000"/>
          <w:szCs w:val="24"/>
        </w:rPr>
        <w:t>Cultivate opportunities for innovative research collaborations, maintaining links with academics / think tanks / ‘what works’ experts and building new relationships;</w:t>
      </w:r>
    </w:p>
    <w:p>
      <w:pPr>
        <w:pStyle w:val="ListParagraph"/>
        <w:numPr>
          <w:ilvl w:val="1"/>
          <w:numId w:val="4"/>
        </w:numPr>
        <w:spacing w:before="60" w:after="120"/>
        <w:rPr>
          <w:rFonts w:cs="Arial"/>
          <w:color w:val="000000"/>
          <w:szCs w:val="24"/>
        </w:rPr>
      </w:pPr>
      <w:r>
        <w:rPr>
          <w:rFonts w:cs="Arial"/>
          <w:color w:val="000000"/>
          <w:szCs w:val="24"/>
        </w:rPr>
        <w:t>Drive forward work to unlock new data streams and different ways of approaching difficult research questions.</w:t>
      </w:r>
    </w:p>
    <w:p>
      <w:pPr>
        <w:pStyle w:val="Normal"/>
        <w:rPr>
          <w:rFonts w:cs="Arial"/>
          <w:color w:val="000000"/>
          <w:szCs w:val="24"/>
        </w:rPr>
      </w:pPr>
      <w:r>
        <w:rPr>
          <w:rFonts w:cs="Arial"/>
          <w:color w:val="000000"/>
          <w:szCs w:val="24"/>
        </w:rPr>
        <w:t xml:space="preserve">The Principal Researcher – Homelessness &amp; Migration role profile spans Grade 9 and Grade 10. Initial appointment is expected to be made at Grade 9, but in exceptional circumstances where the applicant has extensive knowledge, skills and experience from other roles that can be evidenced during the application process we may consider recruitment at the entry point of Grade 10. </w:t>
      </w:r>
    </w:p>
    <w:p>
      <w:pPr>
        <w:sectPr>
          <w:headerReference w:type="default" r:id="rId2"/>
          <w:headerReference w:type="first" r:id="rId3"/>
          <w:footerReference w:type="default" r:id="rId4"/>
          <w:footerReference w:type="first" r:id="rId5"/>
          <w:type w:val="nextPage"/>
          <w:pgSz w:w="11906" w:h="16850"/>
          <w:pgMar w:left="1276" w:right="1410" w:header="709" w:top="2597" w:footer="444" w:bottom="1418" w:gutter="0"/>
          <w:pgNumType w:fmt="decimal"/>
          <w:formProt w:val="false"/>
          <w:titlePg/>
          <w:textDirection w:val="lrTb"/>
          <w:docGrid w:type="default" w:linePitch="326" w:charSpace="0"/>
        </w:sectPr>
        <w:pStyle w:val="Normal"/>
        <w:rPr>
          <w:rFonts w:cs="Arial"/>
          <w:color w:val="000000"/>
          <w:szCs w:val="24"/>
        </w:rPr>
      </w:pPr>
      <w:r>
        <w:rPr>
          <w:rFonts w:cs="Arial"/>
          <w:color w:val="000000"/>
          <w:szCs w:val="24"/>
        </w:rPr>
        <w:t>Responsibilities for each grade and expected skills and experience are set out below. Grade 9 Principal Researchers can apply to progress to Grade 10 through a progression framework at two points in the year, where their responsibilities, skills and experience will be assessed.</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rPr>
          <w:rFonts w:cs="Arial"/>
          <w:color w:val="000000"/>
          <w:szCs w:val="24"/>
        </w:rPr>
      </w:pPr>
      <w:r>
        <w:rPr>
          <w:rFonts w:cs="Arial"/>
          <w:color w:val="000000"/>
          <w:szCs w:val="24"/>
        </w:rPr>
        <w:t>The role holder will sit within the GMCA’s research team, line managed by one of the team’s Assistant Directors. The role requires key working relationships across the broader GMCA (and with a range of external organisations), with particularly close day-to-day working links to policy leads in the GMCA’s Public Service Reform directorate</w:t>
      </w:r>
    </w:p>
    <w:p>
      <w:pPr>
        <w:pStyle w:val="Heading2"/>
        <w:shd w:fill="004F6E" w:val="clear"/>
        <w:rPr>
          <w:rFonts w:cs="Arial"/>
          <w:sz w:val="24"/>
          <w:szCs w:val="24"/>
        </w:rPr>
      </w:pPr>
      <w:r>
        <w:rPr>
          <w:rFonts w:cs="Arial"/>
          <w:sz w:val="24"/>
          <w:szCs w:val="24"/>
        </w:rPr>
        <w:t>Key Responsibilities</w:t>
      </w:r>
    </w:p>
    <w:tbl>
      <w:tblPr>
        <w:tblW w:w="9708" w:type="dxa"/>
        <w:jc w:val="left"/>
        <w:tblInd w:w="-211" w:type="dxa"/>
        <w:tblCellMar>
          <w:top w:w="80" w:type="dxa"/>
          <w:left w:w="80" w:type="dxa"/>
          <w:bottom w:w="80" w:type="dxa"/>
          <w:right w:w="80" w:type="dxa"/>
        </w:tblCellMar>
      </w:tblPr>
      <w:tblGrid>
        <w:gridCol w:w="4591"/>
        <w:gridCol w:w="5117"/>
      </w:tblGrid>
      <w:tr>
        <w:trPr>
          <w:trHeight w:val="180" w:hRule="atLeast"/>
        </w:trPr>
        <w:tc>
          <w:tcPr>
            <w:tcW w:w="9708" w:type="dxa"/>
            <w:gridSpan w:val="2"/>
            <w:tcBorders>
              <w:top w:val="single" w:sz="6" w:space="0" w:color="000000"/>
              <w:left w:val="single" w:sz="6" w:space="0" w:color="000000"/>
              <w:right w:val="single" w:sz="6" w:space="0" w:color="000000"/>
            </w:tcBorders>
            <w:shd w:fill="000000" w:val="clear"/>
          </w:tcPr>
          <w:p>
            <w:pPr>
              <w:pStyle w:val="Body"/>
              <w:ind w:left="0" w:right="261" w:hanging="0"/>
              <w:jc w:val="both"/>
              <w:rPr>
                <w:rFonts w:eastAsia="Calibri"/>
                <w:b/>
                <w:b/>
                <w:bCs/>
                <w:color w:val="FFFFFF"/>
                <w:u w:val="none" w:color="FFFFFF"/>
              </w:rPr>
            </w:pPr>
            <w:r>
              <w:rPr>
                <w:rFonts w:eastAsia="Calibri"/>
                <w:b/>
                <w:bCs/>
                <w:color w:val="FFFFFF"/>
                <w:u w:val="none" w:color="FFFFFF"/>
              </w:rPr>
              <w:t xml:space="preserve">KEY RESPONSIBILITIES </w:t>
            </w:r>
          </w:p>
        </w:tc>
      </w:tr>
      <w:tr>
        <w:trPr>
          <w:trHeight w:val="214" w:hRule="atLeast"/>
        </w:trPr>
        <w:tc>
          <w:tcPr>
            <w:tcW w:w="4591" w:type="dxa"/>
            <w:tcBorders>
              <w:left w:val="single" w:sz="4" w:space="0" w:color="000000"/>
              <w:bottom w:val="single" w:sz="4" w:space="0" w:color="000000"/>
            </w:tcBorders>
            <w:shd w:fill="auto" w:val="clear"/>
            <w:tcMar>
              <w:top w:w="0" w:type="dxa"/>
              <w:left w:w="108" w:type="dxa"/>
              <w:bottom w:w="0" w:type="dxa"/>
              <w:right w:w="108" w:type="dxa"/>
            </w:tcMar>
            <w:vAlign w:val="center"/>
          </w:tcPr>
          <w:p>
            <w:pPr>
              <w:pStyle w:val="Normal"/>
              <w:spacing w:before="0" w:after="240"/>
              <w:jc w:val="both"/>
              <w:rPr>
                <w:rFonts w:cs="Arial"/>
                <w:b/>
                <w:b/>
                <w:bCs/>
                <w:sz w:val="22"/>
                <w:szCs w:val="20"/>
              </w:rPr>
            </w:pPr>
            <w:r>
              <w:rPr>
                <w:rFonts w:cs="Arial"/>
                <w:b/>
                <w:bCs/>
                <w:sz w:val="22"/>
                <w:szCs w:val="20"/>
              </w:rPr>
              <w:t>Grade 9</w:t>
            </w:r>
          </w:p>
        </w:tc>
        <w:tc>
          <w:tcPr>
            <w:tcW w:w="5117" w:type="dxa"/>
            <w:tcBorders>
              <w:left w:val="single" w:sz="6" w:space="0" w:color="000000"/>
              <w:bottom w:val="single" w:sz="4" w:space="0" w:color="000000"/>
              <w:right w:val="single" w:sz="6" w:space="0" w:color="000000"/>
            </w:tcBorders>
            <w:shd w:fill="auto" w:val="clear"/>
            <w:tcMar>
              <w:top w:w="0" w:type="dxa"/>
              <w:left w:w="108" w:type="dxa"/>
              <w:bottom w:w="0" w:type="dxa"/>
              <w:right w:w="108" w:type="dxa"/>
            </w:tcMar>
            <w:vAlign w:val="center"/>
          </w:tcPr>
          <w:p>
            <w:pPr>
              <w:pStyle w:val="Normal"/>
              <w:spacing w:before="0" w:after="240"/>
              <w:jc w:val="both"/>
              <w:rPr>
                <w:rFonts w:cs="Arial"/>
                <w:b/>
                <w:b/>
                <w:bCs/>
                <w:sz w:val="22"/>
                <w:szCs w:val="20"/>
              </w:rPr>
            </w:pPr>
            <w:r>
              <w:rPr>
                <w:rFonts w:cs="Arial"/>
                <w:b/>
                <w:bCs/>
                <w:sz w:val="22"/>
                <w:szCs w:val="20"/>
              </w:rPr>
              <w:t>Grade 10</w:t>
            </w:r>
          </w:p>
        </w:tc>
      </w:tr>
      <w:tr>
        <w:trPr>
          <w:trHeight w:val="180" w:hRule="atLeast"/>
        </w:trPr>
        <w:tc>
          <w:tcPr>
            <w:tcW w:w="4591" w:type="dxa"/>
            <w:tcBorders>
              <w:left w:val="single" w:sz="4" w:space="0" w:color="000000"/>
              <w:bottom w:val="single" w:sz="4" w:space="0" w:color="000000"/>
            </w:tcBorders>
            <w:shd w:fill="auto" w:val="clear"/>
            <w:tcMar>
              <w:top w:w="0" w:type="dxa"/>
              <w:left w:w="108" w:type="dxa"/>
              <w:bottom w:w="0" w:type="dxa"/>
              <w:right w:w="108" w:type="dxa"/>
            </w:tcMar>
            <w:vAlign w:val="center"/>
          </w:tcPr>
          <w:p>
            <w:pPr>
              <w:pStyle w:val="Normal"/>
              <w:widowControl/>
              <w:numPr>
                <w:ilvl w:val="0"/>
                <w:numId w:val="5"/>
              </w:numPr>
              <w:spacing w:lineRule="auto" w:line="240" w:before="0" w:after="0"/>
              <w:rPr>
                <w:rFonts w:cs="Arial"/>
                <w:sz w:val="22"/>
                <w:szCs w:val="20"/>
              </w:rPr>
            </w:pPr>
            <w:r>
              <w:rPr>
                <w:rFonts w:cs="Arial"/>
                <w:sz w:val="22"/>
                <w:szCs w:val="20"/>
              </w:rPr>
              <w:t>To manage delivery of the homelessness &amp; migration research programme, with leadership support from Assistant Directors of Research.</w:t>
            </w:r>
          </w:p>
        </w:tc>
        <w:tc>
          <w:tcPr>
            <w:tcW w:w="5117" w:type="dxa"/>
            <w:tcBorders>
              <w:left w:val="single" w:sz="6" w:space="0" w:color="000000"/>
              <w:bottom w:val="single" w:sz="4" w:space="0" w:color="000000"/>
              <w:right w:val="single" w:sz="6" w:space="0" w:color="000000"/>
            </w:tcBorders>
            <w:shd w:fill="auto" w:val="clear"/>
            <w:tcMar>
              <w:top w:w="0" w:type="dxa"/>
              <w:left w:w="108" w:type="dxa"/>
              <w:bottom w:w="0" w:type="dxa"/>
              <w:right w:w="108" w:type="dxa"/>
            </w:tcMar>
            <w:vAlign w:val="center"/>
          </w:tcPr>
          <w:p>
            <w:pPr>
              <w:pStyle w:val="Normal"/>
              <w:widowControl/>
              <w:numPr>
                <w:ilvl w:val="0"/>
                <w:numId w:val="5"/>
              </w:numPr>
              <w:spacing w:lineRule="auto" w:line="240" w:before="0" w:after="0"/>
              <w:rPr>
                <w:rFonts w:cs="Arial"/>
                <w:sz w:val="22"/>
                <w:szCs w:val="20"/>
              </w:rPr>
            </w:pPr>
            <w:r>
              <w:rPr>
                <w:rFonts w:cs="Arial"/>
                <w:sz w:val="22"/>
                <w:szCs w:val="20"/>
              </w:rPr>
              <w:t>To develop and lead the homelessness &amp; migration programme, having overall ownership of the programme and its contribution to the GMCA Business Plan.</w:t>
            </w:r>
          </w:p>
          <w:p>
            <w:pPr>
              <w:pStyle w:val="Normal"/>
              <w:widowControl/>
              <w:numPr>
                <w:ilvl w:val="0"/>
                <w:numId w:val="5"/>
              </w:numPr>
              <w:spacing w:lineRule="auto" w:line="240" w:before="0" w:after="0"/>
              <w:rPr>
                <w:rFonts w:cs="Arial"/>
                <w:sz w:val="22"/>
                <w:szCs w:val="20"/>
              </w:rPr>
            </w:pPr>
            <w:r>
              <w:rPr>
                <w:rFonts w:cs="Arial"/>
                <w:sz w:val="22"/>
                <w:szCs w:val="20"/>
              </w:rPr>
              <w:t>Be a key contributor to strategy development within the homelessness &amp; migration policy area and for wider cross cutting strategy initiatives</w:t>
            </w:r>
          </w:p>
        </w:tc>
      </w:tr>
    </w:tbl>
    <w:p>
      <w:pPr>
        <w:pStyle w:val="ListParagraph"/>
        <w:numPr>
          <w:ilvl w:val="0"/>
          <w:numId w:val="4"/>
        </w:numPr>
        <w:spacing w:before="60" w:after="0"/>
        <w:ind w:left="714" w:right="0" w:hanging="357"/>
        <w:rPr>
          <w:rFonts w:cs="Arial"/>
          <w:color w:val="000000"/>
          <w:szCs w:val="24"/>
        </w:rPr>
      </w:pPr>
      <w:r>
        <w:rPr>
          <w:rFonts w:cs="Arial"/>
          <w:color w:val="000000"/>
          <w:szCs w:val="24"/>
        </w:rPr>
        <w:t>Development of new research and analytical techniques to support evidence-informed policy and the use of analysis in decision making.</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Managing and developing Analyst and/or Lead Analyst direct reports, including identifying training needs, and organising and delivering training across the Research Team. </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Responsibility for recruitment and development of the homelessness &amp; migration sub-team. </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Developing analytical capacity across the homelessness &amp; migration programme and enabling analysts and relevant stakeholders within Greater Manchester to work collectively on projects and priorities. </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Collaborating with senior leaders across the GMCA and the ten GM localities, to identify opportunities to have the greatest benefits for the system as a whole. </w:t>
      </w:r>
    </w:p>
    <w:p>
      <w:pPr>
        <w:sectPr>
          <w:headerReference w:type="default" r:id="rId6"/>
          <w:headerReference w:type="first" r:id="rId7"/>
          <w:footerReference w:type="default" r:id="rId8"/>
          <w:footerReference w:type="first" r:id="rId9"/>
          <w:type w:val="nextPage"/>
          <w:pgSz w:w="11906" w:h="16850"/>
          <w:pgMar w:left="1276" w:right="1410" w:header="709" w:top="1560" w:footer="0" w:bottom="993" w:gutter="0"/>
          <w:pgNumType w:fmt="decimal"/>
          <w:formProt w:val="false"/>
          <w:titlePg/>
          <w:textDirection w:val="lrTb"/>
          <w:docGrid w:type="default" w:linePitch="326" w:charSpace="0"/>
        </w:sectPr>
        <w:pStyle w:val="ListParagraph"/>
        <w:numPr>
          <w:ilvl w:val="0"/>
          <w:numId w:val="4"/>
        </w:numPr>
        <w:spacing w:before="60" w:after="0"/>
        <w:ind w:left="714" w:right="0" w:hanging="357"/>
        <w:rPr>
          <w:rFonts w:cs="Arial"/>
          <w:color w:val="000000"/>
          <w:szCs w:val="24"/>
        </w:rPr>
      </w:pPr>
      <w:r>
        <w:rPr>
          <w:rFonts w:cs="Arial"/>
          <w:color w:val="000000"/>
          <w:szCs w:val="24"/>
        </w:rPr>
        <w:t xml:space="preserve">Establishing relationships beyond Greater Manchester to identify learning opportunities and encourage exchange of best practice. </w:t>
      </w:r>
    </w:p>
    <w:p>
      <w:pPr>
        <w:pStyle w:val="ListParagraph"/>
        <w:numPr>
          <w:ilvl w:val="0"/>
          <w:numId w:val="4"/>
        </w:numPr>
        <w:spacing w:before="60" w:after="0"/>
        <w:ind w:left="714" w:right="0" w:hanging="357"/>
        <w:rPr>
          <w:rFonts w:cs="Arial"/>
          <w:color w:val="000000"/>
          <w:szCs w:val="24"/>
        </w:rPr>
      </w:pPr>
      <w:r>
        <w:rPr>
          <w:rFonts w:cs="Arial"/>
          <w:color w:val="000000"/>
          <w:szCs w:val="24"/>
        </w:rPr>
        <w:t>Providing expertise, advice and comment to senior officers and politicians on issues relating to homelessness &amp; migration analytics, insight and evaluation.</w:t>
      </w:r>
    </w:p>
    <w:p>
      <w:pPr>
        <w:pStyle w:val="ListParagraph"/>
        <w:numPr>
          <w:ilvl w:val="0"/>
          <w:numId w:val="4"/>
        </w:numPr>
        <w:spacing w:before="60" w:after="0"/>
        <w:ind w:left="714" w:right="0" w:hanging="357"/>
        <w:rPr>
          <w:rFonts w:cs="Arial"/>
          <w:color w:val="000000"/>
          <w:szCs w:val="24"/>
        </w:rPr>
      </w:pPr>
      <w:r>
        <w:rPr>
          <w:rFonts w:cs="Arial"/>
          <w:color w:val="000000"/>
          <w:szCs w:val="24"/>
        </w:rPr>
        <w:t>Managing relationships with stakeholders, initiating and agreeing work, managing changing needs and expectations, and ensuring delivery to agreed deadlines.</w:t>
      </w:r>
    </w:p>
    <w:p>
      <w:pPr>
        <w:pStyle w:val="ListParagraph"/>
        <w:numPr>
          <w:ilvl w:val="0"/>
          <w:numId w:val="4"/>
        </w:numPr>
        <w:spacing w:before="60" w:after="0"/>
        <w:ind w:left="714" w:right="0" w:hanging="357"/>
        <w:rPr>
          <w:rFonts w:cs="Arial"/>
          <w:color w:val="000000"/>
          <w:szCs w:val="24"/>
        </w:rPr>
      </w:pPr>
      <w:r>
        <w:rPr>
          <w:rFonts w:cs="Arial"/>
          <w:color w:val="000000"/>
          <w:szCs w:val="24"/>
        </w:rPr>
        <w:t>Contract managing sub-contractors, ensuring good value for money and a high-quality service from providers.</w:t>
      </w:r>
    </w:p>
    <w:p>
      <w:pPr>
        <w:pStyle w:val="ListParagraph"/>
        <w:numPr>
          <w:ilvl w:val="0"/>
          <w:numId w:val="4"/>
        </w:numPr>
        <w:spacing w:before="60" w:after="0"/>
        <w:ind w:left="714" w:right="0" w:hanging="357"/>
        <w:rPr>
          <w:rFonts w:cs="Arial"/>
          <w:color w:val="000000"/>
          <w:szCs w:val="24"/>
        </w:rPr>
      </w:pPr>
      <w:r>
        <w:rPr>
          <w:rFonts w:cs="Arial"/>
          <w:color w:val="000000"/>
          <w:szCs w:val="24"/>
        </w:rPr>
        <w:t>Working with academics, Government officials, think tanks and local stakeholders to further develop our understanding of the homelessness &amp; migration issues affecting Greater Manchester, to support policy work and devolution negotiations.</w:t>
      </w:r>
    </w:p>
    <w:p>
      <w:pPr>
        <w:pStyle w:val="ListParagraph"/>
        <w:numPr>
          <w:ilvl w:val="0"/>
          <w:numId w:val="4"/>
        </w:numPr>
        <w:spacing w:before="60" w:after="0"/>
        <w:ind w:left="714" w:right="0" w:hanging="357"/>
        <w:rPr>
          <w:rFonts w:cs="Arial"/>
          <w:color w:val="000000"/>
          <w:szCs w:val="24"/>
        </w:rPr>
      </w:pPr>
      <w:r>
        <w:rPr>
          <w:rFonts w:cs="Arial"/>
          <w:color w:val="000000"/>
          <w:szCs w:val="24"/>
        </w:rPr>
        <w:t>Communicating research findings to stakeholders in a variety of formats and at a senior level, and ensuring appropriate intelligence is used to inform policy formulation and decision making.</w:t>
      </w:r>
    </w:p>
    <w:p>
      <w:pPr>
        <w:pStyle w:val="ListParagraph"/>
        <w:numPr>
          <w:ilvl w:val="0"/>
          <w:numId w:val="4"/>
        </w:numPr>
        <w:spacing w:before="60" w:after="0"/>
        <w:ind w:left="714" w:right="0" w:hanging="357"/>
        <w:rPr>
          <w:rFonts w:cs="Arial"/>
          <w:color w:val="000000"/>
          <w:szCs w:val="24"/>
        </w:rPr>
      </w:pPr>
      <w:r>
        <w:rPr>
          <w:rFonts w:cs="Arial"/>
          <w:color w:val="000000"/>
          <w:szCs w:val="24"/>
        </w:rPr>
        <w:t>Staff: Line management responsibilities, plus matrix management of analysts across the Research Team and within individual Local Authorities.</w:t>
      </w:r>
    </w:p>
    <w:p>
      <w:pPr>
        <w:pStyle w:val="ListParagraph"/>
        <w:numPr>
          <w:ilvl w:val="0"/>
          <w:numId w:val="4"/>
        </w:numPr>
        <w:spacing w:before="60" w:after="0"/>
        <w:ind w:left="714" w:right="0" w:hanging="357"/>
        <w:rPr>
          <w:rFonts w:cs="Arial"/>
          <w:color w:val="000000"/>
          <w:szCs w:val="24"/>
        </w:rPr>
      </w:pPr>
      <w:r>
        <w:rPr>
          <w:rFonts w:cs="Arial"/>
          <w:color w:val="000000"/>
          <w:szCs w:val="24"/>
        </w:rPr>
        <w:t>Budget:  Whilst primary responsibility for budgets will rest with the Assistant Directors of Research, the post-holder will often be responsible for negotiating income fees and costs and for managing sub-contractors.</w:t>
      </w:r>
    </w:p>
    <w:p>
      <w:pPr>
        <w:pStyle w:val="ListParagraph"/>
        <w:numPr>
          <w:ilvl w:val="0"/>
          <w:numId w:val="4"/>
        </w:numPr>
        <w:spacing w:before="60" w:after="0"/>
        <w:ind w:left="714" w:right="0" w:hanging="357"/>
        <w:rPr>
          <w:rFonts w:cs="Arial"/>
          <w:color w:val="000000"/>
          <w:szCs w:val="24"/>
        </w:rPr>
      </w:pPr>
      <w:r>
        <w:rPr>
          <w:rFonts w:cs="Arial"/>
          <w:color w:val="000000"/>
          <w:szCs w:val="24"/>
        </w:rPr>
        <w:t>Work with key partners at local, national and EU levels including:</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GMCA Senior Management Team and policy leads</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GM Greater Manchester Mayor</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 xml:space="preserve">Greater Manchester’s ten Local Authorities </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The Greater Manchester Local Enterprise Partnership</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 xml:space="preserve">The Association of Greater Manchester Authorities </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Greater Manchester’s Universities</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Government departments and agencies</w:t>
      </w:r>
    </w:p>
    <w:p>
      <w:pPr>
        <w:pStyle w:val="ListParagraph"/>
        <w:numPr>
          <w:ilvl w:val="1"/>
          <w:numId w:val="4"/>
        </w:numPr>
        <w:spacing w:lineRule="auto" w:line="240" w:before="0" w:after="0"/>
        <w:ind w:left="1434" w:right="0" w:hanging="357"/>
        <w:rPr>
          <w:rFonts w:cs="Arial"/>
          <w:color w:val="000000"/>
          <w:szCs w:val="24"/>
        </w:rPr>
      </w:pPr>
      <w:r>
        <w:rPr>
          <w:rFonts w:cs="Arial"/>
          <w:color w:val="000000"/>
          <w:szCs w:val="24"/>
        </w:rPr>
        <w:t>Other voluntary / public / private sector organisations, as relevant.</w:t>
      </w:r>
    </w:p>
    <w:p>
      <w:pPr>
        <w:pStyle w:val="Heading2"/>
        <w:shd w:fill="004F6E" w:val="clear"/>
        <w:rPr>
          <w:rFonts w:cs="Arial"/>
          <w:sz w:val="24"/>
          <w:szCs w:val="24"/>
        </w:rPr>
      </w:pPr>
      <w:r>
        <w:rPr>
          <w:rFonts w:cs="Arial"/>
          <w:sz w:val="24"/>
          <w:szCs w:val="24"/>
        </w:rPr>
        <w:t>General</w:t>
      </w:r>
    </w:p>
    <w:p>
      <w:pPr>
        <w:pStyle w:val="ListParagraph"/>
        <w:numPr>
          <w:ilvl w:val="0"/>
          <w:numId w:val="4"/>
        </w:numPr>
        <w:spacing w:before="60" w:after="0"/>
        <w:ind w:left="714" w:right="0" w:hanging="357"/>
        <w:rPr>
          <w:rFonts w:cs="Arial"/>
          <w:color w:val="000000"/>
          <w:szCs w:val="24"/>
        </w:rPr>
      </w:pPr>
      <w:r>
        <w:rPr>
          <w:rFonts w:cs="Arial"/>
          <w:color w:val="000000"/>
          <w:szCs w:val="24"/>
        </w:rPr>
        <w:t>To hold yourself and others to a high standard of professionalism at all times, demonstrating your commitment to our values and behaviours as well as ensuring service confidentiality is maintained throughout all we do.</w:t>
      </w:r>
    </w:p>
    <w:p>
      <w:pPr>
        <w:pStyle w:val="ListParagraph"/>
        <w:numPr>
          <w:ilvl w:val="0"/>
          <w:numId w:val="4"/>
        </w:numPr>
        <w:spacing w:before="60" w:after="0"/>
        <w:ind w:left="714" w:right="0" w:hanging="357"/>
        <w:rPr>
          <w:rFonts w:cs="Arial"/>
          <w:color w:val="000000"/>
          <w:szCs w:val="24"/>
        </w:rPr>
      </w:pPr>
      <w:r>
        <w:rPr>
          <w:rFonts w:cs="Arial"/>
          <w:color w:val="000000"/>
          <w:szCs w:val="24"/>
        </w:rPr>
        <w:t>Working with other teams internally and externally collaboration is maximised and supporting on activity where appropriate</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Ensure the services delivered internally and externally are inclusive and accessible, integrated with the service </w:t>
      </w:r>
    </w:p>
    <w:p>
      <w:pPr>
        <w:pStyle w:val="ListParagraph"/>
        <w:numPr>
          <w:ilvl w:val="0"/>
          <w:numId w:val="4"/>
        </w:numPr>
        <w:spacing w:before="60" w:after="0"/>
        <w:ind w:left="714" w:right="0" w:hanging="357"/>
        <w:rPr>
          <w:rFonts w:cs="Arial"/>
          <w:color w:val="000000"/>
          <w:szCs w:val="24"/>
        </w:rPr>
      </w:pPr>
      <w:r>
        <w:rPr>
          <w:rFonts w:cs="Arial"/>
          <w:color w:val="000000"/>
          <w:szCs w:val="24"/>
        </w:rPr>
        <w:t xml:space="preserve">To align work area to the Sustainability Strategy and ensure work practices are inclusive of this values &amp; strategic intent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Normal"/>
        <w:spacing w:lineRule="auto" w:line="240" w:before="0" w:after="0"/>
        <w:rPr>
          <w:rFonts w:cs="Arial"/>
          <w:b/>
          <w:b/>
          <w:color w:val="auto"/>
        </w:rPr>
      </w:pPr>
      <w:r>
        <w:rPr>
          <w:rFonts w:cs="Arial"/>
          <w:b/>
          <w:color w:val="auto"/>
        </w:rPr>
      </w:r>
      <w:r>
        <w:br w:type="page"/>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Knowledge &amp; Experience</w:t>
      </w:r>
    </w:p>
    <w:tbl>
      <w:tblPr>
        <w:tblW w:w="10358" w:type="dxa"/>
        <w:jc w:val="left"/>
        <w:tblInd w:w="-209" w:type="dxa"/>
        <w:tblCellMar>
          <w:top w:w="80" w:type="dxa"/>
          <w:left w:w="363" w:type="dxa"/>
          <w:bottom w:w="80" w:type="dxa"/>
          <w:right w:w="80" w:type="dxa"/>
        </w:tblCellMar>
      </w:tblPr>
      <w:tblGrid>
        <w:gridCol w:w="5174"/>
        <w:gridCol w:w="5184"/>
      </w:tblGrid>
      <w:tr>
        <w:trPr>
          <w:trHeight w:val="358" w:hRule="atLeast"/>
        </w:trPr>
        <w:tc>
          <w:tcPr>
            <w:tcW w:w="10358"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Normal"/>
              <w:tabs>
                <w:tab w:val="clear" w:pos="720"/>
                <w:tab w:val="left" w:pos="371" w:leader="none"/>
              </w:tabs>
              <w:spacing w:before="0" w:after="240"/>
              <w:ind w:left="-283" w:right="0" w:hanging="0"/>
              <w:rPr>
                <w:rFonts w:cs="Arial"/>
                <w:b/>
                <w:b/>
                <w:sz w:val="22"/>
                <w:szCs w:val="20"/>
              </w:rPr>
            </w:pPr>
            <w:r>
              <w:rPr>
                <w:rFonts w:cs="Arial"/>
                <w:b/>
                <w:sz w:val="22"/>
                <w:szCs w:val="20"/>
              </w:rPr>
              <w:t>Essential</w:t>
            </w:r>
          </w:p>
        </w:tc>
      </w:tr>
      <w:tr>
        <w:trPr/>
        <w:tc>
          <w:tcPr>
            <w:tcW w:w="5174" w:type="dxa"/>
            <w:tcBorders>
              <w:top w:val="single" w:sz="4" w:space="0" w:color="000000"/>
              <w:left w:val="single" w:sz="4" w:space="0" w:color="000000"/>
              <w:bottom w:val="single" w:sz="4" w:space="0" w:color="000000"/>
            </w:tcBorders>
            <w:shd w:fill="auto" w:val="clear"/>
            <w:tcMar>
              <w:top w:w="0" w:type="dxa"/>
              <w:left w:w="108" w:type="dxa"/>
              <w:bottom w:w="0" w:type="dxa"/>
              <w:right w:w="108" w:type="dxa"/>
            </w:tcMar>
            <w:vAlign w:val="center"/>
          </w:tcPr>
          <w:p>
            <w:pPr>
              <w:pStyle w:val="Normal"/>
              <w:tabs>
                <w:tab w:val="clear" w:pos="720"/>
                <w:tab w:val="left" w:pos="371" w:leader="none"/>
              </w:tabs>
              <w:spacing w:before="0" w:after="240"/>
              <w:ind w:left="-283" w:right="0" w:hanging="0"/>
              <w:rPr>
                <w:rFonts w:cs="Arial"/>
                <w:b/>
                <w:b/>
                <w:sz w:val="22"/>
                <w:szCs w:val="20"/>
              </w:rPr>
            </w:pPr>
            <w:r>
              <w:rPr>
                <w:rFonts w:cs="Arial"/>
                <w:b/>
                <w:sz w:val="22"/>
                <w:szCs w:val="20"/>
              </w:rPr>
              <w:t>Grade 9</w:t>
            </w:r>
          </w:p>
        </w:tc>
        <w:tc>
          <w:tcPr>
            <w:tcW w:w="5184"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vAlign w:val="center"/>
          </w:tcPr>
          <w:p>
            <w:pPr>
              <w:pStyle w:val="Normal"/>
              <w:tabs>
                <w:tab w:val="clear" w:pos="720"/>
                <w:tab w:val="left" w:pos="371" w:leader="none"/>
              </w:tabs>
              <w:spacing w:before="0" w:after="240"/>
              <w:rPr>
                <w:rFonts w:cs="Arial"/>
                <w:b/>
                <w:b/>
                <w:sz w:val="22"/>
                <w:szCs w:val="20"/>
              </w:rPr>
            </w:pPr>
            <w:r>
              <w:rPr>
                <w:rFonts w:cs="Arial"/>
                <w:b/>
                <w:sz w:val="22"/>
                <w:szCs w:val="20"/>
              </w:rPr>
              <w:t>Grade 10 – as Grade 9, plus …</w:t>
            </w:r>
          </w:p>
        </w:tc>
      </w:tr>
      <w:tr>
        <w:trPr/>
        <w:tc>
          <w:tcPr>
            <w:tcW w:w="5174" w:type="dxa"/>
            <w:tcBorders>
              <w:top w:val="single" w:sz="4" w:space="0" w:color="000000"/>
              <w:left w:val="single" w:sz="4" w:space="0" w:color="000000"/>
              <w:bottom w:val="single" w:sz="4" w:space="0" w:color="000000"/>
            </w:tcBorders>
            <w:shd w:fill="auto" w:val="clear"/>
            <w:tcMar>
              <w:top w:w="0" w:type="dxa"/>
              <w:left w:w="108" w:type="dxa"/>
              <w:bottom w:w="0" w:type="dxa"/>
              <w:right w:w="108" w:type="dxa"/>
            </w:tcM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Extensive experience of research within parts of the homelessness &amp; migration agenda and/or associated fields.</w:t>
            </w:r>
          </w:p>
        </w:tc>
        <w:tc>
          <w:tcPr>
            <w:tcW w:w="5184"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Extensive experience of research across all key areas of the homelessness &amp; migration agenda, as well as knowledge of wider GMCA policy initiatives.</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Knowledge and experience of research design and research processes, including methodologies, analysis and evaluation (including qualitative and/or quantitative approaches).</w:t>
            </w:r>
          </w:p>
        </w:tc>
      </w:tr>
      <w:tr>
        <w:trPr/>
        <w:tc>
          <w:tcPr>
            <w:tcW w:w="5174" w:type="dxa"/>
            <w:tcBorders>
              <w:top w:val="single" w:sz="4" w:space="0" w:color="000000"/>
              <w:left w:val="single" w:sz="4" w:space="0" w:color="000000"/>
              <w:bottom w:val="single" w:sz="4" w:space="0" w:color="000000"/>
            </w:tcBorders>
            <w:shd w:fill="auto" w:val="clear"/>
            <w:tcMar>
              <w:top w:w="0" w:type="dxa"/>
              <w:left w:w="108" w:type="dxa"/>
              <w:bottom w:w="0" w:type="dxa"/>
              <w:right w:w="108" w:type="dxa"/>
            </w:tcM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Applied understanding of using research to inform the development and implementation of local and national policy.</w:t>
            </w:r>
          </w:p>
        </w:tc>
        <w:tc>
          <w:tcPr>
            <w:tcW w:w="5184"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Proactively championing new applications of research to expand its use in the development of policy.</w:t>
            </w:r>
          </w:p>
        </w:tc>
      </w:tr>
      <w:tr>
        <w:trPr/>
        <w:tc>
          <w:tcPr>
            <w:tcW w:w="5174" w:type="dxa"/>
            <w:tcBorders>
              <w:top w:val="single" w:sz="4" w:space="0" w:color="000000"/>
              <w:left w:val="single" w:sz="4" w:space="0" w:color="000000"/>
              <w:bottom w:val="single" w:sz="4" w:space="0" w:color="000000"/>
            </w:tcBorders>
            <w:shd w:fill="auto" w:val="clear"/>
            <w:tcMar>
              <w:top w:w="0" w:type="dxa"/>
              <w:left w:w="108" w:type="dxa"/>
              <w:bottom w:w="0" w:type="dxa"/>
              <w:right w:w="108" w:type="dxa"/>
            </w:tcM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Broad knowledge and understanding of key local and national homelessness &amp; migration policy.</w:t>
            </w:r>
          </w:p>
        </w:tc>
        <w:tc>
          <w:tcPr>
            <w:tcW w:w="5184"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An understanding of how local and national policy extends beyond the homelessness &amp; migration research area into wider, cross-cutting policy contexts.</w:t>
            </w:r>
          </w:p>
          <w:p>
            <w:pPr>
              <w:pStyle w:val="Normal"/>
              <w:widowControl/>
              <w:numPr>
                <w:ilvl w:val="0"/>
                <w:numId w:val="5"/>
              </w:numPr>
              <w:spacing w:lineRule="auto" w:line="240" w:before="0" w:after="0"/>
              <w:ind w:left="357" w:right="0" w:hanging="357"/>
              <w:rPr>
                <w:rFonts w:cs="Arial"/>
                <w:sz w:val="22"/>
                <w:szCs w:val="20"/>
              </w:rPr>
            </w:pPr>
            <w:r>
              <w:rPr>
                <w:rFonts w:cs="Arial"/>
                <w:sz w:val="22"/>
                <w:szCs w:val="20"/>
              </w:rPr>
              <w:t>Experience of establishing new cross-cutting research collaborations</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Extensive project management skills to lead all stages of research activity, from initiating, scoping and delivering to evaluation.</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Staff management and development (including formal line management, matrix management and supervision).</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Communication and presentation of complex research findings to a variety of audiences, both expert and non-expert (including written, oral and multi-media communication).</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Influencing, persuading and advising skills to ensure that the use of evidence is a central part of GMCA policy making, and findings are understood and acted upon.</w:t>
            </w:r>
          </w:p>
        </w:tc>
      </w:tr>
      <w:tr>
        <w:trPr/>
        <w:tc>
          <w:tcPr>
            <w:tcW w:w="5174" w:type="dxa"/>
            <w:tcBorders>
              <w:top w:val="single" w:sz="4" w:space="0" w:color="000000"/>
              <w:left w:val="single" w:sz="4" w:space="0" w:color="000000"/>
              <w:bottom w:val="single" w:sz="4" w:space="0" w:color="000000"/>
            </w:tcBorders>
            <w:shd w:fill="auto" w:val="clear"/>
            <w:tcMar>
              <w:top w:w="0" w:type="dxa"/>
              <w:left w:w="108" w:type="dxa"/>
              <w:bottom w:w="0" w:type="dxa"/>
              <w:right w:w="108" w:type="dxa"/>
            </w:tcM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Experience in maintaining and strengthening relationships with a range of internal and external stakeholders, including policy colleagues, and representatives from partner organisations, academia and government departments.</w:t>
            </w:r>
          </w:p>
          <w:p>
            <w:pPr>
              <w:pStyle w:val="Normal"/>
              <w:spacing w:before="0" w:after="240"/>
              <w:ind w:left="357" w:right="0" w:hanging="0"/>
              <w:rPr>
                <w:rFonts w:cs="Arial"/>
                <w:sz w:val="22"/>
                <w:szCs w:val="20"/>
              </w:rPr>
            </w:pPr>
            <w:r>
              <w:rPr>
                <w:rFonts w:cs="Arial"/>
                <w:sz w:val="22"/>
                <w:szCs w:val="20"/>
              </w:rPr>
            </w:r>
          </w:p>
        </w:tc>
        <w:tc>
          <w:tcPr>
            <w:tcW w:w="5184" w:type="dxa"/>
            <w:tcBorders>
              <w:top w:val="single" w:sz="4" w:space="0" w:color="000000"/>
              <w:left w:val="single" w:sz="4" w:space="0" w:color="000000"/>
              <w:bottom w:val="single" w:sz="4" w:space="0" w:color="000000"/>
              <w:right w:val="single" w:sz="4" w:space="0" w:color="000000"/>
            </w:tcBorders>
            <w:shd w:fill="auto" w:val="clear"/>
            <w:tcMar>
              <w:top w:w="0" w:type="dxa"/>
              <w:left w:w="108" w:type="dxa"/>
              <w:bottom w:w="0" w:type="dxa"/>
              <w:right w:w="108" w:type="dxa"/>
            </w:tcM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 xml:space="preserve">Experience in maintaining and strengthening relationships with a range of internal and external stakeholders, including senior management (e.g. GMCA Senior Leadership Team) and elected members.  </w:t>
            </w:r>
          </w:p>
          <w:p>
            <w:pPr>
              <w:pStyle w:val="Normal"/>
              <w:widowControl/>
              <w:numPr>
                <w:ilvl w:val="0"/>
                <w:numId w:val="5"/>
              </w:numPr>
              <w:spacing w:lineRule="auto" w:line="240" w:before="0" w:after="0"/>
              <w:ind w:left="357" w:right="0" w:hanging="357"/>
              <w:rPr>
                <w:rFonts w:cs="Arial"/>
                <w:sz w:val="22"/>
                <w:szCs w:val="20"/>
              </w:rPr>
            </w:pPr>
            <w:r>
              <w:rPr>
                <w:rFonts w:cs="Arial"/>
                <w:sz w:val="22"/>
                <w:szCs w:val="20"/>
              </w:rPr>
              <w:t>Experience in establishing new and productive relationships with internal and external stakeholders, in order to influence thinking and enable mutually beneficial outcomes.</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spacing w:lineRule="auto" w:line="240" w:before="0" w:after="0"/>
              <w:ind w:left="357" w:right="0" w:hanging="357"/>
              <w:rPr>
                <w:rFonts w:cs="Arial"/>
                <w:sz w:val="22"/>
                <w:szCs w:val="20"/>
              </w:rPr>
            </w:pPr>
            <w:r>
              <w:rPr>
                <w:rFonts w:cs="Arial"/>
                <w:sz w:val="22"/>
                <w:szCs w:val="20"/>
              </w:rPr>
              <w:t>Sourcing, commissioning and managing sub-contractors to deliver specialist research to support homelessness &amp; migration area.</w:t>
            </w:r>
          </w:p>
        </w:tc>
      </w:tr>
      <w:tr>
        <w:trPr/>
        <w:tc>
          <w:tcPr>
            <w:tcW w:w="1035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Educated to degree level (or equivalent) in a relevant discipline, or extensive experience in a related field.</w:t>
            </w:r>
          </w:p>
        </w:tc>
      </w:tr>
    </w:tbl>
    <w:p>
      <w:pPr>
        <w:pStyle w:val="Heading3"/>
        <w:rPr>
          <w:rFonts w:cs="Arial"/>
          <w:sz w:val="24"/>
        </w:rPr>
      </w:pPr>
      <w:r>
        <w:rPr>
          <w:rFonts w:cs="Arial"/>
          <w:sz w:val="24"/>
        </w:rPr>
      </w:r>
    </w:p>
    <w:p>
      <w:pPr>
        <w:pStyle w:val="Heading3"/>
        <w:rPr>
          <w:rFonts w:cs="Arial"/>
          <w:sz w:val="24"/>
        </w:rPr>
      </w:pPr>
      <w:r>
        <w:rPr>
          <w:rFonts w:cs="Arial"/>
          <w:sz w:val="24"/>
        </w:rPr>
        <w:t>Desirable</w:t>
      </w:r>
    </w:p>
    <w:p>
      <w:pPr>
        <w:pStyle w:val="Default"/>
        <w:rPr/>
      </w:pPr>
      <w:r>
        <w:rPr/>
      </w:r>
    </w:p>
    <w:tbl>
      <w:tblPr>
        <w:tblW w:w="10359" w:type="dxa"/>
        <w:jc w:val="left"/>
        <w:tblInd w:w="-209" w:type="dxa"/>
        <w:tblCellMar>
          <w:top w:w="80" w:type="dxa"/>
          <w:left w:w="363" w:type="dxa"/>
          <w:bottom w:w="80" w:type="dxa"/>
          <w:right w:w="80" w:type="dxa"/>
        </w:tblCellMar>
      </w:tblPr>
      <w:tblGrid>
        <w:gridCol w:w="10359"/>
      </w:tblGrid>
      <w:tr>
        <w:trPr/>
        <w:tc>
          <w:tcPr>
            <w:tcW w:w="10359" w:type="dxa"/>
            <w:tcBorders>
              <w:top w:val="single" w:sz="4" w:space="0" w:color="000000"/>
              <w:left w:val="single" w:sz="4" w:space="0" w:color="000000"/>
              <w:bottom w:val="single" w:sz="4" w:space="0" w:color="000000"/>
              <w:right w:val="single" w:sz="4" w:space="0" w:color="000000"/>
            </w:tcBorders>
            <w:shd w:fill="D9D9D9" w:val="clear"/>
          </w:tcPr>
          <w:p>
            <w:pPr>
              <w:pStyle w:val="Normal"/>
              <w:tabs>
                <w:tab w:val="clear" w:pos="720"/>
                <w:tab w:val="left" w:pos="371" w:leader="none"/>
              </w:tabs>
              <w:spacing w:before="0" w:after="240"/>
              <w:ind w:left="-283" w:right="0" w:hanging="0"/>
              <w:rPr>
                <w:rFonts w:cs="Arial"/>
                <w:b/>
                <w:b/>
                <w:sz w:val="22"/>
                <w:szCs w:val="20"/>
              </w:rPr>
            </w:pPr>
            <w:r>
              <w:rPr>
                <w:rFonts w:cs="Arial"/>
                <w:b/>
                <w:sz w:val="22"/>
                <w:szCs w:val="20"/>
              </w:rPr>
              <w:t>Desirable</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371" w:leader="none"/>
              </w:tabs>
              <w:spacing w:before="0" w:after="240"/>
              <w:ind w:left="-283" w:right="0" w:hanging="0"/>
              <w:rPr>
                <w:rFonts w:cs="Arial"/>
                <w:b/>
                <w:b/>
                <w:sz w:val="22"/>
                <w:szCs w:val="20"/>
              </w:rPr>
            </w:pPr>
            <w:r>
              <w:rPr>
                <w:rFonts w:cs="Arial"/>
                <w:b/>
                <w:sz w:val="22"/>
                <w:szCs w:val="20"/>
              </w:rPr>
              <w:t>Grade 9 and 10</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Experience of using specialist IT packages relating to research (e.g. SPSS, QGIS, Tableau, R, etc).</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Experience in working with stakeholders from a variety of sectors (public; private; voluntary, community and social enterprise)</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Production of cost-benefit analyses</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Econometric and statistical modelling ability</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numPr>
                <w:ilvl w:val="0"/>
                <w:numId w:val="5"/>
              </w:numPr>
              <w:pBdr/>
              <w:spacing w:lineRule="auto" w:line="240" w:before="0" w:after="0"/>
              <w:ind w:left="357" w:right="0" w:hanging="357"/>
              <w:rPr>
                <w:rFonts w:cs="Arial"/>
                <w:sz w:val="22"/>
                <w:szCs w:val="20"/>
              </w:rPr>
            </w:pPr>
            <w:r>
              <w:rPr>
                <w:rFonts w:cs="Arial"/>
                <w:sz w:val="22"/>
                <w:szCs w:val="20"/>
              </w:rPr>
              <w:t>Understanding of the work of wider public sector agencies, private sector organisations, and voluntary and community sector partners across Greater Manchester is an advantage, as is an understanding of the interaction between central government and local partners.</w:t>
            </w:r>
          </w:p>
        </w:tc>
      </w:tr>
    </w:tbl>
    <w:p>
      <w:pPr>
        <w:pStyle w:val="Default"/>
        <w:rPr/>
      </w:pPr>
      <w:r>
        <w:rPr/>
      </w:r>
    </w:p>
    <w:p>
      <w:pPr>
        <w:pStyle w:val="Default"/>
        <w:rPr/>
      </w:pPr>
      <w:r>
        <w:rPr/>
      </w:r>
    </w:p>
    <w:p>
      <w:pPr>
        <w:pStyle w:val="Default"/>
        <w:rPr/>
      </w:pPr>
      <w:r>
        <w:rPr/>
      </w:r>
    </w:p>
    <w:p>
      <w:pPr>
        <w:pStyle w:val="Normal"/>
        <w:spacing w:lineRule="auto" w:line="240" w:before="0" w:after="0"/>
        <w:rPr>
          <w:rFonts w:cs="Arial"/>
          <w:szCs w:val="24"/>
        </w:rPr>
      </w:pPr>
      <w:r>
        <w:rPr>
          <w:rFonts w:cs="Arial"/>
          <w:szCs w:val="24"/>
        </w:rPr>
      </w:r>
      <w:r>
        <w:br w:type="page"/>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10"/>
      <w:footerReference w:type="default" r:id="rId11"/>
      <w:type w:val="nextPage"/>
      <w:pgSz w:w="11906" w:h="16850"/>
      <w:pgMar w:left="1276" w:right="1410" w:header="709" w:top="1560" w:footer="0" w:bottom="99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TextBody"/>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4</w:t>
    </w:r>
    <w:r>
      <w:rPr/>
      <w:fldChar w:fldCharType="end"/>
    </w:r>
  </w:p>
  <w:p>
    <w:pPr>
      <w:pStyle w:val="TextBody"/>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w:t>
    </w:r>
    <w:r>
      <w:rPr/>
      <w:fldChar w:fldCharType="end"/>
    </w:r>
  </w:p>
  <w:p>
    <w:pPr>
      <w:pStyle w:val="Footer"/>
      <w:spacing w:before="0" w:after="24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10</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3558540</wp:posOffset>
          </wp:positionH>
          <wp:positionV relativeFrom="paragraph">
            <wp:posOffset>635</wp:posOffset>
          </wp:positionV>
          <wp:extent cx="2190115" cy="686435"/>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3">
          <wp:simplePos x="0" y="0"/>
          <wp:positionH relativeFrom="column">
            <wp:posOffset>3558540</wp:posOffset>
          </wp:positionH>
          <wp:positionV relativeFrom="paragraph">
            <wp:posOffset>635</wp:posOffset>
          </wp:positionV>
          <wp:extent cx="2190115" cy="68643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tabs>
        <w:tab w:val="clear" w:pos="4513"/>
        <w:tab w:val="clear" w:pos="9026"/>
        <w:tab w:val="left" w:pos="1268" w:leader="none"/>
      </w:tabs>
      <w:rPr/>
    </w:pPr>
    <w:r>
      <w:rPr/>
      <w:tab/>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4">
          <wp:simplePos x="0" y="0"/>
          <wp:positionH relativeFrom="column">
            <wp:posOffset>3558540</wp:posOffset>
          </wp:positionH>
          <wp:positionV relativeFrom="paragraph">
            <wp:posOffset>635</wp:posOffset>
          </wp:positionV>
          <wp:extent cx="2190115" cy="686435"/>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10">
          <wp:simplePos x="0" y="0"/>
          <wp:positionH relativeFrom="column">
            <wp:posOffset>3558540</wp:posOffset>
          </wp:positionH>
          <wp:positionV relativeFrom="paragraph">
            <wp:posOffset>635</wp:posOffset>
          </wp:positionV>
          <wp:extent cx="2190115" cy="686435"/>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
    <w:name w:val="Body"/>
    <w:qFormat/>
    <w:pPr>
      <w:widowControl/>
      <w:pBdr/>
      <w:suppressAutoHyphens w:val="true"/>
      <w:bidi w:val="0"/>
      <w:spacing w:before="0" w:after="0"/>
      <w:jc w:val="left"/>
    </w:pPr>
    <w:rPr>
      <w:rFonts w:ascii="Arial" w:hAnsi="Arial" w:eastAsia="Arial" w:cs="Arial"/>
      <w:color w:val="000000"/>
      <w:kern w:val="0"/>
      <w:sz w:val="24"/>
      <w:szCs w:val="22"/>
      <w:u w:val="none" w:color="000000"/>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5.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2026-06-12T10:53:00Z</dcterms:created>
  <dc:creator>Caddy-Dale, Anna (Manchester Growth Company)</dc:creator>
  <dc:description/>
  <dc:language>en-US</dc:language>
  <cp:lastModifiedBy>Dar, Humaira</cp:lastModifiedBy>
  <cp:lastPrinted>1995-11-21T17:41:00Z</cp:lastPrinted>
  <dcterms:modified xsi:type="dcterms:W3CDTF">2026-06-12T10:53:00Z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4</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