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Body"/>
        <w:spacing w:lineRule="auto" w:line="276"/>
        <w:ind w:left="0" w:right="-761" w:hanging="709"/>
        <w:rPr>
          <w:rFonts w:eastAsia="Calibri"/>
          <w:b/>
          <w:b/>
          <w:bCs/>
          <w:iCs/>
        </w:rPr>
      </w:pPr>
      <w:r>
        <w:rPr/>
        <w:drawing>
          <wp:inline distT="0" distB="0" distL="0" distR="0">
            <wp:extent cx="5147945" cy="4635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5" t="-161" r="-15" b="-161"/>
                    <a:stretch>
                      <a:fillRect/>
                    </a:stretch>
                  </pic:blipFill>
                  <pic:spPr bwMode="auto">
                    <a:xfrm>
                      <a:off x="0" y="0"/>
                      <a:ext cx="5147945" cy="463550"/>
                    </a:xfrm>
                    <a:prstGeom prst="rect">
                      <a:avLst/>
                    </a:prstGeom>
                  </pic:spPr>
                </pic:pic>
              </a:graphicData>
            </a:graphic>
          </wp:inline>
        </w:drawing>
      </w:r>
    </w:p>
    <w:p>
      <w:pPr>
        <w:pStyle w:val="Body"/>
        <w:spacing w:lineRule="auto" w:line="276"/>
        <w:ind w:left="0" w:right="261" w:hanging="0"/>
        <w:jc w:val="both"/>
        <w:rPr>
          <w:rFonts w:eastAsia="Calibri"/>
          <w:b/>
          <w:b/>
          <w:bCs/>
          <w:iCs/>
        </w:rPr>
      </w:pPr>
      <w:r>
        <w:rPr>
          <w:rFonts w:eastAsia="Calibri"/>
          <w:b/>
          <w:bCs/>
          <w:iCs/>
        </w:rPr>
      </w:r>
    </w:p>
    <w:tbl>
      <w:tblPr>
        <w:tblW w:w="10356" w:type="dxa"/>
        <w:jc w:val="left"/>
        <w:tblInd w:w="-607" w:type="dxa"/>
        <w:tblCellMar>
          <w:top w:w="0" w:type="dxa"/>
          <w:left w:w="108" w:type="dxa"/>
          <w:bottom w:w="0" w:type="dxa"/>
          <w:right w:w="108" w:type="dxa"/>
        </w:tblCellMar>
      </w:tblPr>
      <w:tblGrid>
        <w:gridCol w:w="2127"/>
        <w:gridCol w:w="3092"/>
        <w:gridCol w:w="2309"/>
        <w:gridCol w:w="2828"/>
      </w:tblGrid>
      <w:tr>
        <w:trPr/>
        <w:tc>
          <w:tcPr>
            <w:tcW w:w="2127" w:type="dxa"/>
            <w:tcBorders>
              <w:top w:val="single" w:sz="4" w:space="0" w:color="000000"/>
              <w:left w:val="single" w:sz="4" w:space="0" w:color="000000"/>
              <w:bottom w:val="single" w:sz="4" w:space="0" w:color="000000"/>
            </w:tcBorders>
            <w:shd w:fill="auto" w:val="clear"/>
            <w:vAlign w:val="center"/>
          </w:tcPr>
          <w:p>
            <w:pPr>
              <w:pStyle w:val="Body"/>
              <w:spacing w:lineRule="auto" w:line="276" w:before="120" w:after="120"/>
              <w:ind w:left="0" w:right="261" w:hanging="0"/>
              <w:rPr>
                <w:rFonts w:eastAsia="Calibri"/>
                <w:b/>
                <w:b/>
                <w:bCs/>
                <w:iCs/>
                <w:sz w:val="24"/>
                <w:szCs w:val="24"/>
              </w:rPr>
            </w:pPr>
            <w:r>
              <w:rPr>
                <w:rFonts w:eastAsia="Calibri"/>
                <w:b/>
                <w:bCs/>
                <w:iCs/>
                <w:sz w:val="24"/>
                <w:szCs w:val="24"/>
              </w:rPr>
              <w:t>Job Title:</w:t>
            </w:r>
          </w:p>
        </w:tc>
        <w:tc>
          <w:tcPr>
            <w:tcW w:w="3092" w:type="dxa"/>
            <w:tcBorders>
              <w:top w:val="single" w:sz="4" w:space="0" w:color="000000"/>
              <w:left w:val="single" w:sz="4" w:space="0" w:color="000000"/>
              <w:bottom w:val="single" w:sz="4" w:space="0" w:color="000000"/>
            </w:tcBorders>
            <w:shd w:fill="auto" w:val="clear"/>
            <w:vAlign w:val="center"/>
          </w:tcPr>
          <w:p>
            <w:pPr>
              <w:pStyle w:val="Body"/>
              <w:spacing w:lineRule="auto" w:line="276" w:before="120" w:after="120"/>
              <w:ind w:left="0" w:right="261" w:hanging="0"/>
              <w:rPr>
                <w:rFonts w:eastAsia="Calibri"/>
                <w:bCs/>
                <w:iCs/>
                <w:color w:val="auto"/>
                <w:sz w:val="24"/>
                <w:szCs w:val="24"/>
              </w:rPr>
            </w:pPr>
            <w:r>
              <w:rPr>
                <w:rFonts w:eastAsia="Calibri"/>
                <w:bCs/>
                <w:iCs/>
                <w:color w:val="auto"/>
                <w:sz w:val="24"/>
                <w:szCs w:val="24"/>
              </w:rPr>
              <w:t>Senior Service Desk Team Leader</w:t>
            </w:r>
          </w:p>
        </w:tc>
        <w:tc>
          <w:tcPr>
            <w:tcW w:w="2309" w:type="dxa"/>
            <w:tcBorders>
              <w:top w:val="single" w:sz="4" w:space="0" w:color="000000"/>
              <w:left w:val="single" w:sz="4" w:space="0" w:color="000000"/>
              <w:bottom w:val="single" w:sz="4" w:space="0" w:color="000000"/>
            </w:tcBorders>
            <w:shd w:fill="auto" w:val="clear"/>
            <w:vAlign w:val="center"/>
          </w:tcPr>
          <w:p>
            <w:pPr>
              <w:pStyle w:val="Body"/>
              <w:spacing w:lineRule="auto" w:line="276" w:before="120" w:after="120"/>
              <w:ind w:left="0" w:right="261" w:hanging="0"/>
              <w:rPr>
                <w:rFonts w:eastAsia="Calibri"/>
                <w:b/>
                <w:b/>
                <w:bCs/>
                <w:iCs/>
                <w:sz w:val="24"/>
                <w:szCs w:val="24"/>
              </w:rPr>
            </w:pPr>
            <w:r>
              <w:rPr>
                <w:rFonts w:eastAsia="Calibri"/>
                <w:b/>
                <w:bCs/>
                <w:iCs/>
                <w:sz w:val="24"/>
                <w:szCs w:val="24"/>
              </w:rPr>
              <w:t>Date:</w:t>
            </w:r>
          </w:p>
        </w:tc>
        <w:tc>
          <w:tcPr>
            <w:tcW w:w="2828"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spacing w:lineRule="auto" w:line="276" w:before="120" w:after="120"/>
              <w:ind w:left="0" w:right="261" w:hanging="0"/>
              <w:rPr>
                <w:rFonts w:eastAsia="Calibri"/>
                <w:bCs/>
                <w:iCs/>
                <w:sz w:val="24"/>
                <w:szCs w:val="24"/>
              </w:rPr>
            </w:pPr>
            <w:r>
              <w:rPr>
                <w:rFonts w:eastAsia="Calibri"/>
                <w:bCs/>
                <w:iCs/>
                <w:sz w:val="24"/>
                <w:szCs w:val="24"/>
              </w:rPr>
              <w:t>January 2026</w:t>
            </w:r>
          </w:p>
        </w:tc>
      </w:tr>
      <w:tr>
        <w:trPr/>
        <w:tc>
          <w:tcPr>
            <w:tcW w:w="2127" w:type="dxa"/>
            <w:tcBorders>
              <w:top w:val="single" w:sz="4" w:space="0" w:color="000000"/>
              <w:left w:val="single" w:sz="4" w:space="0" w:color="000000"/>
              <w:bottom w:val="single" w:sz="4" w:space="0" w:color="000000"/>
            </w:tcBorders>
            <w:shd w:fill="auto" w:val="clear"/>
            <w:vAlign w:val="center"/>
          </w:tcPr>
          <w:p>
            <w:pPr>
              <w:pStyle w:val="Body"/>
              <w:spacing w:lineRule="auto" w:line="276" w:before="120" w:after="120"/>
              <w:ind w:left="0" w:right="261" w:hanging="0"/>
              <w:rPr>
                <w:rFonts w:eastAsia="Calibri"/>
                <w:b/>
                <w:b/>
                <w:bCs/>
                <w:iCs/>
                <w:sz w:val="24"/>
                <w:szCs w:val="24"/>
              </w:rPr>
            </w:pPr>
            <w:r>
              <w:rPr>
                <w:rFonts w:eastAsia="Calibri"/>
                <w:b/>
                <w:bCs/>
                <w:iCs/>
                <w:sz w:val="24"/>
                <w:szCs w:val="24"/>
              </w:rPr>
              <w:t>Reporting Line:</w:t>
            </w:r>
          </w:p>
        </w:tc>
        <w:tc>
          <w:tcPr>
            <w:tcW w:w="3092" w:type="dxa"/>
            <w:tcBorders>
              <w:top w:val="single" w:sz="4" w:space="0" w:color="000000"/>
              <w:left w:val="single" w:sz="4" w:space="0" w:color="000000"/>
              <w:bottom w:val="single" w:sz="4" w:space="0" w:color="000000"/>
            </w:tcBorders>
            <w:shd w:fill="auto" w:val="clear"/>
            <w:vAlign w:val="center"/>
          </w:tcPr>
          <w:p>
            <w:pPr>
              <w:pStyle w:val="Body"/>
              <w:spacing w:lineRule="auto" w:line="276" w:before="120" w:after="120"/>
              <w:ind w:left="0" w:right="261" w:hanging="0"/>
              <w:rPr>
                <w:rFonts w:eastAsia="Calibri"/>
                <w:bCs/>
                <w:iCs/>
                <w:color w:val="auto"/>
                <w:sz w:val="24"/>
                <w:szCs w:val="24"/>
              </w:rPr>
            </w:pPr>
            <w:r>
              <w:rPr>
                <w:rFonts w:eastAsia="Calibri"/>
                <w:bCs/>
                <w:iCs/>
                <w:color w:val="auto"/>
                <w:sz w:val="24"/>
                <w:szCs w:val="24"/>
              </w:rPr>
              <w:t>Head of Digital Servies</w:t>
            </w:r>
          </w:p>
        </w:tc>
        <w:tc>
          <w:tcPr>
            <w:tcW w:w="2309" w:type="dxa"/>
            <w:tcBorders>
              <w:top w:val="single" w:sz="4" w:space="0" w:color="000000"/>
              <w:left w:val="single" w:sz="4" w:space="0" w:color="000000"/>
              <w:bottom w:val="single" w:sz="4" w:space="0" w:color="000000"/>
            </w:tcBorders>
            <w:shd w:fill="auto" w:val="clear"/>
            <w:vAlign w:val="center"/>
          </w:tcPr>
          <w:p>
            <w:pPr>
              <w:pStyle w:val="Body"/>
              <w:spacing w:lineRule="auto" w:line="276" w:before="120" w:after="120"/>
              <w:ind w:left="0" w:right="261" w:hanging="0"/>
              <w:rPr>
                <w:rFonts w:eastAsia="Calibri"/>
                <w:b/>
                <w:b/>
                <w:bCs/>
                <w:iCs/>
                <w:sz w:val="24"/>
                <w:szCs w:val="24"/>
              </w:rPr>
            </w:pPr>
            <w:r>
              <w:rPr>
                <w:rFonts w:eastAsia="Calibri"/>
                <w:b/>
                <w:bCs/>
                <w:iCs/>
                <w:sz w:val="24"/>
                <w:szCs w:val="24"/>
              </w:rPr>
              <w:t>Salary:</w:t>
            </w:r>
          </w:p>
        </w:tc>
        <w:tc>
          <w:tcPr>
            <w:tcW w:w="2828"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spacing w:lineRule="auto" w:line="276" w:before="120" w:after="120"/>
              <w:ind w:left="0" w:right="261" w:hanging="0"/>
              <w:rPr>
                <w:rFonts w:eastAsia="Calibri"/>
                <w:bCs/>
                <w:iCs/>
                <w:color w:val="auto"/>
                <w:sz w:val="24"/>
                <w:szCs w:val="24"/>
              </w:rPr>
            </w:pPr>
            <w:r>
              <w:rPr>
                <w:rFonts w:eastAsia="Calibri"/>
                <w:bCs/>
                <w:iCs/>
                <w:color w:val="auto"/>
                <w:sz w:val="24"/>
                <w:szCs w:val="24"/>
              </w:rPr>
              <w:t xml:space="preserve">Grade 10 </w:t>
            </w:r>
          </w:p>
        </w:tc>
      </w:tr>
      <w:tr>
        <w:trPr/>
        <w:tc>
          <w:tcPr>
            <w:tcW w:w="2127" w:type="dxa"/>
            <w:tcBorders>
              <w:top w:val="single" w:sz="4" w:space="0" w:color="000000"/>
              <w:left w:val="single" w:sz="4" w:space="0" w:color="000000"/>
              <w:bottom w:val="single" w:sz="4" w:space="0" w:color="000000"/>
            </w:tcBorders>
            <w:shd w:fill="auto" w:val="clear"/>
            <w:vAlign w:val="center"/>
          </w:tcPr>
          <w:p>
            <w:pPr>
              <w:pStyle w:val="Body"/>
              <w:spacing w:lineRule="auto" w:line="276" w:before="120" w:after="120"/>
              <w:ind w:left="0" w:right="261" w:hanging="0"/>
              <w:rPr>
                <w:rFonts w:eastAsia="Calibri"/>
                <w:b/>
                <w:b/>
                <w:bCs/>
                <w:iCs/>
                <w:sz w:val="24"/>
                <w:szCs w:val="24"/>
              </w:rPr>
            </w:pPr>
            <w:r>
              <w:rPr>
                <w:rFonts w:eastAsia="Calibri"/>
                <w:b/>
                <w:bCs/>
                <w:iCs/>
                <w:sz w:val="24"/>
                <w:szCs w:val="24"/>
              </w:rPr>
              <w:t>Team:</w:t>
            </w:r>
          </w:p>
        </w:tc>
        <w:tc>
          <w:tcPr>
            <w:tcW w:w="3092" w:type="dxa"/>
            <w:tcBorders>
              <w:top w:val="single" w:sz="4" w:space="0" w:color="000000"/>
              <w:left w:val="single" w:sz="4" w:space="0" w:color="000000"/>
              <w:bottom w:val="single" w:sz="4" w:space="0" w:color="000000"/>
            </w:tcBorders>
            <w:shd w:fill="auto" w:val="clear"/>
            <w:vAlign w:val="center"/>
          </w:tcPr>
          <w:p>
            <w:pPr>
              <w:pStyle w:val="Body"/>
              <w:spacing w:lineRule="auto" w:line="276" w:before="120" w:after="120"/>
              <w:ind w:left="0" w:right="261" w:hanging="0"/>
              <w:rPr>
                <w:rFonts w:eastAsia="Calibri"/>
                <w:bCs/>
                <w:iCs/>
                <w:color w:val="auto"/>
                <w:sz w:val="24"/>
                <w:szCs w:val="24"/>
              </w:rPr>
            </w:pPr>
            <w:r>
              <w:rPr>
                <w:rFonts w:eastAsia="Calibri"/>
                <w:bCs/>
                <w:iCs/>
                <w:color w:val="auto"/>
                <w:sz w:val="24"/>
                <w:szCs w:val="24"/>
              </w:rPr>
              <w:t>Service Desk</w:t>
            </w:r>
          </w:p>
        </w:tc>
        <w:tc>
          <w:tcPr>
            <w:tcW w:w="2309" w:type="dxa"/>
            <w:tcBorders>
              <w:top w:val="single" w:sz="4" w:space="0" w:color="000000"/>
              <w:left w:val="single" w:sz="4" w:space="0" w:color="000000"/>
              <w:bottom w:val="single" w:sz="4" w:space="0" w:color="000000"/>
            </w:tcBorders>
            <w:shd w:fill="auto" w:val="clear"/>
            <w:vAlign w:val="center"/>
          </w:tcPr>
          <w:p>
            <w:pPr>
              <w:pStyle w:val="Body"/>
              <w:spacing w:lineRule="auto" w:line="276" w:before="120" w:after="120"/>
              <w:ind w:left="0" w:right="261" w:hanging="0"/>
              <w:rPr>
                <w:rFonts w:eastAsia="Calibri"/>
                <w:b/>
                <w:b/>
                <w:bCs/>
                <w:iCs/>
                <w:sz w:val="24"/>
                <w:szCs w:val="24"/>
              </w:rPr>
            </w:pPr>
            <w:r>
              <w:rPr>
                <w:rFonts w:eastAsia="Calibri"/>
                <w:b/>
                <w:bCs/>
                <w:iCs/>
                <w:sz w:val="24"/>
                <w:szCs w:val="24"/>
              </w:rPr>
              <w:t>Business Area:</w:t>
            </w:r>
          </w:p>
        </w:tc>
        <w:tc>
          <w:tcPr>
            <w:tcW w:w="2828"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spacing w:lineRule="auto" w:line="276" w:before="120" w:after="120"/>
              <w:ind w:left="0" w:right="261" w:hanging="0"/>
              <w:rPr>
                <w:rFonts w:eastAsia="Calibri"/>
                <w:bCs/>
                <w:iCs/>
                <w:color w:val="auto"/>
                <w:sz w:val="24"/>
                <w:szCs w:val="24"/>
              </w:rPr>
            </w:pPr>
            <w:r>
              <w:rPr>
                <w:rFonts w:eastAsia="Calibri"/>
                <w:bCs/>
                <w:iCs/>
                <w:color w:val="auto"/>
                <w:sz w:val="24"/>
                <w:szCs w:val="24"/>
              </w:rPr>
              <w:t>Digital Services</w:t>
            </w:r>
          </w:p>
        </w:tc>
      </w:tr>
    </w:tbl>
    <w:p>
      <w:pPr>
        <w:pStyle w:val="Body"/>
        <w:spacing w:lineRule="auto" w:line="276"/>
        <w:ind w:left="0" w:right="261" w:hanging="0"/>
        <w:jc w:val="both"/>
        <w:rPr>
          <w:rFonts w:eastAsia="Calibri"/>
          <w:b/>
          <w:b/>
          <w:bCs/>
          <w:iCs/>
        </w:rPr>
      </w:pPr>
      <w:r>
        <w:rPr>
          <w:rFonts w:eastAsia="Calibri"/>
          <w:b/>
          <w:bCs/>
          <w:iCs/>
        </w:rPr>
      </w:r>
    </w:p>
    <w:tbl>
      <w:tblPr>
        <w:tblW w:w="10371" w:type="dxa"/>
        <w:jc w:val="center"/>
        <w:tblInd w:w="0" w:type="dxa"/>
        <w:tblCellMar>
          <w:top w:w="80" w:type="dxa"/>
          <w:left w:w="80" w:type="dxa"/>
          <w:bottom w:w="80" w:type="dxa"/>
          <w:right w:w="80" w:type="dxa"/>
        </w:tblCellMar>
      </w:tblPr>
      <w:tblGrid>
        <w:gridCol w:w="10371"/>
      </w:tblGrid>
      <w:tr>
        <w:trPr>
          <w:trHeight w:val="180" w:hRule="atLeast"/>
        </w:trPr>
        <w:tc>
          <w:tcPr>
            <w:tcW w:w="10371" w:type="dxa"/>
            <w:tcBorders>
              <w:top w:val="single" w:sz="6" w:space="0" w:color="000000"/>
              <w:left w:val="single" w:sz="6" w:space="0" w:color="0000FF"/>
              <w:right w:val="single" w:sz="6" w:space="0" w:color="0000FF"/>
            </w:tcBorders>
            <w:shd w:fill="000000" w:val="clear"/>
            <w:vAlign w:val="center"/>
          </w:tcPr>
          <w:p>
            <w:pPr>
              <w:pStyle w:val="Heading3"/>
              <w:spacing w:lineRule="auto" w:line="276"/>
              <w:ind w:left="0" w:right="261" w:hanging="0"/>
              <w:rPr>
                <w:rFonts w:eastAsia="Calibri"/>
                <w:sz w:val="22"/>
                <w:szCs w:val="22"/>
                <w:lang w:val="en-GB"/>
              </w:rPr>
            </w:pPr>
            <w:r>
              <w:rPr>
                <w:rFonts w:eastAsia="Calibri"/>
                <w:sz w:val="22"/>
                <w:szCs w:val="22"/>
                <w:lang w:val="en-GB"/>
              </w:rPr>
              <w:t>JOB PURPOSE</w:t>
            </w:r>
          </w:p>
        </w:tc>
      </w:tr>
      <w:tr>
        <w:trPr>
          <w:trHeight w:val="793" w:hRule="atLeast"/>
        </w:trPr>
        <w:tc>
          <w:tcPr>
            <w:tcW w:w="10371" w:type="dxa"/>
            <w:tcBorders>
              <w:left w:val="single" w:sz="6" w:space="0" w:color="000000"/>
              <w:bottom w:val="single" w:sz="4" w:space="0" w:color="000000"/>
              <w:right w:val="single" w:sz="6" w:space="0" w:color="000000"/>
            </w:tcBorders>
            <w:shd w:fill="auto" w:val="clear"/>
            <w:vAlign w:val="center"/>
          </w:tcPr>
          <w:p>
            <w:pPr>
              <w:pStyle w:val="Normal"/>
              <w:spacing w:lineRule="auto" w:line="276"/>
              <w:ind w:left="0" w:right="60" w:hanging="0"/>
              <w:rPr>
                <w:rFonts w:ascii="Arial" w:hAnsi="Arial" w:eastAsia="Arial" w:cs="Arial"/>
                <w:u w:val="none" w:color="000000"/>
              </w:rPr>
            </w:pPr>
            <w:r>
              <w:rPr>
                <w:rFonts w:eastAsia="Arial" w:cs="Arial" w:ascii="Arial" w:hAnsi="Arial"/>
                <w:u w:val="none" w:color="000000"/>
              </w:rPr>
              <w:t xml:space="preserve">The purpose of this role is to provide operational leadership and direction for the GMFRS/GMCA ICT Service Desk, acting as the pivotal management layer between the Head of Digital Services and the Service Desk Team Leader. </w:t>
            </w:r>
          </w:p>
          <w:p>
            <w:pPr>
              <w:pStyle w:val="Normal"/>
              <w:spacing w:lineRule="auto" w:line="276"/>
              <w:ind w:left="0" w:right="60" w:hanging="0"/>
              <w:rPr>
                <w:rFonts w:ascii="Arial" w:hAnsi="Arial" w:eastAsia="Arial" w:cs="Arial"/>
                <w:u w:val="none" w:color="000000"/>
              </w:rPr>
            </w:pPr>
            <w:r>
              <w:rPr>
                <w:rFonts w:eastAsia="Arial" w:cs="Arial" w:ascii="Arial" w:hAnsi="Arial"/>
                <w:u w:val="none" w:color="000000"/>
              </w:rPr>
            </w:r>
          </w:p>
          <w:p>
            <w:pPr>
              <w:pStyle w:val="Normal"/>
              <w:spacing w:lineRule="auto" w:line="276"/>
              <w:ind w:left="0" w:right="60" w:hanging="0"/>
              <w:rPr>
                <w:rFonts w:ascii="Arial" w:hAnsi="Arial" w:eastAsia="Arial" w:cs="Arial"/>
                <w:u w:val="none" w:color="000000"/>
              </w:rPr>
            </w:pPr>
            <w:r>
              <w:rPr>
                <w:rFonts w:eastAsia="Arial" w:cs="Arial" w:ascii="Arial" w:hAnsi="Arial"/>
                <w:u w:val="none" w:color="000000"/>
              </w:rPr>
              <w:t>The role will ensure the provision of a high</w:t>
              <w:noBreakHyphen/>
              <w:t>performing, customer</w:t>
              <w:noBreakHyphen/>
              <w:t>focused ICT support function that meets organisational needs, drives service improvement, and supports the strategic aims of the Digital Services Directorate.</w:t>
            </w:r>
          </w:p>
          <w:p>
            <w:pPr>
              <w:pStyle w:val="Normal"/>
              <w:spacing w:lineRule="auto" w:line="276"/>
              <w:ind w:left="0" w:right="60" w:hanging="0"/>
              <w:rPr>
                <w:rFonts w:ascii="Arial" w:hAnsi="Arial" w:eastAsia="Arial" w:cs="Arial"/>
                <w:u w:val="none" w:color="000000"/>
              </w:rPr>
            </w:pPr>
            <w:r>
              <w:rPr>
                <w:rFonts w:eastAsia="Arial" w:cs="Arial" w:ascii="Arial" w:hAnsi="Arial"/>
                <w:u w:val="none" w:color="000000"/>
              </w:rPr>
            </w:r>
          </w:p>
          <w:p>
            <w:pPr>
              <w:pStyle w:val="Normal"/>
              <w:spacing w:lineRule="auto" w:line="276"/>
              <w:ind w:left="0" w:right="60" w:hanging="0"/>
              <w:rPr>
                <w:rFonts w:ascii="Arial" w:hAnsi="Arial" w:eastAsia="Arial" w:cs="Arial"/>
                <w:u w:val="none" w:color="000000"/>
              </w:rPr>
            </w:pPr>
            <w:r>
              <w:rPr>
                <w:rFonts w:eastAsia="Arial" w:cs="Arial" w:ascii="Arial" w:hAnsi="Arial"/>
                <w:u w:val="none" w:color="000000"/>
              </w:rPr>
              <w:t>The postholder will oversee day</w:t>
              <w:noBreakHyphen/>
              <w:t>to</w:t>
              <w:noBreakHyphen/>
              <w:t>day delivery of all first</w:t>
              <w:noBreakHyphen/>
              <w:t>line and selected second</w:t>
              <w:noBreakHyphen/>
              <w:t>line ICT support services, ensuring high levels of service availability, quality, and responsiveness. They will provide professional leadership to Service Desk Team members, ensuring consistent standards, effective workload management, and development of the team. The role will also contribute to broader service improvement, digital transformation, and operational resilience initiatives.</w:t>
            </w:r>
          </w:p>
        </w:tc>
      </w:tr>
    </w:tbl>
    <w:p>
      <w:pPr>
        <w:pStyle w:val="Body"/>
        <w:spacing w:lineRule="auto" w:line="276"/>
        <w:ind w:left="-567" w:right="261" w:hanging="0"/>
        <w:rPr>
          <w:rFonts w:eastAsia="Calibri"/>
          <w:b/>
          <w:b/>
          <w:bCs/>
          <w:iCs/>
        </w:rPr>
      </w:pPr>
      <w:r>
        <w:rPr>
          <w:rFonts w:eastAsia="Calibri"/>
          <w:b/>
          <w:bCs/>
          <w:iCs/>
        </w:rPr>
      </w:r>
    </w:p>
    <w:tbl>
      <w:tblPr>
        <w:tblW w:w="10366" w:type="dxa"/>
        <w:jc w:val="center"/>
        <w:tblInd w:w="0" w:type="dxa"/>
        <w:tblCellMar>
          <w:top w:w="80" w:type="dxa"/>
          <w:left w:w="80" w:type="dxa"/>
          <w:bottom w:w="80" w:type="dxa"/>
          <w:right w:w="80" w:type="dxa"/>
        </w:tblCellMar>
      </w:tblPr>
      <w:tblGrid>
        <w:gridCol w:w="10366"/>
      </w:tblGrid>
      <w:tr>
        <w:trPr>
          <w:trHeight w:val="180" w:hRule="atLeast"/>
        </w:trPr>
        <w:tc>
          <w:tcPr>
            <w:tcW w:w="10366" w:type="dxa"/>
            <w:tcBorders>
              <w:top w:val="single" w:sz="4" w:space="0" w:color="000000"/>
              <w:left w:val="single" w:sz="4" w:space="0" w:color="000000"/>
              <w:bottom w:val="single" w:sz="4" w:space="0" w:color="000000"/>
              <w:right w:val="single" w:sz="4" w:space="0" w:color="000000"/>
            </w:tcBorders>
            <w:shd w:fill="000000" w:val="clear"/>
            <w:vAlign w:val="center"/>
          </w:tcPr>
          <w:p>
            <w:pPr>
              <w:pStyle w:val="Body"/>
              <w:spacing w:lineRule="auto" w:line="276"/>
              <w:ind w:left="0" w:right="261" w:hanging="0"/>
              <w:rPr>
                <w:b/>
                <w:b/>
                <w:bCs/>
                <w:color w:val="FFFFFF"/>
                <w:u w:val="none" w:color="FFFFFF"/>
              </w:rPr>
            </w:pPr>
            <w:r>
              <w:rPr>
                <w:b/>
                <w:bCs/>
                <w:color w:val="FFFFFF"/>
                <w:u w:val="none" w:color="FFFFFF"/>
              </w:rPr>
              <w:t>KEY RELATIONSHIPS</w:t>
            </w:r>
          </w:p>
        </w:tc>
      </w:tr>
      <w:tr>
        <w:trPr>
          <w:trHeight w:val="1201" w:hRule="atLeast"/>
        </w:trPr>
        <w:tc>
          <w:tcPr>
            <w:tcW w:w="10366" w:type="dxa"/>
            <w:tcBorders>
              <w:top w:val="single" w:sz="4" w:space="0" w:color="000000"/>
              <w:left w:val="single" w:sz="4" w:space="0" w:color="000000"/>
              <w:bottom w:val="single" w:sz="4" w:space="0" w:color="000000"/>
              <w:right w:val="single" w:sz="4" w:space="0" w:color="000000"/>
            </w:tcBorders>
            <w:shd w:fill="auto" w:val="clear"/>
            <w:tcMar>
              <w:left w:w="363" w:type="dxa"/>
            </w:tcMar>
            <w:vAlign w:val="center"/>
          </w:tcPr>
          <w:p>
            <w:pPr>
              <w:pStyle w:val="ListParagraph"/>
              <w:numPr>
                <w:ilvl w:val="0"/>
                <w:numId w:val="2"/>
              </w:numPr>
              <w:spacing w:lineRule="auto" w:line="276"/>
              <w:ind w:left="360" w:right="261" w:hanging="360"/>
              <w:rPr>
                <w:color w:val="auto"/>
                <w:sz w:val="24"/>
                <w:szCs w:val="24"/>
                <w:lang w:val="en-GB"/>
              </w:rPr>
            </w:pPr>
            <w:r>
              <w:rPr>
                <w:color w:val="auto"/>
                <w:sz w:val="24"/>
                <w:szCs w:val="24"/>
                <w:lang w:val="en-GB"/>
              </w:rPr>
              <w:t>Digital Services Directorate</w:t>
            </w:r>
          </w:p>
          <w:p>
            <w:pPr>
              <w:pStyle w:val="ListParagraph"/>
              <w:numPr>
                <w:ilvl w:val="0"/>
                <w:numId w:val="2"/>
              </w:numPr>
              <w:spacing w:lineRule="auto" w:line="276"/>
              <w:ind w:left="360" w:right="261" w:hanging="360"/>
              <w:rPr>
                <w:color w:val="auto"/>
                <w:sz w:val="24"/>
                <w:szCs w:val="24"/>
                <w:lang w:val="en-GB"/>
              </w:rPr>
            </w:pPr>
            <w:r>
              <w:rPr>
                <w:color w:val="auto"/>
                <w:sz w:val="24"/>
                <w:szCs w:val="24"/>
                <w:lang w:val="en-GB"/>
              </w:rPr>
              <w:t xml:space="preserve">GMCA Teams </w:t>
            </w:r>
          </w:p>
          <w:p>
            <w:pPr>
              <w:pStyle w:val="ListParagraph"/>
              <w:numPr>
                <w:ilvl w:val="0"/>
                <w:numId w:val="2"/>
              </w:numPr>
              <w:spacing w:lineRule="auto" w:line="276"/>
              <w:ind w:left="360" w:right="261" w:hanging="360"/>
              <w:rPr>
                <w:color w:val="auto"/>
                <w:sz w:val="24"/>
                <w:szCs w:val="24"/>
                <w:lang w:val="en-GB"/>
              </w:rPr>
            </w:pPr>
            <w:r>
              <w:rPr>
                <w:color w:val="auto"/>
                <w:sz w:val="24"/>
                <w:szCs w:val="24"/>
                <w:lang w:val="en-GB"/>
              </w:rPr>
              <w:t>GMFRS Teams</w:t>
            </w:r>
          </w:p>
          <w:p>
            <w:pPr>
              <w:pStyle w:val="ListParagraph"/>
              <w:numPr>
                <w:ilvl w:val="0"/>
                <w:numId w:val="2"/>
              </w:numPr>
              <w:spacing w:lineRule="auto" w:line="276"/>
              <w:ind w:left="360" w:right="261" w:hanging="360"/>
              <w:rPr>
                <w:color w:val="auto"/>
                <w:sz w:val="24"/>
                <w:szCs w:val="24"/>
                <w:lang w:val="en-GB"/>
              </w:rPr>
            </w:pPr>
            <w:r>
              <w:rPr>
                <w:color w:val="auto"/>
                <w:sz w:val="24"/>
                <w:szCs w:val="24"/>
                <w:lang w:val="en-GB"/>
              </w:rPr>
              <w:t>External suppliers, partners and managed service providers.</w:t>
            </w:r>
          </w:p>
          <w:p>
            <w:pPr>
              <w:pStyle w:val="ListParagraph"/>
              <w:numPr>
                <w:ilvl w:val="0"/>
                <w:numId w:val="2"/>
              </w:numPr>
              <w:spacing w:lineRule="auto" w:line="276"/>
              <w:ind w:left="360" w:right="261" w:hanging="360"/>
              <w:rPr>
                <w:sz w:val="24"/>
                <w:szCs w:val="24"/>
                <w:lang w:val="en-GB"/>
              </w:rPr>
            </w:pPr>
            <w:r>
              <w:rPr>
                <w:sz w:val="24"/>
                <w:szCs w:val="24"/>
                <w:lang w:val="en-GB"/>
              </w:rPr>
              <w:t>Add in any other key stakeholders that the role will link in with</w:t>
            </w:r>
          </w:p>
        </w:tc>
      </w:tr>
    </w:tbl>
    <w:p>
      <w:pPr>
        <w:pStyle w:val="Body"/>
        <w:spacing w:lineRule="auto" w:line="276"/>
        <w:ind w:left="-567" w:right="261" w:hanging="0"/>
        <w:rPr>
          <w:rFonts w:eastAsia="Calibri"/>
          <w:b/>
          <w:b/>
          <w:bCs/>
          <w:iCs/>
        </w:rPr>
      </w:pPr>
      <w:r>
        <w:rPr>
          <w:rFonts w:eastAsia="Calibri"/>
          <w:b/>
          <w:bCs/>
          <w:iCs/>
        </w:rPr>
      </w:r>
    </w:p>
    <w:tbl>
      <w:tblPr>
        <w:tblW w:w="10405" w:type="dxa"/>
        <w:jc w:val="center"/>
        <w:tblInd w:w="0" w:type="dxa"/>
        <w:tblCellMar>
          <w:top w:w="80" w:type="dxa"/>
          <w:left w:w="80" w:type="dxa"/>
          <w:bottom w:w="80" w:type="dxa"/>
          <w:right w:w="80" w:type="dxa"/>
        </w:tblCellMar>
      </w:tblPr>
      <w:tblGrid>
        <w:gridCol w:w="10343"/>
        <w:gridCol w:w="47"/>
        <w:gridCol w:w="5"/>
        <w:gridCol w:w="10"/>
      </w:tblGrid>
      <w:tr>
        <w:trPr>
          <w:trHeight w:val="479" w:hRule="atLeast"/>
        </w:trPr>
        <w:tc>
          <w:tcPr>
            <w:tcW w:w="10405" w:type="dxa"/>
            <w:gridSpan w:val="2"/>
            <w:tcBorders>
              <w:top w:val="single" w:sz="6" w:space="0" w:color="000000"/>
              <w:left w:val="single" w:sz="6" w:space="0" w:color="000000"/>
              <w:bottom w:val="single" w:sz="4" w:space="0" w:color="000000"/>
              <w:right w:val="single" w:sz="6" w:space="0" w:color="000000"/>
            </w:tcBorders>
            <w:shd w:fill="000000" w:val="clear"/>
            <w:vAlign w:val="center"/>
          </w:tcPr>
          <w:p>
            <w:pPr>
              <w:pStyle w:val="Body"/>
              <w:spacing w:lineRule="auto" w:line="276"/>
              <w:ind w:left="0" w:right="261" w:hanging="0"/>
              <w:rPr>
                <w:rFonts w:eastAsia="Calibri"/>
                <w:b/>
                <w:b/>
                <w:bCs/>
                <w:color w:val="FFFFFF"/>
                <w:u w:val="none" w:color="FFFFFF"/>
              </w:rPr>
            </w:pPr>
            <w:r>
              <w:rPr>
                <w:rFonts w:eastAsia="Calibri"/>
                <w:b/>
                <w:bCs/>
                <w:color w:val="FFFFFF"/>
                <w:u w:val="none" w:color="FFFFFF"/>
              </w:rPr>
              <w:t xml:space="preserve">KEY RESPONSIBILITIES </w:t>
            </w:r>
          </w:p>
        </w:tc>
      </w:tr>
      <w:tr>
        <w:trPr>
          <w:trHeight w:val="739" w:hRule="atLeast"/>
        </w:trPr>
        <w:tc>
          <w:tcPr>
            <w:tcW w:w="10343" w:type="dxa"/>
            <w:tcBorders>
              <w:top w:val="single" w:sz="4" w:space="0" w:color="000000"/>
              <w:left w:val="single" w:sz="4" w:space="0" w:color="000000"/>
              <w:bottom w:val="single" w:sz="4" w:space="0" w:color="000000"/>
            </w:tcBorders>
            <w:shd w:fill="auto" w:val="clear"/>
            <w:tcMar>
              <w:top w:w="0" w:type="dxa"/>
              <w:left w:w="108" w:type="dxa"/>
              <w:bottom w:w="0" w:type="dxa"/>
              <w:right w:w="108" w:type="dxa"/>
            </w:tcMar>
            <w:vAlign w:val="center"/>
          </w:tcPr>
          <w:p>
            <w:pPr>
              <w:pStyle w:val="Normal"/>
              <w:spacing w:lineRule="auto" w:line="276"/>
              <w:ind w:left="0" w:right="670" w:hanging="0"/>
              <w:rPr>
                <w:rFonts w:ascii="Arial" w:hAnsi="Arial" w:cs="Arial"/>
                <w:b/>
                <w:b/>
                <w:bCs/>
              </w:rPr>
            </w:pPr>
            <w:r>
              <w:rPr>
                <w:rFonts w:cs="Arial" w:ascii="Arial" w:hAnsi="Arial"/>
                <w:b/>
                <w:bCs/>
              </w:rPr>
              <w:t>Operational Leadership &amp; Management</w:t>
            </w:r>
          </w:p>
          <w:p>
            <w:pPr>
              <w:pStyle w:val="Normal"/>
              <w:numPr>
                <w:ilvl w:val="0"/>
                <w:numId w:val="3"/>
              </w:numPr>
              <w:spacing w:lineRule="auto" w:line="276"/>
              <w:ind w:left="720" w:right="670" w:hanging="360"/>
              <w:rPr>
                <w:rFonts w:ascii="Arial" w:hAnsi="Arial" w:cs="Arial"/>
              </w:rPr>
            </w:pPr>
            <w:r>
              <w:rPr>
                <w:rFonts w:cs="Arial" w:ascii="Arial" w:hAnsi="Arial"/>
              </w:rPr>
              <w:t>Provide day</w:t>
              <w:noBreakHyphen/>
              <w:t>to</w:t>
              <w:noBreakHyphen/>
              <w:t>day operational management of the Service Desk function, ensuring effective supervision and performance of Team Leader and wider Service Desk staff.</w:t>
            </w:r>
          </w:p>
          <w:p>
            <w:pPr>
              <w:pStyle w:val="Normal"/>
              <w:numPr>
                <w:ilvl w:val="0"/>
                <w:numId w:val="3"/>
              </w:numPr>
              <w:spacing w:lineRule="auto" w:line="276"/>
              <w:ind w:left="720" w:right="670" w:hanging="360"/>
              <w:rPr>
                <w:rFonts w:ascii="Arial" w:hAnsi="Arial" w:cs="Arial"/>
              </w:rPr>
            </w:pPr>
            <w:r>
              <w:rPr>
                <w:rFonts w:cs="Arial" w:ascii="Arial" w:hAnsi="Arial"/>
              </w:rPr>
              <w:t>Ensure 24/7/365 support coverage is prioritised appropriately through effective rota design, workforce planning and resource allocation.</w:t>
            </w:r>
          </w:p>
          <w:p>
            <w:pPr>
              <w:pStyle w:val="Normal"/>
              <w:numPr>
                <w:ilvl w:val="0"/>
                <w:numId w:val="3"/>
              </w:numPr>
              <w:spacing w:lineRule="auto" w:line="276"/>
              <w:ind w:left="720" w:right="670" w:hanging="360"/>
              <w:rPr>
                <w:rFonts w:ascii="Arial" w:hAnsi="Arial" w:cs="Arial"/>
              </w:rPr>
            </w:pPr>
            <w:r>
              <w:rPr>
                <w:rFonts w:cs="Arial" w:ascii="Arial" w:hAnsi="Arial"/>
              </w:rPr>
              <w:t>Monitor and assure performance against SLAs, OLAs and KPIs, identifying trends, bottlenecks, and areas for continuous improvement.</w:t>
            </w:r>
          </w:p>
          <w:p>
            <w:pPr>
              <w:pStyle w:val="Normal"/>
              <w:numPr>
                <w:ilvl w:val="0"/>
                <w:numId w:val="3"/>
              </w:numPr>
              <w:spacing w:lineRule="auto" w:line="276"/>
              <w:ind w:left="720" w:right="670" w:hanging="360"/>
              <w:rPr>
                <w:rFonts w:ascii="Arial" w:hAnsi="Arial" w:cs="Arial"/>
              </w:rPr>
            </w:pPr>
            <w:r>
              <w:rPr>
                <w:rFonts w:cs="Arial" w:ascii="Arial" w:hAnsi="Arial"/>
              </w:rPr>
              <w:t>Support the Head of Digital Services in maintaining ITIL</w:t>
              <w:noBreakHyphen/>
              <w:t>aligned service management processes, including Incident, Request, Problem, Knowledge and Asset Management.</w:t>
            </w:r>
          </w:p>
          <w:p>
            <w:pPr>
              <w:pStyle w:val="Normal"/>
              <w:spacing w:lineRule="auto" w:line="276"/>
              <w:ind w:left="720" w:right="670" w:hanging="0"/>
              <w:rPr>
                <w:rFonts w:ascii="Arial" w:hAnsi="Arial" w:cs="Arial"/>
              </w:rPr>
            </w:pPr>
            <w:r>
              <w:rPr>
                <w:rFonts w:cs="Arial" w:ascii="Arial" w:hAnsi="Arial"/>
              </w:rPr>
            </w:r>
          </w:p>
          <w:p>
            <w:pPr>
              <w:pStyle w:val="Normal"/>
              <w:spacing w:lineRule="auto" w:line="276"/>
              <w:ind w:left="0" w:right="670" w:hanging="0"/>
              <w:rPr>
                <w:rFonts w:ascii="Arial" w:hAnsi="Arial" w:cs="Arial"/>
                <w:b/>
                <w:b/>
                <w:bCs/>
              </w:rPr>
            </w:pPr>
            <w:r>
              <w:rPr>
                <w:rFonts w:cs="Arial" w:ascii="Arial" w:hAnsi="Arial"/>
                <w:b/>
                <w:bCs/>
              </w:rPr>
              <w:t>Service Quality &amp; Continuous Improvement</w:t>
            </w:r>
          </w:p>
          <w:p>
            <w:pPr>
              <w:pStyle w:val="Normal"/>
              <w:numPr>
                <w:ilvl w:val="0"/>
                <w:numId w:val="4"/>
              </w:numPr>
              <w:spacing w:lineRule="auto" w:line="276"/>
              <w:ind w:left="720" w:right="670" w:hanging="360"/>
              <w:rPr>
                <w:rFonts w:ascii="Arial" w:hAnsi="Arial" w:cs="Arial"/>
              </w:rPr>
            </w:pPr>
            <w:r>
              <w:rPr>
                <w:rFonts w:cs="Arial" w:ascii="Arial" w:hAnsi="Arial"/>
              </w:rPr>
              <w:t>Lead initiatives to improve first</w:t>
              <w:noBreakHyphen/>
              <w:t>contact resolution rates, customer satisfaction, and service efficiency.</w:t>
            </w:r>
          </w:p>
          <w:p>
            <w:pPr>
              <w:pStyle w:val="Normal"/>
              <w:numPr>
                <w:ilvl w:val="0"/>
                <w:numId w:val="4"/>
              </w:numPr>
              <w:spacing w:lineRule="auto" w:line="276"/>
              <w:ind w:left="720" w:right="670" w:hanging="360"/>
              <w:rPr>
                <w:rFonts w:ascii="Arial" w:hAnsi="Arial" w:cs="Arial"/>
              </w:rPr>
            </w:pPr>
            <w:r>
              <w:rPr>
                <w:rFonts w:cs="Arial" w:ascii="Arial" w:hAnsi="Arial"/>
              </w:rPr>
              <w:t>Oversee quality assurance processes, including call monitoring, ticket audits, and knowledgebase governance.</w:t>
            </w:r>
          </w:p>
          <w:p>
            <w:pPr>
              <w:pStyle w:val="Normal"/>
              <w:numPr>
                <w:ilvl w:val="0"/>
                <w:numId w:val="4"/>
              </w:numPr>
              <w:spacing w:lineRule="auto" w:line="276"/>
              <w:ind w:left="720" w:right="670" w:hanging="360"/>
              <w:rPr>
                <w:rFonts w:ascii="Arial" w:hAnsi="Arial" w:cs="Arial"/>
              </w:rPr>
            </w:pPr>
            <w:r>
              <w:rPr>
                <w:rFonts w:cs="Arial" w:ascii="Arial" w:hAnsi="Arial"/>
              </w:rPr>
              <w:t>Drive improvements in data quality within the Service Desk system to ensure reliable reporting, forecasting and compliance.</w:t>
            </w:r>
          </w:p>
          <w:p>
            <w:pPr>
              <w:pStyle w:val="Normal"/>
              <w:numPr>
                <w:ilvl w:val="0"/>
                <w:numId w:val="4"/>
              </w:numPr>
              <w:spacing w:lineRule="auto" w:line="276"/>
              <w:ind w:left="720" w:right="670" w:hanging="360"/>
              <w:rPr>
                <w:rFonts w:ascii="Arial" w:hAnsi="Arial" w:cs="Arial"/>
              </w:rPr>
            </w:pPr>
            <w:r>
              <w:rPr>
                <w:rFonts w:cs="Arial" w:ascii="Arial" w:hAnsi="Arial"/>
              </w:rPr>
              <w:t>Lead on the development and implementation of new tools, technologies, and workflows to enhance service delivery.</w:t>
            </w:r>
          </w:p>
          <w:p>
            <w:pPr>
              <w:pStyle w:val="Normal"/>
              <w:spacing w:lineRule="auto" w:line="276"/>
              <w:ind w:left="720" w:right="670" w:hanging="0"/>
              <w:rPr>
                <w:rFonts w:ascii="Arial" w:hAnsi="Arial" w:cs="Arial"/>
              </w:rPr>
            </w:pPr>
            <w:r>
              <w:rPr>
                <w:rFonts w:cs="Arial" w:ascii="Arial" w:hAnsi="Arial"/>
              </w:rPr>
            </w:r>
          </w:p>
          <w:p>
            <w:pPr>
              <w:pStyle w:val="Normal"/>
              <w:spacing w:lineRule="auto" w:line="276"/>
              <w:ind w:left="0" w:right="670" w:hanging="0"/>
              <w:rPr>
                <w:rFonts w:ascii="Arial" w:hAnsi="Arial" w:cs="Arial"/>
                <w:b/>
                <w:b/>
                <w:bCs/>
              </w:rPr>
            </w:pPr>
            <w:r>
              <w:rPr>
                <w:rFonts w:cs="Arial" w:ascii="Arial" w:hAnsi="Arial"/>
                <w:b/>
                <w:bCs/>
              </w:rPr>
              <w:t>People Leadership &amp; Development</w:t>
            </w:r>
          </w:p>
          <w:p>
            <w:pPr>
              <w:pStyle w:val="Normal"/>
              <w:numPr>
                <w:ilvl w:val="0"/>
                <w:numId w:val="5"/>
              </w:numPr>
              <w:spacing w:lineRule="auto" w:line="276"/>
              <w:ind w:left="720" w:right="670" w:hanging="360"/>
              <w:rPr>
                <w:rFonts w:ascii="Arial" w:hAnsi="Arial" w:cs="Arial"/>
              </w:rPr>
            </w:pPr>
            <w:r>
              <w:rPr>
                <w:rFonts w:cs="Arial" w:ascii="Arial" w:hAnsi="Arial"/>
              </w:rPr>
              <w:t>Provide strong, supportive leadership for Service Desk Team, coaching them to develop effective supervisory and performance management skills.</w:t>
            </w:r>
          </w:p>
          <w:p>
            <w:pPr>
              <w:pStyle w:val="Normal"/>
              <w:numPr>
                <w:ilvl w:val="0"/>
                <w:numId w:val="5"/>
              </w:numPr>
              <w:spacing w:lineRule="auto" w:line="276"/>
              <w:ind w:left="720" w:right="670" w:hanging="360"/>
              <w:rPr>
                <w:rFonts w:ascii="Arial" w:hAnsi="Arial" w:cs="Arial"/>
              </w:rPr>
            </w:pPr>
            <w:r>
              <w:rPr>
                <w:rFonts w:cs="Arial" w:ascii="Arial" w:hAnsi="Arial"/>
              </w:rPr>
              <w:t>Lead recruitment, induction, and ongoing development for the Service Desk Team.</w:t>
            </w:r>
          </w:p>
          <w:p>
            <w:pPr>
              <w:pStyle w:val="Normal"/>
              <w:numPr>
                <w:ilvl w:val="0"/>
                <w:numId w:val="5"/>
              </w:numPr>
              <w:spacing w:lineRule="auto" w:line="276"/>
              <w:ind w:left="720" w:right="670" w:hanging="360"/>
              <w:rPr>
                <w:rFonts w:ascii="Arial" w:hAnsi="Arial" w:cs="Arial"/>
              </w:rPr>
            </w:pPr>
            <w:r>
              <w:rPr>
                <w:rFonts w:cs="Arial" w:ascii="Arial" w:hAnsi="Arial"/>
              </w:rPr>
              <w:t>Manage informal and formal HR processes where required, including attendance, conduct, capability and wellbeing support.</w:t>
            </w:r>
          </w:p>
          <w:p>
            <w:pPr>
              <w:pStyle w:val="Normal"/>
              <w:numPr>
                <w:ilvl w:val="0"/>
                <w:numId w:val="5"/>
              </w:numPr>
              <w:spacing w:lineRule="auto" w:line="276"/>
              <w:ind w:left="720" w:right="670" w:hanging="360"/>
              <w:rPr>
                <w:rFonts w:ascii="Arial" w:hAnsi="Arial" w:cs="Arial"/>
              </w:rPr>
            </w:pPr>
            <w:r>
              <w:rPr>
                <w:rFonts w:cs="Arial" w:ascii="Arial" w:hAnsi="Arial"/>
              </w:rPr>
              <w:t>Foster a positive, inclusive and high</w:t>
              <w:noBreakHyphen/>
              <w:t>performing team culture.</w:t>
            </w:r>
          </w:p>
          <w:p>
            <w:pPr>
              <w:pStyle w:val="Normal"/>
              <w:spacing w:lineRule="auto" w:line="276"/>
              <w:ind w:left="720" w:right="670" w:hanging="0"/>
              <w:rPr>
                <w:rFonts w:ascii="Arial" w:hAnsi="Arial" w:cs="Arial"/>
              </w:rPr>
            </w:pPr>
            <w:r>
              <w:rPr>
                <w:rFonts w:cs="Arial" w:ascii="Arial" w:hAnsi="Arial"/>
              </w:rPr>
            </w:r>
          </w:p>
          <w:p>
            <w:pPr>
              <w:pStyle w:val="Normal"/>
              <w:spacing w:lineRule="auto" w:line="276"/>
              <w:ind w:left="0" w:right="670" w:hanging="0"/>
              <w:rPr>
                <w:rFonts w:ascii="Arial" w:hAnsi="Arial" w:cs="Arial"/>
                <w:b/>
                <w:b/>
                <w:bCs/>
              </w:rPr>
            </w:pPr>
            <w:r>
              <w:rPr>
                <w:rFonts w:cs="Arial" w:ascii="Arial" w:hAnsi="Arial"/>
                <w:b/>
                <w:bCs/>
              </w:rPr>
              <w:t>Stakeholder &amp; Customer Engagement</w:t>
            </w:r>
          </w:p>
          <w:p>
            <w:pPr>
              <w:pStyle w:val="Normal"/>
              <w:numPr>
                <w:ilvl w:val="0"/>
                <w:numId w:val="6"/>
              </w:numPr>
              <w:spacing w:lineRule="auto" w:line="276"/>
              <w:ind w:left="720" w:right="670" w:hanging="360"/>
              <w:rPr>
                <w:rFonts w:ascii="Arial" w:hAnsi="Arial" w:cs="Arial"/>
              </w:rPr>
            </w:pPr>
            <w:r>
              <w:rPr>
                <w:rFonts w:cs="Arial" w:ascii="Arial" w:hAnsi="Arial"/>
              </w:rPr>
              <w:t>Act as an escalation point for complex or high</w:t>
              <w:noBreakHyphen/>
              <w:t>priority incidents and service issues, ensuring clear communication and timely resolution.</w:t>
            </w:r>
          </w:p>
          <w:p>
            <w:pPr>
              <w:pStyle w:val="Normal"/>
              <w:numPr>
                <w:ilvl w:val="0"/>
                <w:numId w:val="6"/>
              </w:numPr>
              <w:spacing w:lineRule="auto" w:line="276"/>
              <w:ind w:left="720" w:right="670" w:hanging="360"/>
              <w:rPr>
                <w:rFonts w:ascii="Arial" w:hAnsi="Arial" w:cs="Arial"/>
              </w:rPr>
            </w:pPr>
            <w:r>
              <w:rPr>
                <w:rFonts w:cs="Arial" w:ascii="Arial" w:hAnsi="Arial"/>
              </w:rPr>
              <w:t>Build strong relationships with internal teams and external partners to ensure effective collaboration and alignment of service priorities.</w:t>
            </w:r>
          </w:p>
          <w:p>
            <w:pPr>
              <w:pStyle w:val="Normal"/>
              <w:numPr>
                <w:ilvl w:val="0"/>
                <w:numId w:val="6"/>
              </w:numPr>
              <w:spacing w:lineRule="auto" w:line="276"/>
              <w:ind w:left="720" w:right="670" w:hanging="360"/>
              <w:rPr>
                <w:rFonts w:ascii="Arial" w:hAnsi="Arial" w:cs="Arial"/>
              </w:rPr>
            </w:pPr>
            <w:r>
              <w:rPr>
                <w:rFonts w:cs="Arial" w:ascii="Arial" w:hAnsi="Arial"/>
              </w:rPr>
              <w:t>Provide insight and reporting to senior managers on service performance, risks, and improvement opportunities.</w:t>
            </w:r>
          </w:p>
          <w:p>
            <w:pPr>
              <w:pStyle w:val="Normal"/>
              <w:spacing w:lineRule="auto" w:line="276"/>
              <w:ind w:left="720" w:right="670" w:hanging="0"/>
              <w:rPr>
                <w:rFonts w:ascii="Arial" w:hAnsi="Arial" w:cs="Arial"/>
              </w:rPr>
            </w:pPr>
            <w:r>
              <w:rPr>
                <w:rFonts w:cs="Arial" w:ascii="Arial" w:hAnsi="Arial"/>
              </w:rPr>
            </w:r>
          </w:p>
          <w:p>
            <w:pPr>
              <w:pStyle w:val="Normal"/>
              <w:spacing w:lineRule="auto" w:line="276"/>
              <w:ind w:left="0" w:right="670" w:hanging="0"/>
              <w:rPr>
                <w:rFonts w:ascii="Arial" w:hAnsi="Arial" w:cs="Arial"/>
                <w:b/>
                <w:b/>
                <w:bCs/>
              </w:rPr>
            </w:pPr>
            <w:r>
              <w:rPr>
                <w:rFonts w:cs="Arial" w:ascii="Arial" w:hAnsi="Arial"/>
                <w:b/>
                <w:bCs/>
              </w:rPr>
              <w:t>Technical &amp; Service Delivery Responsibilities</w:t>
            </w:r>
          </w:p>
          <w:p>
            <w:pPr>
              <w:pStyle w:val="Normal"/>
              <w:numPr>
                <w:ilvl w:val="0"/>
                <w:numId w:val="7"/>
              </w:numPr>
              <w:spacing w:lineRule="auto" w:line="276"/>
              <w:ind w:left="720" w:right="670" w:hanging="360"/>
              <w:rPr>
                <w:rFonts w:ascii="Arial" w:hAnsi="Arial" w:cs="Arial"/>
              </w:rPr>
            </w:pPr>
            <w:r>
              <w:rPr>
                <w:rFonts w:cs="Arial" w:ascii="Arial" w:hAnsi="Arial"/>
              </w:rPr>
              <w:t>Maintain an in</w:t>
              <w:noBreakHyphen/>
              <w:t>depth understanding of key technologies used within GMFRS / GMCA and the Service Desk function.</w:t>
            </w:r>
          </w:p>
          <w:p>
            <w:pPr>
              <w:pStyle w:val="Normal"/>
              <w:numPr>
                <w:ilvl w:val="0"/>
                <w:numId w:val="7"/>
              </w:numPr>
              <w:spacing w:lineRule="auto" w:line="276"/>
              <w:ind w:left="720" w:right="670" w:hanging="360"/>
              <w:rPr>
                <w:rFonts w:ascii="Arial" w:hAnsi="Arial" w:cs="Arial"/>
              </w:rPr>
            </w:pPr>
            <w:r>
              <w:rPr>
                <w:rFonts w:cs="Arial" w:ascii="Arial" w:hAnsi="Arial"/>
              </w:rPr>
              <w:t>Oversee the asset lifecycle, ensuring accurate records and timely replacement of equipment.</w:t>
            </w:r>
          </w:p>
          <w:p>
            <w:pPr>
              <w:pStyle w:val="Normal"/>
              <w:numPr>
                <w:ilvl w:val="0"/>
                <w:numId w:val="7"/>
              </w:numPr>
              <w:spacing w:lineRule="auto" w:line="276"/>
              <w:ind w:left="720" w:right="670" w:hanging="360"/>
              <w:rPr>
                <w:rFonts w:ascii="Arial" w:hAnsi="Arial" w:cs="Arial"/>
              </w:rPr>
            </w:pPr>
            <w:r>
              <w:rPr>
                <w:rFonts w:cs="Arial" w:ascii="Arial" w:hAnsi="Arial"/>
              </w:rPr>
              <w:t>Support technical escalations where required and ensure effective coordination between 1st, 2nd and 3rd</w:t>
              <w:noBreakHyphen/>
              <w:t>line teams.</w:t>
            </w:r>
          </w:p>
          <w:p>
            <w:pPr>
              <w:pStyle w:val="Normal"/>
              <w:spacing w:lineRule="auto" w:line="276"/>
              <w:ind w:left="720" w:right="670" w:hanging="0"/>
              <w:rPr>
                <w:rFonts w:ascii="Arial" w:hAnsi="Arial" w:cs="Arial"/>
              </w:rPr>
            </w:pPr>
            <w:r>
              <w:rPr>
                <w:rFonts w:cs="Arial" w:ascii="Arial" w:hAnsi="Arial"/>
              </w:rPr>
            </w:r>
          </w:p>
          <w:p>
            <w:pPr>
              <w:pStyle w:val="Normal"/>
              <w:spacing w:lineRule="auto" w:line="276"/>
              <w:ind w:left="0" w:right="670" w:hanging="0"/>
              <w:rPr>
                <w:rFonts w:ascii="Arial" w:hAnsi="Arial" w:cs="Arial"/>
                <w:b/>
                <w:b/>
                <w:bCs/>
              </w:rPr>
            </w:pPr>
            <w:r>
              <w:rPr>
                <w:rFonts w:cs="Arial" w:ascii="Arial" w:hAnsi="Arial"/>
                <w:b/>
                <w:bCs/>
              </w:rPr>
              <w:t>Governance, Compliance &amp; Risk</w:t>
            </w:r>
          </w:p>
          <w:p>
            <w:pPr>
              <w:pStyle w:val="Normal"/>
              <w:numPr>
                <w:ilvl w:val="0"/>
                <w:numId w:val="8"/>
              </w:numPr>
              <w:spacing w:lineRule="auto" w:line="276"/>
              <w:ind w:left="720" w:right="670" w:hanging="360"/>
              <w:rPr>
                <w:rFonts w:ascii="Arial" w:hAnsi="Arial" w:cs="Arial"/>
              </w:rPr>
            </w:pPr>
            <w:r>
              <w:rPr>
                <w:rFonts w:cs="Arial" w:ascii="Arial" w:hAnsi="Arial"/>
              </w:rPr>
              <w:t>Ensure compliance with all GMCA/GMFRS policies, including data protection, information security, health and safety, and equalities.</w:t>
            </w:r>
          </w:p>
          <w:p>
            <w:pPr>
              <w:pStyle w:val="Normal"/>
              <w:numPr>
                <w:ilvl w:val="0"/>
                <w:numId w:val="8"/>
              </w:numPr>
              <w:spacing w:lineRule="auto" w:line="276"/>
              <w:ind w:left="720" w:right="670" w:hanging="360"/>
              <w:rPr>
                <w:rFonts w:ascii="Arial" w:hAnsi="Arial" w:cs="Arial"/>
              </w:rPr>
            </w:pPr>
            <w:r>
              <w:rPr>
                <w:rFonts w:cs="Arial" w:ascii="Arial" w:hAnsi="Arial"/>
              </w:rPr>
              <w:t>Maintain oversight of hardware/software inventories, ensuring security and audit requirements are met.</w:t>
            </w:r>
          </w:p>
          <w:p>
            <w:pPr>
              <w:pStyle w:val="Normal"/>
              <w:numPr>
                <w:ilvl w:val="0"/>
                <w:numId w:val="8"/>
              </w:numPr>
              <w:spacing w:lineRule="auto" w:line="276"/>
              <w:ind w:left="720" w:right="670" w:hanging="360"/>
              <w:rPr>
                <w:rFonts w:ascii="Arial" w:hAnsi="Arial" w:cs="Arial"/>
              </w:rPr>
            </w:pPr>
            <w:r>
              <w:rPr>
                <w:rFonts w:cs="Arial" w:ascii="Arial" w:hAnsi="Arial"/>
              </w:rPr>
              <w:t>Identify and escalate operational risks, proposing mitigations where appropriate.</w:t>
            </w:r>
          </w:p>
        </w:tc>
        <w:tc>
          <w:tcPr>
            <w:tcW w:w="47" w:type="dxa"/>
            <w:tcBorders>
              <w:left w:val="single" w:sz="6" w:space="0" w:color="000000"/>
            </w:tcBorders>
            <w:shd w:fill="auto" w:val="clear"/>
            <w:tcMar>
              <w:top w:w="0" w:type="dxa"/>
              <w:left w:w="108" w:type="dxa"/>
              <w:bottom w:w="0" w:type="dxa"/>
              <w:right w:w="108" w:type="dxa"/>
            </w:tcMar>
          </w:tcPr>
          <w:p>
            <w:pPr>
              <w:pStyle w:val="Normal"/>
              <w:snapToGrid w:val="false"/>
              <w:rPr/>
            </w:pPr>
            <w:r>
              <w:rPr/>
            </w:r>
          </w:p>
        </w:tc>
      </w:tr>
      <w:tr>
        <w:trPr>
          <w:trHeight w:val="180" w:hRule="atLeast"/>
        </w:trPr>
        <w:tc>
          <w:tcPr>
            <w:tcW w:w="10395" w:type="dxa"/>
            <w:gridSpan w:val="2"/>
            <w:tcBorders>
              <w:top w:val="single" w:sz="2" w:space="0" w:color="000000"/>
              <w:left w:val="single" w:sz="2" w:space="0" w:color="000000"/>
              <w:bottom w:val="single" w:sz="2" w:space="0" w:color="000000"/>
              <w:right w:val="single" w:sz="2" w:space="0" w:color="000000"/>
            </w:tcBorders>
            <w:shd w:fill="000000" w:val="clear"/>
            <w:vAlign w:val="center"/>
          </w:tcPr>
          <w:p>
            <w:pPr>
              <w:pStyle w:val="Body"/>
              <w:spacing w:lineRule="auto" w:line="276"/>
              <w:ind w:left="18" w:right="261" w:hanging="0"/>
              <w:rPr>
                <w:rFonts w:eastAsia="Calibri"/>
                <w:b/>
                <w:b/>
                <w:bCs/>
                <w:color w:val="FFFFFF"/>
                <w:u w:val="none" w:color="FFFFFF"/>
              </w:rPr>
            </w:pPr>
            <w:r>
              <w:rPr>
                <w:rFonts w:eastAsia="Calibri"/>
                <w:b/>
                <w:bCs/>
                <w:color w:val="FFFFFF"/>
                <w:u w:val="none" w:color="FFFFFF"/>
              </w:rPr>
              <w:t>KNOWLEDGE, SKILLS, AND EXPERIENCE</w:t>
            </w:r>
          </w:p>
        </w:tc>
      </w:tr>
      <w:tr>
        <w:trPr>
          <w:trHeight w:val="3467" w:hRule="atLeast"/>
        </w:trPr>
        <w:tc>
          <w:tcPr>
            <w:tcW w:w="10395" w:type="dxa"/>
            <w:gridSpan w:val="2"/>
            <w:tcBorders>
              <w:top w:val="single" w:sz="2" w:space="0" w:color="000000"/>
              <w:left w:val="single" w:sz="2" w:space="0" w:color="000000"/>
              <w:bottom w:val="single" w:sz="2" w:space="0" w:color="000000"/>
              <w:right w:val="single" w:sz="2" w:space="0" w:color="000000"/>
            </w:tcBorders>
            <w:shd w:fill="auto" w:val="clear"/>
            <w:tcMar>
              <w:left w:w="363" w:type="dxa"/>
            </w:tcMar>
            <w:vAlign w:val="center"/>
          </w:tcPr>
          <w:p>
            <w:pPr>
              <w:pStyle w:val="Normal"/>
              <w:widowControl w:val="false"/>
              <w:spacing w:lineRule="auto" w:line="276" w:before="240" w:after="0"/>
              <w:rPr>
                <w:rFonts w:ascii="Arial" w:hAnsi="Arial" w:eastAsia="Times New Roman" w:cs="Arial"/>
                <w:b/>
                <w:b/>
                <w:bCs/>
                <w:lang w:eastAsia="en-GB"/>
              </w:rPr>
            </w:pPr>
            <w:r>
              <w:rPr>
                <w:rFonts w:eastAsia="Times New Roman" w:cs="Arial" w:ascii="Arial" w:hAnsi="Arial"/>
                <w:b/>
                <w:bCs/>
                <w:lang w:eastAsia="en-GB"/>
              </w:rPr>
              <w:t>Essential</w:t>
            </w:r>
          </w:p>
          <w:p>
            <w:pPr>
              <w:pStyle w:val="Normal"/>
              <w:widowControl w:val="false"/>
              <w:numPr>
                <w:ilvl w:val="0"/>
                <w:numId w:val="9"/>
              </w:numPr>
              <w:spacing w:lineRule="auto" w:line="276"/>
              <w:rPr>
                <w:rFonts w:ascii="Arial" w:hAnsi="Arial" w:eastAsia="Times New Roman" w:cs="Arial"/>
                <w:bCs/>
                <w:lang w:eastAsia="en-GB"/>
              </w:rPr>
            </w:pPr>
            <w:r>
              <w:rPr>
                <w:rFonts w:eastAsia="Times New Roman" w:cs="Arial" w:ascii="Arial" w:hAnsi="Arial"/>
                <w:bCs/>
                <w:lang w:eastAsia="en-GB"/>
              </w:rPr>
              <w:t>Proven experience of leading or supervising ICT support teams in a complex, multi</w:t>
              <w:noBreakHyphen/>
              <w:t>site environment.</w:t>
            </w:r>
          </w:p>
          <w:p>
            <w:pPr>
              <w:pStyle w:val="Normal"/>
              <w:widowControl w:val="false"/>
              <w:numPr>
                <w:ilvl w:val="0"/>
                <w:numId w:val="9"/>
              </w:numPr>
              <w:spacing w:lineRule="auto" w:line="276"/>
              <w:rPr>
                <w:rFonts w:ascii="Arial" w:hAnsi="Arial" w:eastAsia="Times New Roman" w:cs="Arial"/>
                <w:bCs/>
                <w:lang w:eastAsia="en-GB"/>
              </w:rPr>
            </w:pPr>
            <w:r>
              <w:rPr>
                <w:rFonts w:eastAsia="Times New Roman" w:cs="Arial" w:ascii="Arial" w:hAnsi="Arial"/>
                <w:bCs/>
                <w:lang w:eastAsia="en-GB"/>
              </w:rPr>
              <w:t>ITIL Foundation or higher</w:t>
              <w:noBreakHyphen/>
              <w:t>level certification.</w:t>
            </w:r>
          </w:p>
          <w:p>
            <w:pPr>
              <w:pStyle w:val="Normal"/>
              <w:widowControl w:val="false"/>
              <w:numPr>
                <w:ilvl w:val="0"/>
                <w:numId w:val="9"/>
              </w:numPr>
              <w:spacing w:lineRule="auto" w:line="276"/>
              <w:rPr>
                <w:rFonts w:ascii="Arial" w:hAnsi="Arial" w:eastAsia="Times New Roman" w:cs="Arial"/>
                <w:bCs/>
                <w:lang w:eastAsia="en-GB"/>
              </w:rPr>
            </w:pPr>
            <w:r>
              <w:rPr>
                <w:rFonts w:eastAsia="Times New Roman" w:cs="Arial" w:ascii="Arial" w:hAnsi="Arial"/>
                <w:bCs/>
                <w:lang w:eastAsia="en-GB"/>
              </w:rPr>
              <w:t>Strong understanding of ITIL service management principles and practical experience applying them.</w:t>
            </w:r>
          </w:p>
          <w:p>
            <w:pPr>
              <w:pStyle w:val="Normal"/>
              <w:widowControl w:val="false"/>
              <w:numPr>
                <w:ilvl w:val="0"/>
                <w:numId w:val="9"/>
              </w:numPr>
              <w:spacing w:lineRule="auto" w:line="276"/>
              <w:rPr>
                <w:rFonts w:ascii="Arial" w:hAnsi="Arial" w:eastAsia="Times New Roman" w:cs="Arial"/>
                <w:bCs/>
                <w:lang w:eastAsia="en-GB"/>
              </w:rPr>
            </w:pPr>
            <w:r>
              <w:rPr>
                <w:rFonts w:eastAsia="Times New Roman" w:cs="Arial" w:ascii="Arial" w:hAnsi="Arial"/>
                <w:bCs/>
                <w:lang w:eastAsia="en-GB"/>
              </w:rPr>
              <w:t>Excellent communication, customer service and problem</w:t>
              <w:noBreakHyphen/>
              <w:t>solving skills.</w:t>
            </w:r>
          </w:p>
          <w:p>
            <w:pPr>
              <w:pStyle w:val="Normal"/>
              <w:widowControl w:val="false"/>
              <w:numPr>
                <w:ilvl w:val="0"/>
                <w:numId w:val="9"/>
              </w:numPr>
              <w:spacing w:lineRule="auto" w:line="276"/>
              <w:rPr>
                <w:rFonts w:ascii="Arial" w:hAnsi="Arial" w:eastAsia="Times New Roman" w:cs="Arial"/>
                <w:bCs/>
                <w:lang w:eastAsia="en-GB"/>
              </w:rPr>
            </w:pPr>
            <w:r>
              <w:rPr>
                <w:rFonts w:eastAsia="Times New Roman" w:cs="Arial" w:ascii="Arial" w:hAnsi="Arial"/>
                <w:bCs/>
                <w:lang w:eastAsia="en-GB"/>
              </w:rPr>
              <w:t>Experience delivering against SLAs, improving service performance and managing operational KPIs.</w:t>
            </w:r>
          </w:p>
          <w:p>
            <w:pPr>
              <w:pStyle w:val="Normal"/>
              <w:widowControl w:val="false"/>
              <w:numPr>
                <w:ilvl w:val="0"/>
                <w:numId w:val="9"/>
              </w:numPr>
              <w:spacing w:lineRule="auto" w:line="276"/>
              <w:rPr>
                <w:rFonts w:ascii="Arial" w:hAnsi="Arial" w:eastAsia="Times New Roman" w:cs="Arial"/>
                <w:bCs/>
                <w:lang w:eastAsia="en-GB"/>
              </w:rPr>
            </w:pPr>
            <w:r>
              <w:rPr>
                <w:rFonts w:eastAsia="Times New Roman" w:cs="Arial" w:ascii="Arial" w:hAnsi="Arial"/>
                <w:bCs/>
                <w:lang w:eastAsia="en-GB"/>
              </w:rPr>
              <w:t>Ability to manage multiple priorities in a high</w:t>
              <w:noBreakHyphen/>
              <w:t>pressure, fast</w:t>
              <w:noBreakHyphen/>
              <w:t>paced environment.</w:t>
            </w:r>
          </w:p>
          <w:p>
            <w:pPr>
              <w:pStyle w:val="Normal"/>
              <w:widowControl w:val="false"/>
              <w:numPr>
                <w:ilvl w:val="0"/>
                <w:numId w:val="9"/>
              </w:numPr>
              <w:spacing w:lineRule="auto" w:line="276"/>
              <w:rPr>
                <w:rFonts w:ascii="Arial" w:hAnsi="Arial" w:eastAsia="Times New Roman" w:cs="Arial"/>
                <w:bCs/>
                <w:lang w:eastAsia="en-GB"/>
              </w:rPr>
            </w:pPr>
            <w:r>
              <w:rPr>
                <w:rFonts w:eastAsia="Times New Roman" w:cs="Arial" w:ascii="Arial" w:hAnsi="Arial"/>
                <w:bCs/>
                <w:lang w:eastAsia="en-GB"/>
              </w:rPr>
              <w:t>Demonstrable experience in developing others through coaching, supervision and feedback.</w:t>
            </w:r>
          </w:p>
          <w:p>
            <w:pPr>
              <w:pStyle w:val="Normal"/>
              <w:widowControl w:val="false"/>
              <w:numPr>
                <w:ilvl w:val="0"/>
                <w:numId w:val="9"/>
              </w:numPr>
              <w:spacing w:lineRule="auto" w:line="276"/>
              <w:rPr>
                <w:rFonts w:ascii="Arial" w:hAnsi="Arial" w:eastAsia="Times New Roman" w:cs="Arial"/>
                <w:bCs/>
                <w:lang w:eastAsia="en-GB"/>
              </w:rPr>
            </w:pPr>
            <w:r>
              <w:rPr>
                <w:rFonts w:eastAsia="Times New Roman" w:cs="Arial" w:ascii="Arial" w:hAnsi="Arial"/>
                <w:bCs/>
                <w:lang w:eastAsia="en-GB"/>
              </w:rPr>
              <w:t>Strong organisational skills with the ability to oversee rotas, resources and workloads.</w:t>
            </w:r>
          </w:p>
          <w:p>
            <w:pPr>
              <w:pStyle w:val="Normal"/>
              <w:widowControl w:val="false"/>
              <w:spacing w:lineRule="auto" w:line="276" w:before="240" w:after="0"/>
              <w:rPr>
                <w:rFonts w:ascii="Arial" w:hAnsi="Arial" w:eastAsia="Times New Roman" w:cs="Arial"/>
                <w:b/>
                <w:b/>
                <w:bCs/>
                <w:lang w:eastAsia="en-GB"/>
              </w:rPr>
            </w:pPr>
            <w:r>
              <w:rPr>
                <w:rFonts w:eastAsia="Times New Roman" w:cs="Arial" w:ascii="Arial" w:hAnsi="Arial"/>
                <w:b/>
                <w:bCs/>
                <w:lang w:eastAsia="en-GB"/>
              </w:rPr>
              <w:t>Desirable</w:t>
            </w:r>
          </w:p>
          <w:p>
            <w:pPr>
              <w:pStyle w:val="Normal"/>
              <w:widowControl w:val="false"/>
              <w:numPr>
                <w:ilvl w:val="0"/>
                <w:numId w:val="9"/>
              </w:numPr>
              <w:spacing w:lineRule="auto" w:line="276"/>
              <w:rPr>
                <w:rFonts w:ascii="Arial" w:hAnsi="Arial" w:eastAsia="Times New Roman" w:cs="Arial"/>
                <w:bCs/>
                <w:lang w:eastAsia="en-GB"/>
              </w:rPr>
            </w:pPr>
            <w:r>
              <w:rPr>
                <w:rFonts w:eastAsia="Times New Roman" w:cs="Arial" w:ascii="Arial" w:hAnsi="Arial"/>
                <w:bCs/>
                <w:lang w:eastAsia="en-GB"/>
              </w:rPr>
              <w:t>Experience working within emergency services, local government or similar high</w:t>
              <w:noBreakHyphen/>
              <w:t>demand environments.</w:t>
            </w:r>
          </w:p>
          <w:p>
            <w:pPr>
              <w:pStyle w:val="Normal"/>
              <w:widowControl w:val="false"/>
              <w:numPr>
                <w:ilvl w:val="0"/>
                <w:numId w:val="9"/>
              </w:numPr>
              <w:spacing w:lineRule="auto" w:line="276"/>
              <w:rPr>
                <w:rFonts w:ascii="Arial" w:hAnsi="Arial" w:eastAsia="Times New Roman" w:cs="Arial"/>
                <w:bCs/>
                <w:lang w:eastAsia="en-GB"/>
              </w:rPr>
            </w:pPr>
            <w:r>
              <w:rPr>
                <w:rFonts w:eastAsia="Times New Roman" w:cs="Arial" w:ascii="Arial" w:hAnsi="Arial"/>
                <w:bCs/>
                <w:lang w:eastAsia="en-GB"/>
              </w:rPr>
              <w:t>Knowledge of ServiceNow or other enterprise ITSM platforms.</w:t>
            </w:r>
          </w:p>
          <w:p>
            <w:pPr>
              <w:pStyle w:val="Normal"/>
              <w:widowControl w:val="false"/>
              <w:numPr>
                <w:ilvl w:val="0"/>
                <w:numId w:val="9"/>
              </w:numPr>
              <w:spacing w:lineRule="auto" w:line="276"/>
              <w:rPr>
                <w:rFonts w:ascii="Arial" w:hAnsi="Arial" w:eastAsia="Times New Roman" w:cs="Arial"/>
                <w:bCs/>
                <w:lang w:eastAsia="en-GB"/>
              </w:rPr>
            </w:pPr>
            <w:r>
              <w:rPr>
                <w:rFonts w:eastAsia="Times New Roman" w:cs="Arial" w:ascii="Arial" w:hAnsi="Arial"/>
                <w:bCs/>
                <w:lang w:eastAsia="en-GB"/>
              </w:rPr>
              <w:t>Experience contributing to digital transformation or large</w:t>
              <w:noBreakHyphen/>
              <w:t>scale ICT improvement programmes.</w:t>
            </w:r>
          </w:p>
          <w:p>
            <w:pPr>
              <w:pStyle w:val="Normal"/>
              <w:widowControl w:val="false"/>
              <w:spacing w:lineRule="auto" w:line="276" w:before="240" w:after="0"/>
              <w:rPr>
                <w:rFonts w:ascii="Arial" w:hAnsi="Arial" w:eastAsia="Times New Roman" w:cs="Arial"/>
                <w:b/>
                <w:b/>
                <w:bCs/>
                <w:lang w:eastAsia="en-GB"/>
              </w:rPr>
            </w:pPr>
            <w:r>
              <w:rPr>
                <w:rFonts w:eastAsia="Times New Roman" w:cs="Arial" w:ascii="Arial" w:hAnsi="Arial"/>
                <w:b/>
                <w:bCs/>
                <w:lang w:eastAsia="en-GB"/>
              </w:rPr>
              <w:t>Other Requirements</w:t>
            </w:r>
          </w:p>
          <w:p>
            <w:pPr>
              <w:pStyle w:val="Normal"/>
              <w:widowControl w:val="false"/>
              <w:numPr>
                <w:ilvl w:val="0"/>
                <w:numId w:val="9"/>
              </w:numPr>
              <w:spacing w:lineRule="auto" w:line="276"/>
              <w:rPr>
                <w:rFonts w:ascii="Arial" w:hAnsi="Arial" w:eastAsia="Times New Roman" w:cs="Arial"/>
                <w:bCs/>
                <w:lang w:eastAsia="en-GB"/>
              </w:rPr>
            </w:pPr>
            <w:r>
              <w:rPr>
                <w:rFonts w:eastAsia="Times New Roman" w:cs="Arial" w:ascii="Arial" w:hAnsi="Arial"/>
                <w:bCs/>
                <w:lang w:eastAsia="en-GB"/>
              </w:rPr>
              <w:t>May need to work flexibly including occasional out</w:t>
              <w:noBreakHyphen/>
              <w:t>of</w:t>
              <w:noBreakHyphen/>
              <w:t>hours work to support organisational needs.</w:t>
            </w:r>
          </w:p>
          <w:p>
            <w:pPr>
              <w:pStyle w:val="Normal"/>
              <w:widowControl w:val="false"/>
              <w:numPr>
                <w:ilvl w:val="0"/>
                <w:numId w:val="9"/>
              </w:numPr>
              <w:spacing w:lineRule="auto" w:line="276"/>
              <w:rPr>
                <w:rFonts w:ascii="Arial" w:hAnsi="Arial" w:eastAsia="Times New Roman" w:cs="Arial"/>
                <w:bCs/>
                <w:lang w:eastAsia="en-GB"/>
              </w:rPr>
            </w:pPr>
            <w:r>
              <w:rPr>
                <w:rFonts w:eastAsia="Times New Roman" w:cs="Arial" w:ascii="Arial" w:hAnsi="Arial"/>
                <w:bCs/>
                <w:lang w:eastAsia="en-GB"/>
              </w:rPr>
              <w:t>Commitment to ongoing personal and professional development.</w:t>
            </w:r>
          </w:p>
          <w:p>
            <w:pPr>
              <w:pStyle w:val="Normal"/>
              <w:widowControl w:val="false"/>
              <w:numPr>
                <w:ilvl w:val="0"/>
                <w:numId w:val="9"/>
              </w:numPr>
              <w:spacing w:lineRule="auto" w:line="276"/>
              <w:rPr>
                <w:rFonts w:ascii="Arial" w:hAnsi="Arial" w:eastAsia="Times New Roman" w:cs="Arial"/>
                <w:bCs/>
                <w:lang w:eastAsia="en-GB"/>
              </w:rPr>
            </w:pPr>
            <w:r>
              <w:rPr>
                <w:rFonts w:eastAsia="Times New Roman" w:cs="Arial" w:ascii="Arial" w:hAnsi="Arial"/>
                <w:bCs/>
                <w:lang w:eastAsia="en-GB"/>
              </w:rPr>
              <w:t>Full adherence to GMCA/GMFRS corporate duties, confidentiality, data protection, health and safety, and equalities obligations.</w:t>
            </w:r>
          </w:p>
          <w:p>
            <w:pPr>
              <w:pStyle w:val="Normal"/>
              <w:widowControl w:val="false"/>
              <w:spacing w:lineRule="auto" w:line="276" w:before="240" w:after="0"/>
              <w:rPr>
                <w:rFonts w:ascii="Arial" w:hAnsi="Arial" w:eastAsia="Times New Roman" w:cs="Arial"/>
                <w:bCs/>
                <w:lang w:eastAsia="en-GB"/>
              </w:rPr>
            </w:pPr>
            <w:r>
              <w:rPr>
                <w:rFonts w:eastAsia="Times New Roman" w:cs="Arial" w:ascii="Arial" w:hAnsi="Arial"/>
                <w:bCs/>
                <w:lang w:eastAsia="en-GB"/>
              </w:rPr>
            </w:r>
          </w:p>
          <w:p>
            <w:pPr>
              <w:pStyle w:val="Normal"/>
              <w:widowControl w:val="false"/>
              <w:spacing w:lineRule="auto" w:line="276" w:before="240" w:after="0"/>
              <w:rPr>
                <w:rFonts w:ascii="Arial" w:hAnsi="Arial" w:cs="Arial"/>
                <w:b/>
                <w:b/>
              </w:rPr>
            </w:pPr>
            <w:r>
              <w:rPr>
                <w:rFonts w:cs="Arial" w:ascii="Arial" w:hAnsi="Arial"/>
                <w:b/>
              </w:rPr>
              <w:t>FOR ROLES EXEMPT FROM THE REHABILITATION OF OFFENDERS ACT:</w:t>
            </w:r>
          </w:p>
          <w:p>
            <w:pPr>
              <w:pStyle w:val="Normal"/>
              <w:spacing w:lineRule="auto" w:line="276"/>
              <w:rPr>
                <w:rFonts w:ascii="Arial" w:hAnsi="Arial" w:cs="Arial"/>
              </w:rPr>
            </w:pPr>
            <w:r>
              <w:rPr>
                <w:rFonts w:cs="Arial" w:ascii="Arial" w:hAnsi="Arial"/>
              </w:rPr>
              <w:t>This role is exempt from the Rehabilitation of Offenders Act (1974) and will require disclosure of all convictions including those considered spent under the Act. The role holder will be subject to an Enhanced level check by the Disclosure &amp; Barring Service.</w:t>
            </w:r>
          </w:p>
          <w:p>
            <w:pPr>
              <w:pStyle w:val="Normal"/>
              <w:widowControl w:val="false"/>
              <w:spacing w:lineRule="auto" w:line="276" w:before="240" w:after="0"/>
              <w:ind w:left="0" w:right="216" w:hanging="0"/>
              <w:rPr>
                <w:rFonts w:ascii="Arial" w:hAnsi="Arial" w:cs="Arial"/>
              </w:rPr>
            </w:pPr>
            <w:r>
              <w:rPr>
                <w:rFonts w:cs="Arial" w:ascii="Arial" w:hAnsi="Arial"/>
              </w:rPr>
            </w:r>
          </w:p>
        </w:tc>
      </w:tr>
    </w:tbl>
    <w:p>
      <w:pPr>
        <w:pStyle w:val="Normal"/>
        <w:shd w:fill="FFFFFF" w:val="clear"/>
        <w:spacing w:lineRule="auto" w:line="276"/>
        <w:jc w:val="both"/>
        <w:rPr>
          <w:rFonts w:ascii="Arial" w:hAnsi="Arial" w:cs="Arial"/>
          <w:b/>
          <w:b/>
          <w:color w:val="595959"/>
        </w:rPr>
      </w:pPr>
      <w:r>
        <w:rPr>
          <w:rFonts w:cs="Arial" w:ascii="Arial" w:hAnsi="Arial"/>
          <w:b/>
          <w:color w:val="595959"/>
        </w:rPr>
      </w:r>
    </w:p>
    <w:p>
      <w:pPr>
        <w:pStyle w:val="Normal"/>
        <w:spacing w:lineRule="auto" w:line="276" w:before="0" w:after="200"/>
        <w:rPr>
          <w:rFonts w:ascii="Arial" w:hAnsi="Arial" w:cs="Arial"/>
          <w:b/>
          <w:b/>
          <w:color w:val="595959"/>
        </w:rPr>
      </w:pPr>
      <w:r>
        <w:rPr>
          <w:rFonts w:cs="Arial" w:ascii="Arial" w:hAnsi="Arial"/>
          <w:b/>
          <w:color w:val="595959"/>
        </w:rPr>
      </w:r>
      <w:r>
        <w:br w:type="page"/>
      </w:r>
    </w:p>
    <w:p>
      <w:pPr>
        <w:pStyle w:val="Normal"/>
        <w:shd w:fill="FFFFFF" w:val="clear"/>
        <w:spacing w:lineRule="auto" w:line="276"/>
        <w:ind w:left="-567" w:right="-336" w:hanging="0"/>
        <w:rPr>
          <w:rFonts w:ascii="Arial" w:hAnsi="Arial" w:cs="Arial"/>
          <w:b/>
          <w:b/>
        </w:rPr>
      </w:pPr>
      <w:r>
        <w:rPr>
          <w:rFonts w:cs="Arial" w:ascii="Arial" w:hAnsi="Arial"/>
          <w:b/>
        </w:rPr>
        <w:t>Corporate Duties</w:t>
      </w:r>
    </w:p>
    <w:p>
      <w:pPr>
        <w:pStyle w:val="TextBody"/>
        <w:widowControl w:val="false"/>
        <w:tabs>
          <w:tab w:val="clear" w:pos="720"/>
          <w:tab w:val="left" w:pos="-720" w:leader="none"/>
        </w:tabs>
        <w:suppressAutoHyphens w:val="true"/>
        <w:spacing w:lineRule="auto" w:line="276"/>
        <w:ind w:left="-567" w:right="-336" w:hanging="0"/>
        <w:rPr>
          <w:rFonts w:cs="Arial"/>
          <w:szCs w:val="24"/>
        </w:rPr>
      </w:pPr>
      <w:r>
        <w:rPr>
          <w:rFonts w:cs="Arial"/>
          <w:szCs w:val="24"/>
        </w:rPr>
        <w:t>Avoid any behaviour which discriminates against your fellow employees, or potential employees on the grounds of their sex, sexual orientation, marital status, race, religion, creed, colour, nationality, ethnic origin, or disability.  Safeguard at all times confidentiality of information relating to staff and pensioners.  Refrain from smoking in any areas of Service premises.  Behave in a manner that ensures the security of property and resources.  Abide by all relevant Service Policies and Procedures.</w:t>
      </w:r>
    </w:p>
    <w:p>
      <w:pPr>
        <w:pStyle w:val="ListParagraph"/>
        <w:spacing w:lineRule="auto" w:line="276"/>
        <w:ind w:left="-567" w:right="-336" w:hanging="0"/>
        <w:rPr>
          <w:color w:val="auto"/>
          <w:sz w:val="24"/>
          <w:szCs w:val="24"/>
        </w:rPr>
      </w:pPr>
      <w:r>
        <w:rPr>
          <w:color w:val="auto"/>
          <w:sz w:val="24"/>
          <w:szCs w:val="24"/>
        </w:rPr>
      </w:r>
    </w:p>
    <w:p>
      <w:pPr>
        <w:pStyle w:val="Normal"/>
        <w:tabs>
          <w:tab w:val="clear" w:pos="720"/>
          <w:tab w:val="left" w:pos="1134" w:leader="none"/>
        </w:tabs>
        <w:spacing w:lineRule="auto" w:line="276" w:before="0" w:after="0"/>
        <w:ind w:left="-567" w:right="-336" w:hanging="0"/>
        <w:contextualSpacing/>
        <w:rPr>
          <w:rFonts w:ascii="Arial" w:hAnsi="Arial" w:cs="Arial"/>
          <w:b/>
          <w:b/>
        </w:rPr>
      </w:pPr>
      <w:r>
        <w:rPr>
          <w:rFonts w:cs="Arial" w:ascii="Arial" w:hAnsi="Arial"/>
          <w:b/>
        </w:rPr>
        <w:t>Records Management/ Data Protection</w:t>
      </w:r>
    </w:p>
    <w:p>
      <w:pPr>
        <w:pStyle w:val="Normal"/>
        <w:tabs>
          <w:tab w:val="clear" w:pos="720"/>
          <w:tab w:val="left" w:pos="1134" w:leader="none"/>
        </w:tabs>
        <w:spacing w:lineRule="auto" w:line="276" w:before="0" w:after="0"/>
        <w:ind w:left="-567" w:right="-336" w:hanging="0"/>
        <w:contextualSpacing/>
        <w:rPr>
          <w:rFonts w:ascii="Arial" w:hAnsi="Arial" w:cs="Arial"/>
        </w:rPr>
      </w:pPr>
      <w:r>
        <w:rPr>
          <w:rFonts w:cs="Arial" w:ascii="Arial" w:hAnsi="Arial"/>
        </w:rPr>
        <w:t>As an employee of the GMCA, you have a legal responsibility for all records (including employee health, financial, personal, and administrative) that you gather or use as part of your work with the Service. The records may be paper, electronic, audio or videotapes. You must consult your manager if you have any doubt as to the correct management of the records with which you work.</w:t>
      </w:r>
    </w:p>
    <w:p>
      <w:pPr>
        <w:pStyle w:val="BodyTextIndent3"/>
        <w:tabs>
          <w:tab w:val="clear" w:pos="720"/>
          <w:tab w:val="left" w:pos="1134" w:leader="none"/>
        </w:tabs>
        <w:spacing w:lineRule="auto" w:line="276" w:before="0" w:after="0"/>
        <w:ind w:left="-567" w:right="-336" w:hanging="0"/>
        <w:contextualSpacing/>
        <w:rPr>
          <w:rFonts w:ascii="Arial" w:hAnsi="Arial" w:cs="Arial"/>
          <w:sz w:val="24"/>
          <w:szCs w:val="24"/>
        </w:rPr>
      </w:pPr>
      <w:r>
        <w:rPr>
          <w:rFonts w:cs="Arial" w:ascii="Arial" w:hAnsi="Arial"/>
          <w:sz w:val="24"/>
          <w:szCs w:val="24"/>
        </w:rPr>
      </w:r>
    </w:p>
    <w:p>
      <w:pPr>
        <w:pStyle w:val="Normal"/>
        <w:tabs>
          <w:tab w:val="clear" w:pos="720"/>
          <w:tab w:val="left" w:pos="1134" w:leader="none"/>
        </w:tabs>
        <w:spacing w:lineRule="auto" w:line="276" w:before="0" w:after="0"/>
        <w:ind w:left="-567" w:right="-336" w:hanging="0"/>
        <w:contextualSpacing/>
        <w:rPr>
          <w:rFonts w:ascii="Arial" w:hAnsi="Arial" w:cs="Arial"/>
          <w:b/>
          <w:b/>
        </w:rPr>
      </w:pPr>
      <w:r>
        <w:rPr>
          <w:rFonts w:cs="Arial" w:ascii="Arial" w:hAnsi="Arial"/>
          <w:b/>
        </w:rPr>
        <w:t>Confidentiality and Information Security</w:t>
      </w:r>
    </w:p>
    <w:p>
      <w:pPr>
        <w:pStyle w:val="Normal"/>
        <w:tabs>
          <w:tab w:val="clear" w:pos="720"/>
          <w:tab w:val="left" w:pos="1134" w:leader="none"/>
        </w:tabs>
        <w:spacing w:lineRule="auto" w:line="276" w:before="0" w:after="0"/>
        <w:ind w:left="-567" w:right="-336" w:hanging="0"/>
        <w:contextualSpacing/>
        <w:rPr>
          <w:rFonts w:ascii="Arial" w:hAnsi="Arial" w:cs="Arial"/>
        </w:rPr>
      </w:pPr>
      <w:r>
        <w:rPr>
          <w:rFonts w:cs="Arial" w:ascii="Arial" w:hAnsi="Arial"/>
        </w:rPr>
        <w:t>As a GMCA employee you are required to uphold the confidentiality of all records held by the GMCA, whether employee records or GMCA information. This duty lasts indefinitely and will continue after you leave the GMCA employment. All employees must maintain confidentiality and abide by the Data Protection Act.</w:t>
      </w:r>
    </w:p>
    <w:p>
      <w:pPr>
        <w:pStyle w:val="Normal"/>
        <w:spacing w:lineRule="auto" w:line="276" w:before="0" w:after="0"/>
        <w:ind w:left="-567" w:right="-336" w:hanging="0"/>
        <w:contextualSpacing/>
        <w:rPr>
          <w:rFonts w:ascii="Arial" w:hAnsi="Arial" w:eastAsia="Arial" w:cs="Arial"/>
        </w:rPr>
      </w:pPr>
      <w:r>
        <w:rPr>
          <w:rFonts w:eastAsia="Arial" w:cs="Arial" w:ascii="Arial" w:hAnsi="Arial"/>
        </w:rPr>
        <w:t xml:space="preserve"> </w:t>
      </w:r>
    </w:p>
    <w:p>
      <w:pPr>
        <w:pStyle w:val="Normal"/>
        <w:spacing w:lineRule="auto" w:line="276" w:before="0" w:after="0"/>
        <w:ind w:left="-567" w:right="-336" w:hanging="0"/>
        <w:contextualSpacing/>
        <w:rPr>
          <w:rFonts w:ascii="Arial" w:hAnsi="Arial" w:cs="Arial"/>
          <w:b/>
          <w:b/>
        </w:rPr>
      </w:pPr>
      <w:r>
        <w:rPr>
          <w:rFonts w:cs="Arial" w:ascii="Arial" w:hAnsi="Arial"/>
          <w:b/>
        </w:rPr>
        <w:t>Data Quality</w:t>
      </w:r>
    </w:p>
    <w:p>
      <w:pPr>
        <w:pStyle w:val="Normal"/>
        <w:spacing w:lineRule="auto" w:line="276" w:before="0" w:after="0"/>
        <w:ind w:left="-567" w:right="-336" w:hanging="0"/>
        <w:contextualSpacing/>
        <w:rPr/>
      </w:pPr>
      <w:r>
        <w:rPr>
          <w:rFonts w:cs="Arial" w:ascii="Arial" w:hAnsi="Arial"/>
        </w:rPr>
        <w:t>All staff are personally responsible</w:t>
      </w:r>
      <w:r>
        <w:rPr>
          <w:rFonts w:cs="Arial" w:ascii="Arial" w:hAnsi="Arial"/>
          <w:b/>
          <w:bCs/>
        </w:rPr>
        <w:t xml:space="preserve"> </w:t>
      </w:r>
      <w:r>
        <w:rPr>
          <w:rFonts w:cs="Arial" w:ascii="Arial" w:hAnsi="Arial"/>
        </w:rPr>
        <w:t xml:space="preserve">for the quality of data entered by themselves, or on their behalf, on GMCAs computerised systems or manual records (paper records) and must ensure that such data is entered accurately and, in a timely manner, to ensure high standards of data quality in accordance with Departmental protocols.  To ensure data is handled in a secure manner protecting the confidentiality of any personal data held in meeting the requirements of the Data Protection Act. </w:t>
      </w:r>
    </w:p>
    <w:p>
      <w:pPr>
        <w:pStyle w:val="Normal"/>
        <w:tabs>
          <w:tab w:val="clear" w:pos="720"/>
          <w:tab w:val="left" w:pos="1134" w:leader="none"/>
        </w:tabs>
        <w:spacing w:lineRule="auto" w:line="276" w:before="0" w:after="0"/>
        <w:ind w:left="-567" w:right="-336" w:hanging="0"/>
        <w:contextualSpacing/>
        <w:rPr>
          <w:rFonts w:ascii="Arial" w:hAnsi="Arial" w:cs="Arial"/>
        </w:rPr>
      </w:pPr>
      <w:r>
        <w:rPr>
          <w:rFonts w:cs="Arial" w:ascii="Arial" w:hAnsi="Arial"/>
        </w:rPr>
      </w:r>
    </w:p>
    <w:p>
      <w:pPr>
        <w:pStyle w:val="Normal"/>
        <w:tabs>
          <w:tab w:val="clear" w:pos="720"/>
          <w:tab w:val="left" w:pos="1134" w:leader="none"/>
        </w:tabs>
        <w:spacing w:lineRule="auto" w:line="276" w:before="0" w:after="0"/>
        <w:ind w:left="-567" w:right="-336" w:hanging="0"/>
        <w:contextualSpacing/>
        <w:rPr>
          <w:rFonts w:ascii="Arial" w:hAnsi="Arial" w:cs="Arial"/>
          <w:b/>
          <w:b/>
        </w:rPr>
      </w:pPr>
      <w:r>
        <w:rPr>
          <w:rFonts w:cs="Arial" w:ascii="Arial" w:hAnsi="Arial"/>
          <w:b/>
        </w:rPr>
        <w:t>Health and Safety</w:t>
      </w:r>
    </w:p>
    <w:p>
      <w:pPr>
        <w:pStyle w:val="Normal"/>
        <w:tabs>
          <w:tab w:val="clear" w:pos="720"/>
          <w:tab w:val="left" w:pos="1134" w:leader="none"/>
        </w:tabs>
        <w:spacing w:lineRule="auto" w:line="276" w:before="0" w:after="0"/>
        <w:ind w:left="-567" w:right="-336" w:hanging="0"/>
        <w:contextualSpacing/>
        <w:rPr>
          <w:rFonts w:ascii="Arial" w:hAnsi="Arial" w:cs="Arial"/>
        </w:rPr>
      </w:pPr>
      <w:r>
        <w:rPr>
          <w:rFonts w:cs="Arial" w:ascii="Arial" w:hAnsi="Arial"/>
        </w:rPr>
        <w:t>All employees of GMCA have a statutory duty of care for their own personal safety and that of others who may be affected by their acts or omissions. Employees are required to co-operate with management to enable GMCA to meet its own legal duties and to report any circumstances that may compromise the health, safety, and welfare of those affected by the Service’s undertakings.</w:t>
      </w:r>
    </w:p>
    <w:p>
      <w:pPr>
        <w:pStyle w:val="Normal"/>
        <w:tabs>
          <w:tab w:val="clear" w:pos="720"/>
          <w:tab w:val="left" w:pos="1134" w:leader="none"/>
        </w:tabs>
        <w:spacing w:lineRule="auto" w:line="276" w:before="0" w:after="0"/>
        <w:ind w:left="-567" w:right="-336" w:hanging="0"/>
        <w:contextualSpacing/>
        <w:rPr>
          <w:rFonts w:ascii="Arial" w:hAnsi="Arial" w:cs="Arial"/>
        </w:rPr>
      </w:pPr>
      <w:r>
        <w:rPr>
          <w:rFonts w:cs="Arial" w:ascii="Arial" w:hAnsi="Arial"/>
        </w:rPr>
      </w:r>
    </w:p>
    <w:p>
      <w:pPr>
        <w:pStyle w:val="Normal"/>
        <w:tabs>
          <w:tab w:val="clear" w:pos="720"/>
          <w:tab w:val="left" w:pos="1134" w:leader="none"/>
        </w:tabs>
        <w:spacing w:lineRule="auto" w:line="276" w:before="0" w:after="0"/>
        <w:ind w:left="-567" w:right="-336" w:hanging="0"/>
        <w:contextualSpacing/>
        <w:rPr>
          <w:rFonts w:ascii="Arial" w:hAnsi="Arial" w:cs="Arial"/>
          <w:b/>
          <w:b/>
        </w:rPr>
      </w:pPr>
      <w:r>
        <w:rPr>
          <w:rFonts w:cs="Arial" w:ascii="Arial" w:hAnsi="Arial"/>
          <w:b/>
        </w:rPr>
        <w:t>Service Policies</w:t>
      </w:r>
    </w:p>
    <w:p>
      <w:pPr>
        <w:pStyle w:val="Normal"/>
        <w:tabs>
          <w:tab w:val="clear" w:pos="720"/>
          <w:tab w:val="left" w:pos="1134" w:leader="none"/>
        </w:tabs>
        <w:spacing w:lineRule="auto" w:line="276" w:before="0" w:after="0"/>
        <w:ind w:left="-567" w:right="-336" w:hanging="0"/>
        <w:contextualSpacing/>
        <w:rPr>
          <w:rFonts w:ascii="Arial" w:hAnsi="Arial" w:cs="Arial"/>
        </w:rPr>
      </w:pPr>
      <w:r>
        <w:rPr>
          <w:rFonts w:cs="Arial" w:ascii="Arial" w:hAnsi="Arial"/>
        </w:rPr>
        <w:t>All GMCA employees must observe and adhere to the provisions outlined in these policies.</w:t>
      </w:r>
    </w:p>
    <w:p>
      <w:pPr>
        <w:pStyle w:val="Normal"/>
        <w:spacing w:lineRule="auto" w:line="276" w:before="0" w:after="0"/>
        <w:ind w:left="-567" w:right="-336" w:hanging="0"/>
        <w:contextualSpacing/>
        <w:rPr>
          <w:rFonts w:ascii="Arial" w:hAnsi="Arial" w:cs="Arial"/>
        </w:rPr>
      </w:pPr>
      <w:r>
        <w:rPr>
          <w:rFonts w:cs="Arial" w:ascii="Arial" w:hAnsi="Arial"/>
        </w:rPr>
      </w:r>
    </w:p>
    <w:p>
      <w:pPr>
        <w:pStyle w:val="Body"/>
        <w:spacing w:lineRule="auto" w:line="276"/>
        <w:ind w:left="-567" w:right="-336" w:hanging="0"/>
        <w:rPr>
          <w:b/>
          <w:b/>
          <w:color w:val="auto"/>
          <w:sz w:val="24"/>
          <w:szCs w:val="24"/>
        </w:rPr>
      </w:pPr>
      <w:r>
        <w:rPr>
          <w:b/>
          <w:color w:val="auto"/>
          <w:sz w:val="24"/>
          <w:szCs w:val="24"/>
        </w:rPr>
        <w:t>Equal Opportunities</w:t>
      </w:r>
    </w:p>
    <w:p>
      <w:pPr>
        <w:pStyle w:val="Body"/>
        <w:spacing w:lineRule="auto" w:line="276"/>
        <w:ind w:left="-567" w:right="-336" w:hanging="0"/>
        <w:rPr>
          <w:color w:val="auto"/>
          <w:sz w:val="24"/>
          <w:szCs w:val="24"/>
        </w:rPr>
      </w:pPr>
      <w:r>
        <w:rPr>
          <w:color w:val="auto"/>
          <w:sz w:val="24"/>
          <w:szCs w:val="24"/>
        </w:rPr>
        <w:t>GMCA provides a range of services and employment opportunities for a diverse population. As a GMCA employee you are expected to treat all employees / partners / members of the public and work colleagues with dignity and respect irrespective of their background.</w:t>
      </w:r>
    </w:p>
    <w:sectPr>
      <w:headerReference w:type="default" r:id="rId3"/>
      <w:headerReference w:type="first" r:id="rId4"/>
      <w:footerReference w:type="default" r:id="rId5"/>
      <w:footerReference w:type="first" r:id="rId6"/>
      <w:type w:val="nextPage"/>
      <w:pgSz w:w="11906" w:h="16838"/>
      <w:pgMar w:left="1440" w:right="1440" w:header="426" w:top="993" w:footer="144" w:bottom="851"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Courier New">
    <w:charset w:val="00"/>
    <w:family w:val="roman"/>
    <w:pitch w:val="variable"/>
  </w:font>
  <w:font w:name="Liberation Sans">
    <w:altName w:val="Arial"/>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4</w:t>
    </w:r>
    <w:r>
      <w:rPr/>
      <w:fldChar w:fldCharType="end"/>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rPr/>
    </w:lvl>
    <w:lvl w:ilvl="1">
      <w:start w:val="1"/>
      <w:pStyle w:val="Heading2"/>
      <w:numFmt w:val="none"/>
      <w:suff w:val="nothing"/>
      <w:lvlText w:val=""/>
      <w:lvlJc w:val="left"/>
      <w:pPr>
        <w:ind w:left="0" w:hanging="0"/>
      </w:pPr>
      <w:rPr/>
    </w:lvl>
    <w:lvl w:ilvl="2">
      <w:start w:val="1"/>
      <w:pStyle w:val="Heading3"/>
      <w:numFmt w:val="none"/>
      <w:suff w:val="nothing"/>
      <w:lvlText w:val=""/>
      <w:lvlJc w:val="left"/>
      <w:pPr>
        <w:ind w:left="0" w:hanging="0"/>
      </w:pPr>
      <w:r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458" w:hanging="360"/>
      </w:pPr>
      <w:rPr>
        <w:rFonts w:ascii="Symbol" w:hAnsi="Symbol" w:cs="Symbol" w:hint="default"/>
        <w:sz w:val="24"/>
        <w:rFonts w:cs="Symbol"/>
      </w:rPr>
    </w:lvl>
    <w:lvl w:ilvl="1">
      <w:start w:val="1"/>
      <w:numFmt w:val="bullet"/>
      <w:lvlText w:val="o"/>
      <w:lvlJc w:val="left"/>
      <w:pPr>
        <w:ind w:left="1178" w:hanging="360"/>
      </w:pPr>
      <w:rPr>
        <w:rFonts w:ascii="Courier New" w:hAnsi="Courier New" w:cs="Courier New" w:hint="default"/>
        <w:rFonts w:cs="Courier New"/>
      </w:rPr>
    </w:lvl>
    <w:lvl w:ilvl="2">
      <w:start w:val="1"/>
      <w:numFmt w:val="bullet"/>
      <w:lvlText w:val=""/>
      <w:lvlJc w:val="left"/>
      <w:pPr>
        <w:ind w:left="1898" w:hanging="360"/>
      </w:pPr>
      <w:rPr>
        <w:rFonts w:ascii="Wingdings" w:hAnsi="Wingdings" w:cs="Wingdings" w:hint="default"/>
        <w:rFonts w:cs="Wingdings"/>
      </w:rPr>
    </w:lvl>
    <w:lvl w:ilvl="3">
      <w:start w:val="1"/>
      <w:numFmt w:val="bullet"/>
      <w:lvlText w:val=""/>
      <w:lvlJc w:val="left"/>
      <w:pPr>
        <w:ind w:left="2618" w:hanging="360"/>
      </w:pPr>
      <w:rPr>
        <w:rFonts w:ascii="Symbol" w:hAnsi="Symbol" w:cs="Symbol" w:hint="default"/>
        <w:rFonts w:cs="Symbol"/>
      </w:rPr>
    </w:lvl>
    <w:lvl w:ilvl="4">
      <w:start w:val="1"/>
      <w:numFmt w:val="bullet"/>
      <w:lvlText w:val="o"/>
      <w:lvlJc w:val="left"/>
      <w:pPr>
        <w:ind w:left="3338" w:hanging="360"/>
      </w:pPr>
      <w:rPr>
        <w:rFonts w:ascii="Courier New" w:hAnsi="Courier New" w:cs="Courier New" w:hint="default"/>
        <w:rFonts w:cs="Courier New"/>
      </w:rPr>
    </w:lvl>
    <w:lvl w:ilvl="5">
      <w:start w:val="1"/>
      <w:numFmt w:val="bullet"/>
      <w:lvlText w:val=""/>
      <w:lvlJc w:val="left"/>
      <w:pPr>
        <w:ind w:left="4058" w:hanging="360"/>
      </w:pPr>
      <w:rPr>
        <w:rFonts w:ascii="Wingdings" w:hAnsi="Wingdings" w:cs="Wingdings" w:hint="default"/>
        <w:rFonts w:cs="Wingdings"/>
      </w:rPr>
    </w:lvl>
    <w:lvl w:ilvl="6">
      <w:start w:val="1"/>
      <w:numFmt w:val="bullet"/>
      <w:lvlText w:val=""/>
      <w:lvlJc w:val="left"/>
      <w:pPr>
        <w:ind w:left="4778" w:hanging="360"/>
      </w:pPr>
      <w:rPr>
        <w:rFonts w:ascii="Symbol" w:hAnsi="Symbol" w:cs="Symbol" w:hint="default"/>
        <w:rFonts w:cs="Symbol"/>
      </w:rPr>
    </w:lvl>
    <w:lvl w:ilvl="7">
      <w:start w:val="1"/>
      <w:numFmt w:val="bullet"/>
      <w:lvlText w:val="o"/>
      <w:lvlJc w:val="left"/>
      <w:pPr>
        <w:ind w:left="5498" w:hanging="360"/>
      </w:pPr>
      <w:rPr>
        <w:rFonts w:ascii="Courier New" w:hAnsi="Courier New" w:cs="Courier New" w:hint="default"/>
        <w:rFonts w:cs="Courier New"/>
      </w:rPr>
    </w:lvl>
    <w:lvl w:ilvl="8">
      <w:start w:val="1"/>
      <w:numFmt w:val="bullet"/>
      <w:lvlText w:val=""/>
      <w:lvlJc w:val="left"/>
      <w:pPr>
        <w:ind w:left="6218" w:hanging="360"/>
      </w:pPr>
      <w:rPr>
        <w:rFonts w:ascii="Wingdings" w:hAnsi="Wingdings" w:cs="Wingdings" w:hint="default"/>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5">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6">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7">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8">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9">
    <w:lvl w:ilvl="0">
      <w:start w:val="1"/>
      <w:numFmt w:val="bullet"/>
      <w:lvlText w:val=""/>
      <w:lvlJc w:val="left"/>
      <w:pPr>
        <w:tabs>
          <w:tab w:val="num" w:pos="720"/>
        </w:tabs>
        <w:ind w:left="720" w:hanging="360"/>
      </w:pPr>
      <w:rPr>
        <w:rFonts w:ascii="Symbol" w:hAnsi="Symbol" w:cs="Symbol" w:hint="default"/>
        <w:sz w:val="20"/>
        <w:b/>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Arial Unicode MS" w:cs="Times New Roman"/>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480" w:after="0"/>
      <w:outlineLvl w:val="0"/>
    </w:pPr>
    <w:rPr>
      <w:rFonts w:ascii="Cambria" w:hAnsi="Cambria" w:eastAsia="" w:cs=""/>
      <w:b/>
      <w:bCs/>
      <w:color w:val="365F91"/>
      <w:sz w:val="28"/>
      <w:szCs w:val="28"/>
    </w:rPr>
  </w:style>
  <w:style w:type="paragraph" w:styleId="Heading2">
    <w:name w:val="Heading 2"/>
    <w:basedOn w:val="Normal"/>
    <w:next w:val="Normal"/>
    <w:qFormat/>
    <w:pPr>
      <w:keepNext w:val="true"/>
      <w:keepLines/>
      <w:numPr>
        <w:ilvl w:val="1"/>
        <w:numId w:val="1"/>
      </w:numPr>
      <w:spacing w:before="200" w:after="0"/>
      <w:outlineLvl w:val="1"/>
    </w:pPr>
    <w:rPr>
      <w:rFonts w:ascii="Cambria" w:hAnsi="Cambria" w:eastAsia="" w:cs=""/>
      <w:b/>
      <w:bCs/>
      <w:color w:val="4F81BD"/>
      <w:sz w:val="26"/>
      <w:szCs w:val="26"/>
    </w:rPr>
  </w:style>
  <w:style w:type="paragraph" w:styleId="Heading3">
    <w:name w:val="Heading 3"/>
    <w:next w:val="Body"/>
    <w:qFormat/>
    <w:pPr>
      <w:keepNext w:val="true"/>
      <w:widowControl/>
      <w:numPr>
        <w:ilvl w:val="2"/>
        <w:numId w:val="1"/>
      </w:numPr>
      <w:suppressAutoHyphens w:val="true"/>
      <w:bidi w:val="0"/>
      <w:spacing w:lineRule="auto" w:line="240" w:before="0" w:after="0"/>
      <w:jc w:val="left"/>
      <w:outlineLvl w:val="2"/>
    </w:pPr>
    <w:rPr>
      <w:rFonts w:ascii="Arial" w:hAnsi="Arial" w:eastAsia="Arial" w:cs="Arial"/>
      <w:b/>
      <w:bCs/>
      <w:color w:val="FFFFFF"/>
      <w:kern w:val="0"/>
      <w:sz w:val="24"/>
      <w:szCs w:val="24"/>
      <w:u w:val="none" w:color="FFFFFF"/>
      <w:lang w:val="en-US"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sz w:val="24"/>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Symbol" w:hAnsi="Symbol" w:cs="Symbol"/>
      <w:sz w:val="20"/>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rFonts w:ascii="Symbol" w:hAnsi="Symbol" w:cs="Symbol"/>
      <w:sz w:val="20"/>
    </w:rPr>
  </w:style>
  <w:style w:type="character" w:styleId="WW8Num5z1">
    <w:name w:val="WW8Num5z1"/>
    <w:qFormat/>
    <w:rPr>
      <w:rFonts w:ascii="Courier New" w:hAnsi="Courier New" w:cs="Courier New"/>
      <w:sz w:val="20"/>
    </w:rPr>
  </w:style>
  <w:style w:type="character" w:styleId="WW8Num5z2">
    <w:name w:val="WW8Num5z2"/>
    <w:qFormat/>
    <w:rPr>
      <w:rFonts w:ascii="Wingdings" w:hAnsi="Wingdings" w:cs="Wingdings"/>
      <w:sz w:val="20"/>
    </w:rPr>
  </w:style>
  <w:style w:type="character" w:styleId="WW8Num6z0">
    <w:name w:val="WW8Num6z0"/>
    <w:qFormat/>
    <w:rPr>
      <w:rFonts w:ascii="Symbol" w:hAnsi="Symbol" w:cs="Symbol"/>
      <w:sz w:val="20"/>
    </w:rPr>
  </w:style>
  <w:style w:type="character" w:styleId="WW8Num6z1">
    <w:name w:val="WW8Num6z1"/>
    <w:qFormat/>
    <w:rPr>
      <w:rFonts w:ascii="Courier New" w:hAnsi="Courier New" w:cs="Courier New"/>
      <w:sz w:val="20"/>
    </w:rPr>
  </w:style>
  <w:style w:type="character" w:styleId="WW8Num6z2">
    <w:name w:val="WW8Num6z2"/>
    <w:qFormat/>
    <w:rPr>
      <w:rFonts w:ascii="Wingdings" w:hAnsi="Wingdings" w:cs="Wingdings"/>
      <w:sz w:val="20"/>
    </w:rPr>
  </w:style>
  <w:style w:type="character" w:styleId="WW8Num7z0">
    <w:name w:val="WW8Num7z0"/>
    <w:qFormat/>
    <w:rPr>
      <w:rFonts w:ascii="Symbol" w:hAnsi="Symbol" w:cs="Symbol"/>
      <w:sz w:val="20"/>
    </w:rPr>
  </w:style>
  <w:style w:type="character" w:styleId="WW8Num7z1">
    <w:name w:val="WW8Num7z1"/>
    <w:qFormat/>
    <w:rPr>
      <w:rFonts w:ascii="Courier New" w:hAnsi="Courier New" w:cs="Courier New"/>
      <w:sz w:val="20"/>
    </w:rPr>
  </w:style>
  <w:style w:type="character" w:styleId="WW8Num7z2">
    <w:name w:val="WW8Num7z2"/>
    <w:qFormat/>
    <w:rPr>
      <w:rFonts w:ascii="Wingdings" w:hAnsi="Wingdings" w:cs="Wingdings"/>
      <w:sz w:val="20"/>
    </w:rPr>
  </w:style>
  <w:style w:type="character" w:styleId="WW8Num8z0">
    <w:name w:val="WW8Num8z0"/>
    <w:qFormat/>
    <w:rPr>
      <w:rFonts w:ascii="Symbol" w:hAnsi="Symbol" w:cs="Symbol"/>
      <w:sz w:val="20"/>
    </w:rPr>
  </w:style>
  <w:style w:type="character" w:styleId="WW8Num8z1">
    <w:name w:val="WW8Num8z1"/>
    <w:qFormat/>
    <w:rPr>
      <w:rFonts w:ascii="Courier New" w:hAnsi="Courier New" w:cs="Courier New"/>
      <w:sz w:val="20"/>
    </w:rPr>
  </w:style>
  <w:style w:type="character" w:styleId="WW8Num8z2">
    <w:name w:val="WW8Num8z2"/>
    <w:qFormat/>
    <w:rPr>
      <w:rFonts w:ascii="Wingdings" w:hAnsi="Wingdings" w:cs="Wingdings"/>
      <w:sz w:val="20"/>
    </w:rPr>
  </w:style>
  <w:style w:type="character" w:styleId="WW8Num9z0">
    <w:name w:val="WW8Num9z0"/>
    <w:qFormat/>
    <w:rPr>
      <w:rFonts w:ascii="Symbol" w:hAnsi="Symbol" w:cs="Symbol"/>
      <w:sz w:val="20"/>
    </w:rPr>
  </w:style>
  <w:style w:type="character" w:styleId="WW8Num9z1">
    <w:name w:val="WW8Num9z1"/>
    <w:qFormat/>
    <w:rPr>
      <w:rFonts w:ascii="Courier New" w:hAnsi="Courier New" w:cs="Courier New"/>
      <w:sz w:val="20"/>
    </w:rPr>
  </w:style>
  <w:style w:type="character" w:styleId="WW8Num9z2">
    <w:name w:val="WW8Num9z2"/>
    <w:qFormat/>
    <w:rPr>
      <w:rFonts w:ascii="Wingdings" w:hAnsi="Wingdings" w:cs="Wingdings"/>
      <w:sz w:val="20"/>
    </w:rPr>
  </w:style>
  <w:style w:type="character" w:styleId="WW8Num10z0">
    <w:name w:val="WW8Num10z0"/>
    <w:qFormat/>
    <w:rPr>
      <w:rFonts w:ascii="Symbol" w:hAnsi="Symbol" w:cs="Symbol"/>
      <w:b/>
      <w:sz w:val="20"/>
    </w:rPr>
  </w:style>
  <w:style w:type="character" w:styleId="WW8Num10z1">
    <w:name w:val="WW8Num10z1"/>
    <w:qFormat/>
    <w:rPr>
      <w:rFonts w:ascii="Courier New" w:hAnsi="Courier New" w:cs="Courier New"/>
      <w:sz w:val="20"/>
    </w:rPr>
  </w:style>
  <w:style w:type="character" w:styleId="WW8Num10z2">
    <w:name w:val="WW8Num10z2"/>
    <w:qFormat/>
    <w:rPr>
      <w:rFonts w:ascii="Wingdings" w:hAnsi="Wingdings" w:cs="Wingdings"/>
      <w:sz w:val="20"/>
    </w:rPr>
  </w:style>
  <w:style w:type="character" w:styleId="DefaultParagraphFont">
    <w:name w:val="Default Paragraph Font"/>
    <w:qFormat/>
    <w:rPr/>
  </w:style>
  <w:style w:type="character" w:styleId="Heading3Char">
    <w:name w:val="Heading 3 Char"/>
    <w:basedOn w:val="DefaultParagraphFont"/>
    <w:qFormat/>
    <w:rPr>
      <w:rFonts w:ascii="Arial" w:hAnsi="Arial" w:eastAsia="Arial" w:cs="Arial"/>
      <w:b/>
      <w:bCs/>
      <w:color w:val="FFFFFF"/>
      <w:sz w:val="24"/>
      <w:szCs w:val="24"/>
      <w:u w:val="none" w:color="FFFFFF"/>
      <w:lang w:val="en-US"/>
    </w:rPr>
  </w:style>
  <w:style w:type="character" w:styleId="HeaderChar">
    <w:name w:val="Header Char"/>
    <w:basedOn w:val="DefaultParagraphFont"/>
    <w:qFormat/>
    <w:rPr>
      <w:rFonts w:ascii="Arial" w:hAnsi="Arial" w:eastAsia="Arial" w:cs="Arial"/>
      <w:color w:val="000000"/>
      <w:u w:val="none" w:color="000000"/>
      <w:lang w:val="en-US"/>
    </w:rPr>
  </w:style>
  <w:style w:type="character" w:styleId="FooterChar">
    <w:name w:val="Footer Char"/>
    <w:basedOn w:val="DefaultParagraphFont"/>
    <w:qFormat/>
    <w:rPr>
      <w:rFonts w:ascii="Arial" w:hAnsi="Arial" w:eastAsia="Arial" w:cs="Arial"/>
      <w:color w:val="000000"/>
      <w:u w:val="none" w:color="000000"/>
      <w:lang w:val="en-US"/>
    </w:rPr>
  </w:style>
  <w:style w:type="character" w:styleId="Heading1Char">
    <w:name w:val="Heading 1 Char"/>
    <w:basedOn w:val="DefaultParagraphFont"/>
    <w:qFormat/>
    <w:rPr>
      <w:rFonts w:ascii="Cambria" w:hAnsi="Cambria" w:eastAsia="" w:cs=""/>
      <w:b/>
      <w:bCs/>
      <w:color w:val="365F91"/>
      <w:sz w:val="28"/>
      <w:szCs w:val="28"/>
      <w:lang w:val="en-US"/>
    </w:rPr>
  </w:style>
  <w:style w:type="character" w:styleId="Heading2Char">
    <w:name w:val="Heading 2 Char"/>
    <w:basedOn w:val="DefaultParagraphFont"/>
    <w:qFormat/>
    <w:rPr>
      <w:rFonts w:ascii="Cambria" w:hAnsi="Cambria" w:eastAsia="" w:cs=""/>
      <w:b/>
      <w:bCs/>
      <w:color w:val="4F81BD"/>
      <w:sz w:val="26"/>
      <w:szCs w:val="26"/>
      <w:lang w:val="en-US"/>
    </w:rPr>
  </w:style>
  <w:style w:type="character" w:styleId="BalloonTextChar">
    <w:name w:val="Balloon Text Char"/>
    <w:basedOn w:val="DefaultParagraphFont"/>
    <w:qFormat/>
    <w:rPr>
      <w:rFonts w:ascii="Tahoma" w:hAnsi="Tahoma" w:eastAsia="Arial Unicode MS" w:cs="Tahoma"/>
      <w:sz w:val="16"/>
      <w:szCs w:val="16"/>
      <w:lang w:val="en-US"/>
    </w:rPr>
  </w:style>
  <w:style w:type="character" w:styleId="PlainTextChar">
    <w:name w:val="Plain Text Char"/>
    <w:basedOn w:val="DefaultParagraphFont"/>
    <w:qFormat/>
    <w:rPr>
      <w:rFonts w:ascii="Courier New" w:hAnsi="Courier New" w:eastAsia="Times New Roman" w:cs="Times New Roman"/>
      <w:sz w:val="20"/>
      <w:szCs w:val="20"/>
    </w:rPr>
  </w:style>
  <w:style w:type="character" w:styleId="BodyTextChar">
    <w:name w:val="Body Text Char"/>
    <w:basedOn w:val="DefaultParagraphFont"/>
    <w:qFormat/>
    <w:rPr>
      <w:rFonts w:ascii="Arial" w:hAnsi="Arial" w:eastAsia="Times New Roman" w:cs="Times New Roman"/>
      <w:sz w:val="24"/>
      <w:szCs w:val="20"/>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Times New Roman" w:hAnsi="Times New Roman" w:eastAsia="Arial Unicode MS" w:cs="Times New Roman"/>
      <w:sz w:val="20"/>
      <w:szCs w:val="20"/>
      <w:lang w:val="en-US"/>
    </w:rPr>
  </w:style>
  <w:style w:type="character" w:styleId="CommentSubjectChar">
    <w:name w:val="Comment Subject Char"/>
    <w:basedOn w:val="CommentTextChar"/>
    <w:qFormat/>
    <w:rPr>
      <w:rFonts w:ascii="Times New Roman" w:hAnsi="Times New Roman" w:eastAsia="Arial Unicode MS" w:cs="Times New Roman"/>
      <w:b/>
      <w:bCs/>
      <w:sz w:val="20"/>
      <w:szCs w:val="20"/>
      <w:lang w:val="en-US"/>
    </w:rPr>
  </w:style>
  <w:style w:type="character" w:styleId="BodyTextIndent3Char">
    <w:name w:val="Body Text Indent 3 Char"/>
    <w:basedOn w:val="DefaultParagraphFont"/>
    <w:qFormat/>
    <w:rPr>
      <w:rFonts w:ascii="Times New Roman" w:hAnsi="Times New Roman" w:eastAsia="Arial Unicode MS" w:cs="Times New Roman"/>
      <w:sz w:val="16"/>
      <w:szCs w:val="16"/>
      <w:lang w:val="en-US"/>
    </w:rPr>
  </w:style>
  <w:style w:type="character" w:styleId="Pagenumber">
    <w:name w:val="page number"/>
    <w:basedOn w:val="DefaultParagraphFont"/>
    <w:qFormat/>
    <w:rPr/>
  </w:style>
  <w:style w:type="character" w:styleId="ListParagraphChar">
    <w:name w:val="List Paragraph Char"/>
    <w:qFormat/>
    <w:rPr>
      <w:rFonts w:ascii="Arial" w:hAnsi="Arial" w:eastAsia="Arial" w:cs="Arial"/>
      <w:color w:val="000000"/>
      <w:u w:val="none" w:color="000000"/>
      <w:lang w:val="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napToGrid w:val="false"/>
    </w:pPr>
    <w:rPr>
      <w:rFonts w:ascii="Arial" w:hAnsi="Arial" w:eastAsia="Times New Roman" w:cs="Arial"/>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pPr>
      <w:widowControl/>
      <w:tabs>
        <w:tab w:val="clear" w:pos="720"/>
        <w:tab w:val="center" w:pos="4153" w:leader="none"/>
        <w:tab w:val="right" w:pos="8306" w:leader="none"/>
      </w:tabs>
      <w:suppressAutoHyphens w:val="true"/>
      <w:bidi w:val="0"/>
      <w:spacing w:lineRule="auto" w:line="240" w:before="0" w:after="0"/>
      <w:jc w:val="left"/>
    </w:pPr>
    <w:rPr>
      <w:rFonts w:ascii="Arial" w:hAnsi="Arial" w:eastAsia="Arial" w:cs="Arial"/>
      <w:color w:val="000000"/>
      <w:kern w:val="0"/>
      <w:sz w:val="24"/>
      <w:szCs w:val="22"/>
      <w:u w:val="none" w:color="000000"/>
      <w:lang w:val="en-US" w:eastAsia="en-US" w:bidi="ar-SA"/>
    </w:rPr>
  </w:style>
  <w:style w:type="paragraph" w:styleId="Footer">
    <w:name w:val="Footer"/>
    <w:pPr>
      <w:widowControl/>
      <w:tabs>
        <w:tab w:val="clear" w:pos="720"/>
        <w:tab w:val="center" w:pos="4153" w:leader="none"/>
        <w:tab w:val="right" w:pos="8306" w:leader="none"/>
      </w:tabs>
      <w:suppressAutoHyphens w:val="true"/>
      <w:bidi w:val="0"/>
      <w:spacing w:lineRule="auto" w:line="240" w:before="0" w:after="0"/>
      <w:jc w:val="left"/>
    </w:pPr>
    <w:rPr>
      <w:rFonts w:ascii="Arial" w:hAnsi="Arial" w:eastAsia="Arial" w:cs="Arial"/>
      <w:color w:val="000000"/>
      <w:kern w:val="0"/>
      <w:sz w:val="24"/>
      <w:szCs w:val="22"/>
      <w:u w:val="none" w:color="000000"/>
      <w:lang w:val="en-US" w:eastAsia="en-US" w:bidi="ar-SA"/>
    </w:rPr>
  </w:style>
  <w:style w:type="paragraph" w:styleId="Body">
    <w:name w:val="Body"/>
    <w:qFormat/>
    <w:pPr>
      <w:widowControl/>
      <w:suppressAutoHyphens w:val="true"/>
      <w:bidi w:val="0"/>
      <w:spacing w:lineRule="auto" w:line="240" w:before="0" w:after="0"/>
      <w:jc w:val="left"/>
    </w:pPr>
    <w:rPr>
      <w:rFonts w:ascii="Arial" w:hAnsi="Arial" w:eastAsia="Arial" w:cs="Arial"/>
      <w:color w:val="000000"/>
      <w:kern w:val="0"/>
      <w:sz w:val="24"/>
      <w:szCs w:val="22"/>
      <w:u w:val="none" w:color="000000"/>
      <w:lang w:val="en-GB" w:eastAsia="en-US" w:bidi="ar-SA"/>
    </w:rPr>
  </w:style>
  <w:style w:type="paragraph" w:styleId="ListParagraph">
    <w:name w:val="List Paragraph"/>
    <w:qFormat/>
    <w:pPr>
      <w:widowControl/>
      <w:suppressAutoHyphens w:val="true"/>
      <w:bidi w:val="0"/>
      <w:spacing w:lineRule="auto" w:line="240" w:before="0" w:after="0"/>
      <w:ind w:left="720" w:right="0" w:hanging="0"/>
      <w:jc w:val="left"/>
    </w:pPr>
    <w:rPr>
      <w:rFonts w:ascii="Arial" w:hAnsi="Arial" w:eastAsia="Arial" w:cs="Arial"/>
      <w:color w:val="000000"/>
      <w:kern w:val="0"/>
      <w:sz w:val="24"/>
      <w:szCs w:val="22"/>
      <w:u w:val="none" w:color="000000"/>
      <w:lang w:val="en-US" w:eastAsia="en-US" w:bidi="ar-SA"/>
    </w:rPr>
  </w:style>
  <w:style w:type="paragraph" w:styleId="BalloonText">
    <w:name w:val="Balloon Text"/>
    <w:basedOn w:val="Normal"/>
    <w:qFormat/>
    <w:pPr/>
    <w:rPr>
      <w:rFonts w:ascii="Tahoma" w:hAnsi="Tahoma" w:cs="Tahoma"/>
      <w:sz w:val="16"/>
      <w:szCs w:val="16"/>
    </w:rPr>
  </w:style>
  <w:style w:type="paragraph" w:styleId="Default">
    <w:name w:val="Default"/>
    <w:qFormat/>
    <w:pPr>
      <w:widowControl/>
      <w:suppressAutoHyphens w:val="true"/>
      <w:bidi w:val="0"/>
      <w:spacing w:lineRule="auto" w:line="240" w:before="0" w:after="0"/>
      <w:jc w:val="left"/>
    </w:pPr>
    <w:rPr>
      <w:rFonts w:ascii="Verdana" w:hAnsi="Verdana" w:eastAsia="Times New Roman" w:cs="Verdana"/>
      <w:color w:val="000000"/>
      <w:kern w:val="0"/>
      <w:sz w:val="24"/>
      <w:szCs w:val="24"/>
      <w:lang w:val="en-GB" w:eastAsia="en-GB" w:bidi="ar-SA"/>
    </w:rPr>
  </w:style>
  <w:style w:type="paragraph" w:styleId="PlainText">
    <w:name w:val="Plain Text"/>
    <w:basedOn w:val="Normal"/>
    <w:qFormat/>
    <w:pPr/>
    <w:rPr>
      <w:rFonts w:ascii="Courier New" w:hAnsi="Courier New" w:eastAsia="Times New Roman" w:cs="Courier New"/>
      <w:sz w:val="20"/>
      <w:szCs w:val="20"/>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BodyTextIndent3">
    <w:name w:val="Body Text Indent 3"/>
    <w:basedOn w:val="Normal"/>
    <w:qFormat/>
    <w:pPr>
      <w:spacing w:before="0" w:after="120"/>
      <w:ind w:left="283" w:right="0" w:hanging="0"/>
    </w:pPr>
    <w:rPr>
      <w:sz w:val="16"/>
      <w:szCs w:val="16"/>
    </w:rPr>
  </w:style>
  <w:style w:type="paragraph" w:styleId="NoSpacing">
    <w:name w:val="No Spacing"/>
    <w:qFormat/>
    <w:pPr>
      <w:widowControl/>
      <w:suppressAutoHyphens w:val="true"/>
      <w:bidi w:val="0"/>
      <w:spacing w:lineRule="auto" w:line="240" w:before="0" w:after="0"/>
      <w:jc w:val="left"/>
    </w:pPr>
    <w:rPr>
      <w:rFonts w:ascii="Times New Roman" w:hAnsi="Times New Roman" w:eastAsia="Arial Unicode MS" w:cs="Times New Roman"/>
      <w:color w:val="auto"/>
      <w:kern w:val="0"/>
      <w:sz w:val="24"/>
      <w:szCs w:val="24"/>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5</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