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sz w:val="22"/>
          <w:szCs w:val="22"/>
        </w:rPr>
      </w:pPr>
      <w:r>
        <w:rPr>
          <w:sz w:val="22"/>
          <w:szCs w:val="22"/>
        </w:rPr>
        <w:t>The Station Manager promotion pathway is a competitive process. It is essential that the Service selects the best candidates to lead teams and manage incidents on its behalf. There are approximately 6 vacancies at Station Manager level across a range of departments (Prevention, Protection, Training, Resilience and Response).</w:t>
      </w:r>
    </w:p>
    <w:p>
      <w:pPr>
        <w:pStyle w:val="Normal"/>
        <w:rPr>
          <w:sz w:val="22"/>
          <w:szCs w:val="22"/>
        </w:rPr>
      </w:pPr>
      <w:r>
        <w:rPr>
          <w:sz w:val="22"/>
          <w:szCs w:val="22"/>
        </w:rPr>
      </w:r>
    </w:p>
    <w:p>
      <w:pPr>
        <w:pStyle w:val="ListParagraph"/>
        <w:numPr>
          <w:ilvl w:val="1"/>
          <w:numId w:val="2"/>
        </w:numPr>
        <w:ind w:hanging="360" w:left="720" w:right="0"/>
        <w:rPr/>
      </w:pPr>
      <w:r>
        <w:rPr>
          <w:b/>
          <w:bCs/>
          <w:sz w:val="22"/>
          <w:szCs w:val="22"/>
        </w:rPr>
        <w:t>Pre Process Briefing:</w:t>
      </w:r>
      <w:r>
        <w:rPr>
          <w:sz w:val="22"/>
          <w:szCs w:val="22"/>
        </w:rPr>
        <w:t xml:space="preserve"> Candidates interested in applying for the role of Station Manager will be invited to attend one of two briefing sessions. They will take place on 23/10/26 at 1400 and 04/11/26 at 1600sessions will be run online via teams. They are a prerequisite to the application stage, as they set out the details of the process and the additional information candidates will need to engage successfully in the process. The sessions will be run by the Directors and Heads of Department as well as attended by the TAR team. Only one session needs to be attended.</w:t>
      </w:r>
    </w:p>
    <w:p>
      <w:pPr>
        <w:pStyle w:val="ListParagraph"/>
        <w:rPr>
          <w:sz w:val="22"/>
          <w:szCs w:val="22"/>
        </w:rPr>
      </w:pPr>
      <w:r>
        <w:rPr>
          <w:sz w:val="22"/>
          <w:szCs w:val="22"/>
        </w:rPr>
      </w:r>
    </w:p>
    <w:p>
      <w:pPr>
        <w:pStyle w:val="ListParagraph"/>
        <w:numPr>
          <w:ilvl w:val="1"/>
          <w:numId w:val="2"/>
        </w:numPr>
        <w:ind w:hanging="360" w:left="720" w:right="0"/>
        <w:rPr/>
      </w:pPr>
      <w:r>
        <w:rPr>
          <w:b/>
          <w:bCs/>
          <w:sz w:val="22"/>
          <w:szCs w:val="22"/>
        </w:rPr>
        <w:t>Application and Line Manager Reference Form:</w:t>
      </w:r>
      <w:r>
        <w:rPr>
          <w:sz w:val="22"/>
          <w:szCs w:val="22"/>
        </w:rPr>
        <w:t xml:space="preserve"> All applicants will be required to complete an application form providing all relevant personal details and answering the competency-based application question.</w:t>
      </w:r>
    </w:p>
    <w:p>
      <w:pPr>
        <w:pStyle w:val="ListParagraph"/>
        <w:rPr>
          <w:sz w:val="22"/>
          <w:szCs w:val="22"/>
        </w:rPr>
      </w:pPr>
      <w:r>
        <w:rPr>
          <w:sz w:val="22"/>
          <w:szCs w:val="22"/>
        </w:rPr>
      </w:r>
    </w:p>
    <w:p>
      <w:pPr>
        <w:pStyle w:val="ListParagraph"/>
        <w:rPr/>
      </w:pPr>
      <w:r>
        <w:rPr>
          <w:sz w:val="22"/>
          <w:szCs w:val="22"/>
        </w:rPr>
        <w:t>Line Managers are responsible for completing the Line Manager Reference form and returning via email to</w:t>
      </w:r>
      <w:r>
        <w:rPr>
          <w:rFonts w:cs="Arial" w:ascii="Arial" w:hAnsi="Arial"/>
          <w:sz w:val="22"/>
          <w:szCs w:val="22"/>
        </w:rPr>
        <w:t> </w:t>
      </w:r>
      <w:r>
        <w:rPr>
          <w:rStyle w:val="Hyperlink"/>
          <w:sz w:val="22"/>
          <w:szCs w:val="22"/>
        </w:rPr>
        <w:t>promotionpathway@manchesterfire.gov.uk</w:t>
      </w:r>
      <w:r>
        <w:rPr>
          <w:rFonts w:cs="Arial" w:ascii="Arial" w:hAnsi="Arial"/>
          <w:sz w:val="22"/>
          <w:szCs w:val="22"/>
        </w:rPr>
        <w:t> </w:t>
      </w:r>
      <w:r>
        <w:rPr>
          <w:sz w:val="22"/>
          <w:szCs w:val="22"/>
        </w:rPr>
        <w:t>by the closing date.</w:t>
      </w:r>
    </w:p>
    <w:p>
      <w:pPr>
        <w:pStyle w:val="ListParagraph"/>
        <w:rPr>
          <w:sz w:val="22"/>
          <w:szCs w:val="22"/>
        </w:rPr>
      </w:pPr>
      <w:r>
        <w:rPr>
          <w:sz w:val="22"/>
          <w:szCs w:val="22"/>
        </w:rPr>
      </w:r>
    </w:p>
    <w:p>
      <w:pPr>
        <w:pStyle w:val="ListParagraph"/>
        <w:numPr>
          <w:ilvl w:val="1"/>
          <w:numId w:val="2"/>
        </w:numPr>
        <w:ind w:hanging="360" w:left="720" w:right="0"/>
        <w:rPr/>
      </w:pPr>
      <w:r>
        <w:rPr>
          <w:b/>
          <w:bCs/>
          <w:sz w:val="22"/>
          <w:szCs w:val="22"/>
        </w:rPr>
        <w:t xml:space="preserve">Initial shortlist: </w:t>
      </w:r>
      <w:r>
        <w:rPr>
          <w:sz w:val="22"/>
          <w:szCs w:val="22"/>
        </w:rPr>
        <w:t>The first shortlisting process will ensure that all essential criteria has been met. In the event that we should receive an unbalanced number of applications to that of which we have vacancies available, it is within our discretion to also utilise the listed desirable criteria within this initial shortlist also.  </w:t>
      </w:r>
    </w:p>
    <w:p>
      <w:pPr>
        <w:pStyle w:val="ListParagraph"/>
        <w:rPr>
          <w:sz w:val="22"/>
          <w:szCs w:val="22"/>
        </w:rPr>
      </w:pPr>
      <w:r>
        <w:rPr>
          <w:sz w:val="22"/>
          <w:szCs w:val="22"/>
        </w:rPr>
      </w:r>
    </w:p>
    <w:p>
      <w:pPr>
        <w:pStyle w:val="ListParagraph"/>
        <w:numPr>
          <w:ilvl w:val="1"/>
          <w:numId w:val="2"/>
        </w:numPr>
        <w:ind w:hanging="360" w:left="720" w:right="0"/>
        <w:rPr/>
      </w:pPr>
      <w:r>
        <w:rPr>
          <w:b/>
          <w:bCs/>
          <w:sz w:val="22"/>
          <w:szCs w:val="22"/>
        </w:rPr>
        <w:t>Formal Shortlist:</w:t>
      </w:r>
      <w:r>
        <w:rPr>
          <w:sz w:val="22"/>
          <w:szCs w:val="22"/>
        </w:rPr>
        <w:t xml:space="preserve"> Evidence provided for the competency questions will be scored utilising a standardised shortlisting criteria by a diverse assessor panel. All scoring criteria throughout this process will be based on the relevant role map and NFCC Leadership Framework.</w:t>
      </w:r>
    </w:p>
    <w:p>
      <w:pPr>
        <w:pStyle w:val="ListParagraph"/>
        <w:rPr>
          <w:b/>
          <w:bCs/>
          <w:sz w:val="22"/>
          <w:szCs w:val="22"/>
        </w:rPr>
      </w:pPr>
      <w:r>
        <w:rPr>
          <w:b/>
          <w:bCs/>
          <w:sz w:val="22"/>
          <w:szCs w:val="22"/>
        </w:rPr>
      </w:r>
    </w:p>
    <w:p>
      <w:pPr>
        <w:pStyle w:val="ListParagraph"/>
        <w:numPr>
          <w:ilvl w:val="1"/>
          <w:numId w:val="2"/>
        </w:numPr>
        <w:ind w:hanging="360" w:left="720" w:right="0"/>
        <w:rPr/>
      </w:pPr>
      <w:r>
        <w:rPr>
          <w:b/>
          <w:bCs/>
          <w:sz w:val="22"/>
          <w:szCs w:val="22"/>
        </w:rPr>
        <w:t xml:space="preserve">Leadership Behaviour Assessment: </w:t>
      </w:r>
      <w:r>
        <w:rPr>
          <w:sz w:val="22"/>
          <w:szCs w:val="22"/>
        </w:rPr>
        <w:t>Those shortlisted will be invited to attend a leadership potential assessment day (tbc at a later date), This stage will consist of two competency-based assessments including a desktop exercise and presentation (to be prepared on the day). Further information will be provided upon invitation.</w:t>
      </w:r>
    </w:p>
    <w:p>
      <w:pPr>
        <w:pStyle w:val="ListParagraph"/>
        <w:rPr>
          <w:b/>
          <w:bCs/>
          <w:sz w:val="22"/>
          <w:szCs w:val="22"/>
        </w:rPr>
      </w:pPr>
      <w:r>
        <w:rPr>
          <w:b/>
          <w:bCs/>
          <w:sz w:val="22"/>
          <w:szCs w:val="22"/>
        </w:rPr>
      </w:r>
    </w:p>
    <w:p>
      <w:pPr>
        <w:pStyle w:val="ListParagraph"/>
        <w:numPr>
          <w:ilvl w:val="1"/>
          <w:numId w:val="2"/>
        </w:numPr>
        <w:ind w:hanging="360" w:left="720" w:right="0"/>
        <w:rPr/>
      </w:pPr>
      <w:r>
        <w:rPr>
          <w:b/>
          <w:bCs/>
          <w:sz w:val="22"/>
          <w:szCs w:val="22"/>
        </w:rPr>
        <w:t xml:space="preserve">Final Panel Interview: </w:t>
      </w:r>
      <w:r>
        <w:rPr>
          <w:sz w:val="22"/>
          <w:szCs w:val="22"/>
        </w:rPr>
        <w:t>Those successful at their Leadership Behaviour Assessment will be invited to attend a final panel interview assessed against the NFCC Leadership Framework.   </w:t>
      </w:r>
    </w:p>
    <w:p>
      <w:pPr>
        <w:pStyle w:val="ListParagraph"/>
        <w:rPr>
          <w:b/>
          <w:bCs/>
          <w:sz w:val="22"/>
          <w:szCs w:val="22"/>
        </w:rPr>
      </w:pPr>
      <w:r>
        <w:rPr>
          <w:b/>
          <w:bCs/>
          <w:sz w:val="22"/>
          <w:szCs w:val="22"/>
        </w:rPr>
      </w:r>
    </w:p>
    <w:p>
      <w:pPr>
        <w:pStyle w:val="ListParagraph"/>
        <w:numPr>
          <w:ilvl w:val="1"/>
          <w:numId w:val="2"/>
        </w:numPr>
        <w:ind w:hanging="360" w:left="720" w:right="0"/>
        <w:rPr/>
      </w:pPr>
      <w:r>
        <w:rPr>
          <w:b/>
          <w:bCs/>
          <w:sz w:val="22"/>
          <w:szCs w:val="22"/>
        </w:rPr>
        <w:t>Outcomes and SFJ:</w:t>
      </w:r>
      <w:r>
        <w:rPr>
          <w:sz w:val="22"/>
          <w:szCs w:val="22"/>
        </w:rPr>
        <w:t xml:space="preserve"> If successful in your final panel interview you will be invited to attend and complete your SFJ L4 qualification and Internal Leadership Programme. Following successful completion, work placements for development and acting up on the rota to cover short term absence will be offered. Please note, whilst undertaking a SM posting, development rate of pay will be paid until such time the individual is deemed to be competent. To achieve competence in role and pay, all competent essential criteria will need to be met, please see the framework for more details. </w:t>
      </w:r>
      <w:r>
        <w:rPr>
          <w:rFonts w:cs="Arial" w:ascii="Arial" w:hAnsi="Arial"/>
          <w:sz w:val="22"/>
          <w:szCs w:val="22"/>
        </w:rPr>
        <w:t> </w:t>
      </w:r>
      <w:r>
        <w:rPr>
          <w:sz w:val="22"/>
          <w:szCs w:val="22"/>
        </w:rPr>
        <w:t> </w:t>
      </w:r>
    </w:p>
    <w:p>
      <w:pPr>
        <w:pStyle w:val="Normal"/>
        <w:widowControl/>
        <w:bidi w:val="0"/>
        <w:spacing w:lineRule="auto" w:line="276" w:before="0" w:after="160"/>
        <w:jc w:val="left"/>
        <w:rPr/>
      </w:pPr>
      <w:r>
        <w:rPr>
          <w:b/>
          <w:bCs/>
          <w:i/>
          <w:iCs/>
          <w:sz w:val="22"/>
          <w:szCs w:val="22"/>
        </w:rPr>
        <w:t>External Applicants Only Please Note:</w:t>
      </w:r>
      <w:r>
        <w:rPr>
          <w:rFonts w:cs="Arial" w:ascii="Arial" w:hAnsi="Arial"/>
          <w:sz w:val="22"/>
          <w:szCs w:val="22"/>
        </w:rPr>
        <w:t> </w:t>
      </w:r>
      <w:r>
        <w:rPr>
          <w:sz w:val="22"/>
          <w:szCs w:val="22"/>
        </w:rPr>
        <w:t>Successful external applicants whose outcome is promotable through this process may initially be offered a substantive Watch Manager Position with Greater Manchester Fire &amp; Rescue Service. A permanent Station Manager promotion will only be secured on successful completion of all essential</w:t>
      </w:r>
      <w:r>
        <w:rPr>
          <w:rFonts w:cs="Arial" w:ascii="Arial" w:hAnsi="Arial"/>
          <w:sz w:val="22"/>
          <w:szCs w:val="22"/>
        </w:rPr>
        <w:t> </w:t>
      </w:r>
      <w:r>
        <w:rPr>
          <w:rStyle w:val="Hyperlink"/>
          <w:sz w:val="22"/>
          <w:szCs w:val="22"/>
        </w:rPr>
        <w:t>promotion pathway</w:t>
      </w:r>
      <w:r>
        <w:rPr>
          <w:rFonts w:cs="Arial" w:ascii="Arial" w:hAnsi="Arial"/>
          <w:sz w:val="22"/>
          <w:szCs w:val="22"/>
        </w:rPr>
        <w:t> </w:t>
      </w:r>
      <w:r>
        <w:rPr>
          <w:sz w:val="22"/>
          <w:szCs w:val="22"/>
        </w:rPr>
        <w:t>criteria.  </w:t>
      </w:r>
    </w:p>
    <w:sectPr>
      <w:headerReference w:type="default" r:id="rId2"/>
      <w:type w:val="nextPage"/>
      <w:pgSz w:w="11906" w:h="16838"/>
      <w:pgMar w:left="1440" w:right="1440" w:gutter="0" w:header="708"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Liberation Sans">
    <w:altName w:val="Arial"/>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b/>
        <w:bCs/>
        <w:sz w:val="32"/>
        <w:szCs w:val="32"/>
      </w:rPr>
    </w:pPr>
    <w:r>
      <w:rPr/>
      <w:drawing>
        <wp:inline distT="0" distB="0" distL="0" distR="0">
          <wp:extent cx="4960620" cy="112014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6" t="-26" r="-6" b="-26"/>
                  <a:stretch>
                    <a:fillRect/>
                  </a:stretch>
                </pic:blipFill>
                <pic:spPr bwMode="auto">
                  <a:xfrm>
                    <a:off x="0" y="0"/>
                    <a:ext cx="4960620" cy="1120140"/>
                  </a:xfrm>
                  <a:prstGeom prst="rect">
                    <a:avLst/>
                  </a:prstGeom>
                </pic:spPr>
              </pic:pic>
            </a:graphicData>
          </a:graphic>
        </wp:inline>
      </w:drawing>
    </w:r>
  </w:p>
  <w:p>
    <w:pPr>
      <w:pStyle w:val="Header"/>
      <w:jc w:val="center"/>
      <w:rPr>
        <w:b/>
        <w:bCs/>
        <w:sz w:val="32"/>
        <w:szCs w:val="32"/>
      </w:rPr>
    </w:pPr>
    <w:r>
      <w:rPr>
        <w:b/>
        <w:bCs/>
        <w:sz w:val="32"/>
        <w:szCs w:val="32"/>
      </w:rPr>
      <w:t>External Station Manager Promotional Pathway &amp; Inter Service Transfer Process</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pStyle w:val="Heading9"/>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160"/>
      <w:jc w:val="left"/>
    </w:pPr>
    <w:rPr>
      <w:rFonts w:ascii="Aptos" w:hAnsi="Aptos" w:eastAsia="Aptos" w:cs=""/>
      <w:color w:val="auto"/>
      <w:kern w:val="2"/>
      <w:sz w:val="24"/>
      <w:szCs w:val="24"/>
      <w:lang w:val="en-GB" w:eastAsia="en-US" w:bidi="ar-SA"/>
    </w:rPr>
  </w:style>
  <w:style w:type="paragraph" w:styleId="Heading1">
    <w:name w:val="Heading 1"/>
    <w:basedOn w:val="Normal"/>
    <w:next w:val="Normal"/>
    <w:qFormat/>
    <w:pPr>
      <w:keepNext w:val="true"/>
      <w:keepLines/>
      <w:numPr>
        <w:ilvl w:val="0"/>
        <w:numId w:val="1"/>
      </w:numPr>
      <w:spacing w:before="360" w:after="80"/>
      <w:outlineLvl w:val="0"/>
    </w:pPr>
    <w:rPr>
      <w:rFonts w:ascii="Aptos Display" w:hAnsi="Aptos Display" w:eastAsia="" w:cs=""/>
      <w:color w:val="0F4761"/>
      <w:sz w:val="40"/>
      <w:szCs w:val="40"/>
    </w:rPr>
  </w:style>
  <w:style w:type="paragraph" w:styleId="Heading2">
    <w:name w:val="Heading 2"/>
    <w:basedOn w:val="Normal"/>
    <w:next w:val="Normal"/>
    <w:qFormat/>
    <w:pPr>
      <w:keepNext w:val="true"/>
      <w:keepLines/>
      <w:numPr>
        <w:ilvl w:val="1"/>
        <w:numId w:val="1"/>
      </w:numPr>
      <w:spacing w:before="160" w:after="80"/>
      <w:outlineLvl w:val="1"/>
    </w:pPr>
    <w:rPr>
      <w:rFonts w:ascii="Aptos Display" w:hAnsi="Aptos Display" w:eastAsia="" w:cs=""/>
      <w:color w:val="0F4761"/>
      <w:sz w:val="32"/>
      <w:szCs w:val="32"/>
    </w:rPr>
  </w:style>
  <w:style w:type="paragraph" w:styleId="Heading3">
    <w:name w:val="Heading 3"/>
    <w:basedOn w:val="Normal"/>
    <w:next w:val="Normal"/>
    <w:qFormat/>
    <w:pPr>
      <w:keepNext w:val="true"/>
      <w:keepLines/>
      <w:numPr>
        <w:ilvl w:val="2"/>
        <w:numId w:val="1"/>
      </w:numPr>
      <w:spacing w:before="160" w:after="80"/>
      <w:outlineLvl w:val="2"/>
    </w:pPr>
    <w:rPr>
      <w:rFonts w:eastAsia="" w:cs=""/>
      <w:color w:val="0F4761"/>
      <w:sz w:val="28"/>
      <w:szCs w:val="28"/>
    </w:rPr>
  </w:style>
  <w:style w:type="paragraph" w:styleId="Heading4">
    <w:name w:val="Heading 4"/>
    <w:basedOn w:val="Normal"/>
    <w:next w:val="Normal"/>
    <w:qFormat/>
    <w:pPr>
      <w:keepNext w:val="true"/>
      <w:keepLines/>
      <w:numPr>
        <w:ilvl w:val="3"/>
        <w:numId w:val="1"/>
      </w:numPr>
      <w:spacing w:before="80" w:after="40"/>
      <w:outlineLvl w:val="3"/>
    </w:pPr>
    <w:rPr>
      <w:rFonts w:eastAsia="" w:cs=""/>
      <w:i/>
      <w:iCs/>
      <w:color w:val="0F4761"/>
    </w:rPr>
  </w:style>
  <w:style w:type="paragraph" w:styleId="Heading5">
    <w:name w:val="Heading 5"/>
    <w:basedOn w:val="Normal"/>
    <w:next w:val="Normal"/>
    <w:qFormat/>
    <w:pPr>
      <w:keepNext w:val="true"/>
      <w:keepLines/>
      <w:numPr>
        <w:ilvl w:val="4"/>
        <w:numId w:val="1"/>
      </w:numPr>
      <w:spacing w:before="80" w:after="40"/>
      <w:outlineLvl w:val="4"/>
    </w:pPr>
    <w:rPr>
      <w:rFonts w:eastAsia="" w:cs=""/>
      <w:color w:val="0F4761"/>
    </w:rPr>
  </w:style>
  <w:style w:type="paragraph" w:styleId="Heading6">
    <w:name w:val="Heading 6"/>
    <w:basedOn w:val="Normal"/>
    <w:next w:val="Normal"/>
    <w:qFormat/>
    <w:pPr>
      <w:keepNext w:val="true"/>
      <w:keepLines/>
      <w:numPr>
        <w:ilvl w:val="5"/>
        <w:numId w:val="1"/>
      </w:numPr>
      <w:spacing w:before="40" w:after="0"/>
      <w:outlineLvl w:val="5"/>
    </w:pPr>
    <w:rPr>
      <w:rFonts w:eastAsia="" w:cs=""/>
      <w:i/>
      <w:iCs/>
      <w:color w:val="595959"/>
    </w:rPr>
  </w:style>
  <w:style w:type="paragraph" w:styleId="Heading7">
    <w:name w:val="Heading 7"/>
    <w:basedOn w:val="Normal"/>
    <w:next w:val="Normal"/>
    <w:qFormat/>
    <w:pPr>
      <w:keepNext w:val="true"/>
      <w:keepLines/>
      <w:numPr>
        <w:ilvl w:val="6"/>
        <w:numId w:val="1"/>
      </w:numPr>
      <w:spacing w:before="40" w:after="0"/>
      <w:outlineLvl w:val="6"/>
    </w:pPr>
    <w:rPr>
      <w:rFonts w:eastAsia="" w:cs=""/>
      <w:color w:val="595959"/>
    </w:rPr>
  </w:style>
  <w:style w:type="paragraph" w:styleId="Heading8">
    <w:name w:val="Heading 8"/>
    <w:basedOn w:val="Normal"/>
    <w:next w:val="Normal"/>
    <w:qFormat/>
    <w:pPr>
      <w:keepNext w:val="true"/>
      <w:keepLines/>
      <w:numPr>
        <w:ilvl w:val="7"/>
        <w:numId w:val="1"/>
      </w:numPr>
      <w:spacing w:before="0" w:after="0"/>
      <w:outlineLvl w:val="7"/>
    </w:pPr>
    <w:rPr>
      <w:rFonts w:eastAsia="" w:cs=""/>
      <w:i/>
      <w:iCs/>
      <w:color w:val="272727"/>
    </w:rPr>
  </w:style>
  <w:style w:type="paragraph" w:styleId="Heading9">
    <w:name w:val="Heading 9"/>
    <w:basedOn w:val="Normal"/>
    <w:next w:val="Normal"/>
    <w:qFormat/>
    <w:pPr>
      <w:keepNext w:val="true"/>
      <w:keepLines/>
      <w:numPr>
        <w:ilvl w:val="8"/>
        <w:numId w:val="1"/>
      </w:numPr>
      <w:spacing w:before="0" w:after="0"/>
      <w:outlineLvl w:val="8"/>
    </w:pPr>
    <w:rPr>
      <w:rFonts w:eastAsia="" w:cs=""/>
      <w:color w:val="272727"/>
    </w:rPr>
  </w:style>
  <w:style w:type="character" w:styleId="DefaultParagraphFont">
    <w:name w:val="Default Paragraph Font"/>
    <w:qFormat/>
    <w:rPr/>
  </w:style>
  <w:style w:type="character" w:styleId="Heading1Char">
    <w:name w:val="Heading 1 Char"/>
    <w:basedOn w:val="DefaultParagraphFont"/>
    <w:qFormat/>
    <w:rPr>
      <w:rFonts w:ascii="Aptos Display" w:hAnsi="Aptos Display" w:eastAsia="" w:cs=""/>
      <w:color w:val="0F4761"/>
      <w:sz w:val="40"/>
      <w:szCs w:val="40"/>
    </w:rPr>
  </w:style>
  <w:style w:type="character" w:styleId="Heading2Char">
    <w:name w:val="Heading 2 Char"/>
    <w:basedOn w:val="DefaultParagraphFont"/>
    <w:qFormat/>
    <w:rPr>
      <w:rFonts w:ascii="Aptos Display" w:hAnsi="Aptos Display" w:eastAsia="" w:cs=""/>
      <w:color w:val="0F4761"/>
      <w:sz w:val="32"/>
      <w:szCs w:val="32"/>
    </w:rPr>
  </w:style>
  <w:style w:type="character" w:styleId="Heading3Char">
    <w:name w:val="Heading 3 Char"/>
    <w:basedOn w:val="DefaultParagraphFont"/>
    <w:qFormat/>
    <w:rPr>
      <w:rFonts w:eastAsia="" w:cs=""/>
      <w:color w:val="0F4761"/>
      <w:sz w:val="28"/>
      <w:szCs w:val="28"/>
    </w:rPr>
  </w:style>
  <w:style w:type="character" w:styleId="Heading4Char">
    <w:name w:val="Heading 4 Char"/>
    <w:basedOn w:val="DefaultParagraphFont"/>
    <w:qFormat/>
    <w:rPr>
      <w:rFonts w:eastAsia="" w:cs=""/>
      <w:i/>
      <w:iCs/>
      <w:color w:val="0F4761"/>
    </w:rPr>
  </w:style>
  <w:style w:type="character" w:styleId="Heading5Char">
    <w:name w:val="Heading 5 Char"/>
    <w:basedOn w:val="DefaultParagraphFont"/>
    <w:qFormat/>
    <w:rPr>
      <w:rFonts w:eastAsia="" w:cs=""/>
      <w:color w:val="0F4761"/>
    </w:rPr>
  </w:style>
  <w:style w:type="character" w:styleId="Heading6Char">
    <w:name w:val="Heading 6 Char"/>
    <w:basedOn w:val="DefaultParagraphFont"/>
    <w:qFormat/>
    <w:rPr>
      <w:rFonts w:eastAsia="" w:cs=""/>
      <w:i/>
      <w:iCs/>
      <w:color w:val="595959"/>
    </w:rPr>
  </w:style>
  <w:style w:type="character" w:styleId="Heading7Char">
    <w:name w:val="Heading 7 Char"/>
    <w:basedOn w:val="DefaultParagraphFont"/>
    <w:qFormat/>
    <w:rPr>
      <w:rFonts w:eastAsia="" w:cs=""/>
      <w:color w:val="595959"/>
    </w:rPr>
  </w:style>
  <w:style w:type="character" w:styleId="Heading8Char">
    <w:name w:val="Heading 8 Char"/>
    <w:basedOn w:val="DefaultParagraphFont"/>
    <w:qFormat/>
    <w:rPr>
      <w:rFonts w:eastAsia="" w:cs=""/>
      <w:i/>
      <w:iCs/>
      <w:color w:val="272727"/>
    </w:rPr>
  </w:style>
  <w:style w:type="character" w:styleId="Heading9Char">
    <w:name w:val="Heading 9 Char"/>
    <w:basedOn w:val="DefaultParagraphFont"/>
    <w:qFormat/>
    <w:rPr>
      <w:rFonts w:eastAsia="" w:cs=""/>
      <w:color w:val="272727"/>
    </w:rPr>
  </w:style>
  <w:style w:type="character" w:styleId="TitleChar">
    <w:name w:val="Title Char"/>
    <w:basedOn w:val="DefaultParagraphFont"/>
    <w:qFormat/>
    <w:rPr>
      <w:rFonts w:ascii="Aptos Display" w:hAnsi="Aptos Display" w:eastAsia="" w:cs=""/>
      <w:spacing w:val="-10"/>
      <w:kern w:val="2"/>
      <w:sz w:val="56"/>
      <w:szCs w:val="56"/>
    </w:rPr>
  </w:style>
  <w:style w:type="character" w:styleId="SubtitleChar">
    <w:name w:val="Subtitle Char"/>
    <w:basedOn w:val="DefaultParagraphFont"/>
    <w:qFormat/>
    <w:rPr>
      <w:rFonts w:eastAsia="" w:cs=""/>
      <w:color w:val="595959"/>
      <w:spacing w:val="15"/>
      <w:sz w:val="28"/>
      <w:szCs w:val="28"/>
    </w:rPr>
  </w:style>
  <w:style w:type="character" w:styleId="QuoteChar">
    <w:name w:val="Quote Char"/>
    <w:basedOn w:val="DefaultParagraphFont"/>
    <w:qFormat/>
    <w:rPr>
      <w:i/>
      <w:iCs/>
      <w:color w:val="404040"/>
    </w:rPr>
  </w:style>
  <w:style w:type="character" w:styleId="IntenseEmphasis">
    <w:name w:val="Intense Emphasis"/>
    <w:basedOn w:val="DefaultParagraphFont"/>
    <w:qFormat/>
    <w:rPr>
      <w:i/>
      <w:iCs/>
      <w:color w:val="0F4761"/>
    </w:rPr>
  </w:style>
  <w:style w:type="character" w:styleId="IntenseQuoteChar">
    <w:name w:val="Intense Quote Char"/>
    <w:basedOn w:val="DefaultParagraphFont"/>
    <w:qFormat/>
    <w:rPr>
      <w:i/>
      <w:iCs/>
      <w:color w:val="0F4761"/>
    </w:rPr>
  </w:style>
  <w:style w:type="character" w:styleId="IntenseReference">
    <w:name w:val="Intense Reference"/>
    <w:basedOn w:val="DefaultParagraphFont"/>
    <w:qFormat/>
    <w:rPr>
      <w:b/>
      <w:bCs/>
      <w:smallCaps/>
      <w:color w:val="0F4761"/>
      <w:spacing w:val="5"/>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467886"/>
      <w:u w:val="single"/>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spacing w:lineRule="auto" w:line="240" w:before="0" w:after="80"/>
      <w:contextualSpacing/>
    </w:pPr>
    <w:rPr>
      <w:rFonts w:ascii="Aptos Display" w:hAnsi="Aptos Display" w:eastAsia="" w:cs=""/>
      <w:spacing w:val="-10"/>
      <w:kern w:val="2"/>
      <w:sz w:val="56"/>
      <w:szCs w:val="56"/>
    </w:rPr>
  </w:style>
  <w:style w:type="paragraph" w:styleId="Subtitle">
    <w:name w:val="Subtitle"/>
    <w:basedOn w:val="Normal"/>
    <w:next w:val="Normal"/>
    <w:qFormat/>
    <w:pPr/>
    <w:rPr>
      <w:rFonts w:eastAsia="" w:cs=""/>
      <w:color w:val="595959"/>
      <w:spacing w:val="15"/>
      <w:sz w:val="28"/>
      <w:szCs w:val="28"/>
    </w:rPr>
  </w:style>
  <w:style w:type="paragraph" w:styleId="Quote">
    <w:name w:val="Quote"/>
    <w:basedOn w:val="Normal"/>
    <w:next w:val="Normal"/>
    <w:qFormat/>
    <w:pPr>
      <w:spacing w:before="160" w:after="160"/>
      <w:jc w:val="center"/>
    </w:pPr>
    <w:rPr>
      <w:i/>
      <w:iCs/>
      <w:color w:val="404040"/>
    </w:rPr>
  </w:style>
  <w:style w:type="paragraph" w:styleId="ListParagraph">
    <w:name w:val="List Paragraph"/>
    <w:basedOn w:val="Normal"/>
    <w:qFormat/>
    <w:pPr>
      <w:spacing w:before="0" w:after="160"/>
      <w:ind w:hanging="0" w:left="720" w:right="0"/>
      <w:contextualSpacing/>
    </w:pPr>
    <w:rPr/>
  </w:style>
  <w:style w:type="paragraph" w:styleId="IntenseQuote">
    <w:name w:val="Intense Quote"/>
    <w:basedOn w:val="Normal"/>
    <w:next w:val="Normal"/>
    <w:qFormat/>
    <w:pPr>
      <w:pBdr>
        <w:top w:val="single" w:sz="4" w:space="10" w:color="0F4761"/>
        <w:bottom w:val="single" w:sz="4" w:space="10" w:color="0F4761"/>
      </w:pBdr>
      <w:spacing w:before="360" w:after="360"/>
      <w:ind w:hanging="0" w:left="864" w:right="864"/>
      <w:jc w:val="center"/>
    </w:pPr>
    <w:rPr>
      <w:i/>
      <w:iCs/>
      <w:color w:val="0F4761"/>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