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header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fill="004F6E" w:val="clear"/>
        <w:ind w:hanging="0" w:left="0"/>
        <w:rPr>
          <w:rFonts w:cs="Arial"/>
          <w:sz w:val="24"/>
          <w:szCs w:val="24"/>
        </w:rPr>
      </w:pPr>
      <w:r>
        <w:rPr>
          <w:rFonts w:cs="Arial"/>
          <w:sz w:val="24"/>
          <w:szCs w:val="24"/>
        </w:rPr>
        <w:t>Role profile</w:t>
      </w:r>
    </w:p>
    <w:p>
      <w:pPr>
        <w:pStyle w:val="ListParagraph"/>
        <w:widowControl/>
        <w:numPr>
          <w:ilvl w:val="0"/>
          <w:numId w:val="2"/>
        </w:numPr>
        <w:spacing w:lineRule="auto" w:line="256" w:before="0" w:after="160"/>
        <w:contextualSpacing/>
        <w:rPr/>
      </w:pPr>
      <w:r>
        <w:rPr>
          <w:b/>
          <w:bCs/>
          <w:szCs w:val="24"/>
        </w:rPr>
        <w:t>Job title:</w:t>
      </w:r>
      <w:r>
        <w:rPr>
          <w:szCs w:val="24"/>
        </w:rPr>
        <w:t xml:space="preserve"> Resident Engagement Officer</w:t>
      </w:r>
    </w:p>
    <w:p>
      <w:pPr>
        <w:pStyle w:val="ListParagraph"/>
        <w:widowControl/>
        <w:numPr>
          <w:ilvl w:val="0"/>
          <w:numId w:val="2"/>
        </w:numPr>
        <w:spacing w:lineRule="auto" w:line="256" w:before="0" w:after="160"/>
        <w:contextualSpacing/>
        <w:rPr/>
      </w:pPr>
      <w:r>
        <w:rPr>
          <w:b/>
          <w:bCs/>
          <w:szCs w:val="24"/>
        </w:rPr>
        <w:t>Grade:</w:t>
      </w:r>
      <w:r>
        <w:rPr>
          <w:szCs w:val="24"/>
        </w:rPr>
        <w:t xml:space="preserve"> TBC – subject to job evaluation</w:t>
      </w:r>
    </w:p>
    <w:p>
      <w:pPr>
        <w:pStyle w:val="ListParagraph"/>
        <w:widowControl/>
        <w:numPr>
          <w:ilvl w:val="0"/>
          <w:numId w:val="2"/>
        </w:numPr>
        <w:spacing w:lineRule="auto" w:line="256" w:before="0" w:after="160"/>
        <w:contextualSpacing/>
        <w:rPr/>
      </w:pPr>
      <w:r>
        <w:rPr>
          <w:b/>
          <w:bCs/>
          <w:szCs w:val="24"/>
        </w:rPr>
        <w:t>Business area:</w:t>
      </w:r>
      <w:r>
        <w:rPr>
          <w:szCs w:val="24"/>
        </w:rPr>
        <w:t xml:space="preserve"> Community Safety &amp; Training</w:t>
      </w:r>
    </w:p>
    <w:p>
      <w:pPr>
        <w:pStyle w:val="ListParagraph"/>
        <w:widowControl/>
        <w:numPr>
          <w:ilvl w:val="0"/>
          <w:numId w:val="2"/>
        </w:numPr>
        <w:spacing w:lineRule="auto" w:line="256" w:before="0" w:after="160"/>
        <w:contextualSpacing/>
        <w:rPr/>
      </w:pPr>
      <w:r>
        <w:rPr>
          <w:b/>
          <w:bCs/>
          <w:szCs w:val="24"/>
        </w:rPr>
        <w:t>Reporting line:</w:t>
      </w:r>
      <w:r>
        <w:rPr>
          <w:szCs w:val="24"/>
        </w:rPr>
        <w:t xml:space="preserve"> Remediation Delivery Team Protection Manager </w:t>
      </w:r>
    </w:p>
    <w:p>
      <w:pPr>
        <w:pStyle w:val="ListParagraph"/>
        <w:widowControl/>
        <w:numPr>
          <w:ilvl w:val="0"/>
          <w:numId w:val="2"/>
        </w:numPr>
        <w:spacing w:lineRule="auto" w:line="256" w:before="0" w:after="160"/>
        <w:contextualSpacing/>
        <w:rPr/>
      </w:pPr>
      <w:r>
        <w:rPr>
          <w:b/>
          <w:bCs/>
          <w:szCs w:val="24"/>
        </w:rPr>
        <w:t>Team:</w:t>
      </w:r>
      <w:r>
        <w:rPr>
          <w:szCs w:val="24"/>
        </w:rPr>
        <w:t xml:space="preserve"> Remediation Delivery Team</w:t>
      </w:r>
    </w:p>
    <w:p>
      <w:pPr>
        <w:pStyle w:val="Heading2"/>
        <w:ind w:hanging="0" w:left="0"/>
        <w:rPr>
          <w:rFonts w:cs="Arial"/>
          <w:sz w:val="24"/>
          <w:szCs w:val="24"/>
        </w:rPr>
      </w:pPr>
      <w:r>
        <w:rPr>
          <w:rFonts w:cs="Arial"/>
          <w:sz w:val="24"/>
          <w:szCs w:val="24"/>
        </w:rPr>
        <w:t>Job Purpose</w:t>
      </w:r>
    </w:p>
    <w:p>
      <w:pPr>
        <w:pStyle w:val="Normal"/>
        <w:rPr/>
      </w:pPr>
      <w:r>
        <w:rPr/>
        <w:t>As a Resident Engagement Officer, you will play a key role in supporting the delivery of the Greater Manchester Remediation Acceleration Plan by ensuring residents impacted by building safety defects are engaged, informed and supported throughout the remediation process.</w:t>
      </w:r>
    </w:p>
    <w:p>
      <w:pPr>
        <w:pStyle w:val="Normal"/>
        <w:rPr/>
      </w:pPr>
      <w:r>
        <w:rPr/>
        <w:t>The post holder will work within the Remediation Delivery Team, supporting a residents first approach and providing an accessible point of contact, supporting meaningful engagement with residents so that their views, concerns and experiences inform case management, programme delivery and continuous improvement.</w:t>
      </w:r>
    </w:p>
    <w:p>
      <w:pPr>
        <w:pStyle w:val="Normal"/>
        <w:rPr/>
      </w:pPr>
      <w:r>
        <w:rPr/>
        <w:t>You will prepare and update clear, accessible advisory information for residents, act as a key point of contact for the team and provide bespoke advice, reassurance and signposting where required.</w:t>
      </w:r>
    </w:p>
    <w:p>
      <w:pPr>
        <w:pStyle w:val="Normal"/>
        <w:rPr/>
      </w:pPr>
      <w:r>
        <w:rPr/>
        <w:t>You will help identify and escalate cases where communication with residents does not meet expected standards and, where issues cannot be resolved directly, escalate concerns through the relevant funding scheme or partner organisation to support improvement and accountability.</w:t>
      </w:r>
    </w:p>
    <w:p>
      <w:pPr>
        <w:sectPr>
          <w:headerReference w:type="default" r:id="rId2"/>
          <w:footerReference w:type="default" r:id="rId3"/>
          <w:type w:val="nextPage"/>
          <w:pgSz w:w="11906" w:h="16838"/>
          <w:pgMar w:left="1276" w:right="1410" w:gutter="0" w:header="709" w:top="766" w:footer="0" w:bottom="1418"/>
          <w:pgNumType w:fmt="decimal"/>
          <w:formProt w:val="false"/>
          <w:textDirection w:val="lrTb"/>
          <w:docGrid w:type="default" w:linePitch="326" w:charSpace="0"/>
        </w:sectPr>
        <w:pStyle w:val="Normal"/>
        <w:rPr/>
      </w:pPr>
      <w:r>
        <w:rPr>
          <w:rFonts w:cs="Arial"/>
          <w:color w:val="auto"/>
          <w:szCs w:val="24"/>
          <w:lang w:val="en-US"/>
        </w:rPr>
        <w:t>The postholder will not provide technical, legal or financial advice, determine compliance, make enforcement decisions or approve remediation solutions. Technical and regulatory decisions remain the responsibility of appropriately authorised and competent officers and partner organisations.</w:t>
      </w:r>
      <w:r>
        <w:rPr>
          <w:rFonts w:cs="Arial"/>
          <w:color w:val="auto"/>
          <w:szCs w:val="24"/>
        </w:rPr>
        <w:t> </w:t>
      </w:r>
    </w:p>
    <w:p>
      <w:pPr>
        <w:pStyle w:val="Heading2"/>
        <w:shd w:fill="004F6E" w:val="clear"/>
        <w:ind w:hanging="0" w:left="0"/>
        <w:rPr>
          <w:rFonts w:cs="Arial"/>
          <w:sz w:val="24"/>
          <w:szCs w:val="24"/>
        </w:rPr>
      </w:pPr>
      <w:r>
        <w:rPr>
          <w:rFonts w:cs="Arial"/>
          <w:sz w:val="24"/>
          <w:szCs w:val="24"/>
        </w:rPr>
        <w:t>Key working relationships</w:t>
      </w:r>
    </w:p>
    <w:p>
      <w:pPr>
        <w:pStyle w:val="ListParagraph"/>
        <w:widowControl/>
        <w:numPr>
          <w:ilvl w:val="0"/>
          <w:numId w:val="3"/>
        </w:numPr>
        <w:spacing w:lineRule="auto" w:line="256" w:before="0" w:after="160"/>
        <w:contextualSpacing/>
        <w:rPr/>
      </w:pPr>
      <w:r>
        <w:rPr>
          <w:szCs w:val="24"/>
        </w:rPr>
        <w:t>Remediation Delivery Team</w:t>
      </w:r>
    </w:p>
    <w:p>
      <w:pPr>
        <w:pStyle w:val="ListParagraph"/>
        <w:widowControl/>
        <w:numPr>
          <w:ilvl w:val="0"/>
          <w:numId w:val="3"/>
        </w:numPr>
        <w:spacing w:lineRule="auto" w:line="256" w:before="0" w:after="160"/>
        <w:contextualSpacing/>
        <w:rPr/>
      </w:pPr>
      <w:r>
        <w:rPr>
          <w:szCs w:val="24"/>
        </w:rPr>
        <w:t>Prevention and Protection Management Teams</w:t>
      </w:r>
    </w:p>
    <w:p>
      <w:pPr>
        <w:pStyle w:val="ListParagraph"/>
        <w:widowControl/>
        <w:numPr>
          <w:ilvl w:val="0"/>
          <w:numId w:val="3"/>
        </w:numPr>
        <w:spacing w:lineRule="auto" w:line="256" w:before="0" w:after="160"/>
        <w:contextualSpacing/>
        <w:rPr/>
      </w:pPr>
      <w:r>
        <w:rPr>
          <w:szCs w:val="24"/>
        </w:rPr>
        <w:t>Higher Risk Buildings and Protection Teams</w:t>
      </w:r>
    </w:p>
    <w:p>
      <w:pPr>
        <w:pStyle w:val="ListParagraph"/>
        <w:widowControl/>
        <w:numPr>
          <w:ilvl w:val="0"/>
          <w:numId w:val="3"/>
        </w:numPr>
        <w:spacing w:lineRule="auto" w:line="256" w:before="0" w:after="160"/>
        <w:contextualSpacing/>
        <w:rPr/>
      </w:pPr>
      <w:r>
        <w:rPr>
          <w:szCs w:val="24"/>
        </w:rPr>
        <w:t>GMFRS and GMCA Communications and Engagement colleagues</w:t>
      </w:r>
    </w:p>
    <w:p>
      <w:pPr>
        <w:pStyle w:val="ListParagraph"/>
        <w:widowControl/>
        <w:numPr>
          <w:ilvl w:val="0"/>
          <w:numId w:val="3"/>
        </w:numPr>
        <w:spacing w:lineRule="auto" w:line="256" w:before="0" w:after="160"/>
        <w:contextualSpacing/>
        <w:rPr/>
      </w:pPr>
      <w:r>
        <w:rPr>
          <w:szCs w:val="24"/>
        </w:rPr>
        <w:t>Residents, leaseholders and resident groups/representatives</w:t>
      </w:r>
    </w:p>
    <w:p>
      <w:pPr>
        <w:pStyle w:val="ListParagraph"/>
        <w:widowControl/>
        <w:numPr>
          <w:ilvl w:val="0"/>
          <w:numId w:val="3"/>
        </w:numPr>
        <w:spacing w:lineRule="auto" w:line="256" w:before="0" w:after="160"/>
        <w:contextualSpacing/>
        <w:rPr/>
      </w:pPr>
      <w:r>
        <w:rPr>
          <w:szCs w:val="24"/>
        </w:rPr>
        <w:t>Managing agents, housing providers and responsible persons</w:t>
      </w:r>
    </w:p>
    <w:p>
      <w:pPr>
        <w:pStyle w:val="ListParagraph"/>
        <w:widowControl/>
        <w:numPr>
          <w:ilvl w:val="0"/>
          <w:numId w:val="3"/>
        </w:numPr>
        <w:spacing w:lineRule="auto" w:line="256" w:before="0" w:after="160"/>
        <w:contextualSpacing/>
        <w:rPr/>
      </w:pPr>
      <w:r>
        <w:rPr>
          <w:szCs w:val="24"/>
        </w:rPr>
        <w:t>Funding bodies and partner organisations</w:t>
      </w:r>
    </w:p>
    <w:p>
      <w:pPr>
        <w:pStyle w:val="ListParagraph"/>
        <w:widowControl/>
        <w:numPr>
          <w:ilvl w:val="0"/>
          <w:numId w:val="3"/>
        </w:numPr>
        <w:spacing w:lineRule="auto" w:line="256" w:before="0" w:after="160"/>
        <w:contextualSpacing/>
        <w:rPr/>
      </w:pPr>
      <w:r>
        <w:rPr>
          <w:szCs w:val="24"/>
        </w:rPr>
        <w:t>Local authorities and other external agencies across Greater Manchester</w:t>
      </w:r>
    </w:p>
    <w:p>
      <w:pPr>
        <w:pStyle w:val="ListParagraph"/>
        <w:numPr>
          <w:ilvl w:val="0"/>
          <w:numId w:val="3"/>
        </w:numPr>
        <w:spacing w:lineRule="auto" w:line="256" w:before="60" w:after="160"/>
        <w:contextualSpacing/>
        <w:rPr/>
      </w:pPr>
      <w:r>
        <w:rPr>
          <w:szCs w:val="24"/>
          <w:lang w:val="en-US"/>
        </w:rPr>
        <w:t>Homes England, relevant government departments, funding schemes and partner organisations</w:t>
      </w:r>
      <w:r>
        <w:rPr>
          <w:szCs w:val="24"/>
        </w:rPr>
        <w:t> </w:t>
      </w:r>
    </w:p>
    <w:p>
      <w:pPr>
        <w:pStyle w:val="ListParagraph"/>
        <w:numPr>
          <w:ilvl w:val="0"/>
          <w:numId w:val="3"/>
        </w:numPr>
        <w:spacing w:lineRule="auto" w:line="256" w:before="60" w:after="160"/>
        <w:contextualSpacing/>
        <w:rPr/>
      </w:pPr>
      <w:r>
        <w:rPr>
          <w:szCs w:val="24"/>
          <w:lang w:val="en-US"/>
        </w:rPr>
        <w:t>Building Safety Regulator and other relevant regulatory or enforcement partners</w:t>
      </w:r>
      <w:r>
        <w:rPr>
          <w:szCs w:val="24"/>
        </w:rPr>
        <w:t> </w:t>
      </w:r>
    </w:p>
    <w:p>
      <w:pPr>
        <w:pStyle w:val="ListParagraph"/>
        <w:numPr>
          <w:ilvl w:val="0"/>
          <w:numId w:val="3"/>
        </w:numPr>
        <w:spacing w:lineRule="auto" w:line="256" w:before="60" w:after="160"/>
        <w:contextualSpacing/>
        <w:rPr/>
      </w:pPr>
      <w:r>
        <w:rPr>
          <w:szCs w:val="24"/>
          <w:lang w:val="en-US"/>
        </w:rPr>
        <w:t>Voluntary, advocacy, wellbeing and specialist support organisations</w:t>
      </w:r>
      <w:r>
        <w:rPr>
          <w:szCs w:val="24"/>
        </w:rPr>
        <w:t> </w:t>
      </w:r>
    </w:p>
    <w:p>
      <w:pPr>
        <w:pStyle w:val="Heading2"/>
        <w:ind w:hanging="0" w:left="0"/>
        <w:rPr>
          <w:rFonts w:cs="Arial"/>
          <w:sz w:val="24"/>
          <w:szCs w:val="24"/>
        </w:rPr>
      </w:pPr>
      <w:r>
        <w:rPr>
          <w:rFonts w:cs="Arial"/>
          <w:sz w:val="24"/>
          <w:szCs w:val="24"/>
        </w:rPr>
        <w:t>Key Responsibilities</w:t>
      </w:r>
    </w:p>
    <w:p>
      <w:pPr>
        <w:pStyle w:val="Normal"/>
        <w:numPr>
          <w:ilvl w:val="0"/>
          <w:numId w:val="6"/>
        </w:numPr>
        <w:spacing w:lineRule="auto" w:line="256" w:before="0" w:after="160"/>
        <w:contextualSpacing/>
        <w:rPr/>
      </w:pPr>
      <w:r>
        <w:rPr>
          <w:szCs w:val="24"/>
          <w:lang w:val="en-US"/>
        </w:rPr>
        <w:t>Support implementation of the Greater Manchester residents first approach to remediation</w:t>
      </w:r>
    </w:p>
    <w:p>
      <w:pPr>
        <w:pStyle w:val="Normal"/>
        <w:numPr>
          <w:ilvl w:val="0"/>
          <w:numId w:val="7"/>
        </w:numPr>
        <w:spacing w:lineRule="auto" w:line="256" w:before="0" w:after="160"/>
        <w:contextualSpacing/>
        <w:rPr/>
      </w:pPr>
      <w:r>
        <w:rPr>
          <w:szCs w:val="24"/>
          <w:lang w:val="en-US"/>
        </w:rPr>
        <w:t>Build trusted and constructive relationships with residents, leaseholders, tenants and resident representatives affected by building safety defects and remediation.</w:t>
      </w:r>
      <w:r>
        <w:rPr>
          <w:szCs w:val="24"/>
        </w:rPr>
        <w:t> </w:t>
      </w:r>
    </w:p>
    <w:p>
      <w:pPr>
        <w:pStyle w:val="Normal"/>
        <w:numPr>
          <w:ilvl w:val="0"/>
          <w:numId w:val="8"/>
        </w:numPr>
        <w:spacing w:lineRule="auto" w:line="256" w:before="0" w:after="160"/>
        <w:contextualSpacing/>
        <w:rPr/>
      </w:pPr>
      <w:r>
        <w:rPr>
          <w:szCs w:val="24"/>
          <w:lang w:val="en-US"/>
        </w:rPr>
        <w:t>Plan, coordinate and support inclusive resident forums, meetings, engagement events, surveys, consultations and other feedback mechanisms.</w:t>
      </w:r>
      <w:r>
        <w:rPr>
          <w:szCs w:val="24"/>
        </w:rPr>
        <w:t> </w:t>
      </w:r>
    </w:p>
    <w:p>
      <w:pPr>
        <w:pStyle w:val="Normal"/>
        <w:numPr>
          <w:ilvl w:val="0"/>
          <w:numId w:val="9"/>
        </w:numPr>
        <w:spacing w:lineRule="auto" w:line="256" w:before="0" w:after="160"/>
        <w:contextualSpacing/>
        <w:rPr/>
      </w:pPr>
      <w:r>
        <w:rPr>
          <w:szCs w:val="24"/>
          <w:lang w:val="en-US"/>
        </w:rPr>
        <w:t>Ensure residents can raise concerns and contribute their views throughout the remediation journey and communicate how feedback has been considered or acted upon.</w:t>
      </w:r>
      <w:r>
        <w:rPr>
          <w:szCs w:val="24"/>
        </w:rPr>
        <w:t> </w:t>
      </w:r>
    </w:p>
    <w:p>
      <w:pPr>
        <w:pStyle w:val="Normal"/>
        <w:numPr>
          <w:ilvl w:val="0"/>
          <w:numId w:val="10"/>
        </w:numPr>
        <w:spacing w:lineRule="auto" w:line="256" w:before="0" w:after="160"/>
        <w:contextualSpacing/>
        <w:rPr/>
      </w:pPr>
      <w:r>
        <w:rPr>
          <w:szCs w:val="24"/>
          <w:lang w:val="en-US"/>
        </w:rPr>
        <w:t>Prepare, review and maintain clear, accurate, accessible and consistent information about remediation processes, progress, responsibilities, support routes and next steps.</w:t>
      </w:r>
      <w:r>
        <w:rPr>
          <w:szCs w:val="24"/>
        </w:rPr>
        <w:t> </w:t>
      </w:r>
    </w:p>
    <w:p>
      <w:pPr>
        <w:pStyle w:val="Normal"/>
        <w:numPr>
          <w:ilvl w:val="0"/>
          <w:numId w:val="11"/>
        </w:numPr>
        <w:spacing w:lineRule="auto" w:line="256" w:before="0" w:after="160"/>
        <w:contextualSpacing/>
        <w:rPr/>
      </w:pPr>
      <w:r>
        <w:rPr>
          <w:szCs w:val="24"/>
          <w:lang w:val="en-US"/>
        </w:rPr>
        <w:t>Act as a key point of contact for resident engagement matters, providing proportionate advice, reassurance and signposting within agreed professional boundaries.</w:t>
      </w:r>
      <w:r>
        <w:rPr>
          <w:szCs w:val="24"/>
        </w:rPr>
        <w:t> </w:t>
      </w:r>
    </w:p>
    <w:p>
      <w:pPr>
        <w:pStyle w:val="Normal"/>
        <w:numPr>
          <w:ilvl w:val="0"/>
          <w:numId w:val="12"/>
        </w:numPr>
        <w:spacing w:lineRule="auto" w:line="256" w:before="0" w:after="160"/>
        <w:contextualSpacing/>
        <w:rPr/>
      </w:pPr>
      <w:r>
        <w:rPr>
          <w:szCs w:val="24"/>
          <w:lang w:val="en-US"/>
        </w:rPr>
        <w:t>Recognise matters requiring technical, regulatory, legal, safeguarding, wellbeing or specialist input and refer them promptly through the appropriate route.</w:t>
      </w:r>
      <w:r>
        <w:rPr>
          <w:szCs w:val="24"/>
        </w:rPr>
        <w:t> </w:t>
      </w:r>
    </w:p>
    <w:p>
      <w:pPr>
        <w:pStyle w:val="Normal"/>
        <w:numPr>
          <w:ilvl w:val="0"/>
          <w:numId w:val="13"/>
        </w:numPr>
        <w:spacing w:lineRule="auto" w:line="256" w:before="0" w:after="160"/>
        <w:contextualSpacing/>
        <w:rPr/>
      </w:pPr>
      <w:r>
        <w:rPr>
          <w:szCs w:val="24"/>
          <w:lang w:val="en-US"/>
        </w:rPr>
        <w:t>Contribute resident engagement and resident impact information to remediation case records, the Remediation Tracker and relevant programme systems.</w:t>
      </w:r>
      <w:r>
        <w:rPr>
          <w:szCs w:val="24"/>
        </w:rPr>
        <w:t> </w:t>
      </w:r>
    </w:p>
    <w:p>
      <w:pPr>
        <w:pStyle w:val="Normal"/>
        <w:numPr>
          <w:ilvl w:val="0"/>
          <w:numId w:val="14"/>
        </w:numPr>
        <w:spacing w:lineRule="auto" w:line="256" w:before="0" w:after="160"/>
        <w:contextualSpacing/>
        <w:rPr/>
      </w:pPr>
      <w:r>
        <w:rPr>
          <w:szCs w:val="24"/>
          <w:lang w:val="en-US"/>
        </w:rPr>
        <w:t>Maintain accurate and auditable records of resident contacts, concerns, commitments, actions, referrals, escalations and outcomes.</w:t>
      </w:r>
      <w:r>
        <w:rPr>
          <w:szCs w:val="24"/>
        </w:rPr>
        <w:t> </w:t>
      </w:r>
    </w:p>
    <w:p>
      <w:pPr>
        <w:pStyle w:val="Normal"/>
        <w:numPr>
          <w:ilvl w:val="0"/>
          <w:numId w:val="15"/>
        </w:numPr>
        <w:spacing w:lineRule="auto" w:line="256" w:before="0" w:after="160"/>
        <w:contextualSpacing/>
        <w:rPr/>
      </w:pPr>
      <w:r>
        <w:rPr>
          <w:szCs w:val="24"/>
          <w:lang w:val="en-US"/>
        </w:rPr>
        <w:t>Identify buildings or cases where resident communication or engagement is insufficient, inconsistent, inaccessible or below expected standards and work with colleagues and partners to seek improvement.</w:t>
      </w:r>
      <w:r>
        <w:rPr>
          <w:szCs w:val="24"/>
        </w:rPr>
        <w:t> </w:t>
      </w:r>
    </w:p>
    <w:p>
      <w:pPr>
        <w:pStyle w:val="Normal"/>
        <w:numPr>
          <w:ilvl w:val="0"/>
          <w:numId w:val="16"/>
        </w:numPr>
        <w:spacing w:lineRule="auto" w:line="256" w:before="0" w:after="160"/>
        <w:contextualSpacing/>
        <w:rPr/>
      </w:pPr>
      <w:r>
        <w:rPr>
          <w:szCs w:val="24"/>
          <w:lang w:val="en-US"/>
        </w:rPr>
        <w:t>Escalate unresolved, recurring or significant resident concerns through agreed case review and governance arrangements, supporting closed-loop communication back to residents.</w:t>
      </w:r>
      <w:r>
        <w:rPr>
          <w:szCs w:val="24"/>
        </w:rPr>
        <w:t> </w:t>
      </w:r>
    </w:p>
    <w:p>
      <w:pPr>
        <w:pStyle w:val="Normal"/>
        <w:numPr>
          <w:ilvl w:val="0"/>
          <w:numId w:val="17"/>
        </w:numPr>
        <w:spacing w:lineRule="auto" w:line="256" w:before="0" w:after="160"/>
        <w:contextualSpacing/>
        <w:rPr/>
      </w:pPr>
      <w:r>
        <w:rPr>
          <w:szCs w:val="24"/>
          <w:lang w:val="en-US"/>
        </w:rPr>
        <w:t>Analyse resident feedback and engagement activity to identify emerging themes, recurring concerns, systemic barriers and opportunities for improvement.</w:t>
      </w:r>
      <w:r>
        <w:rPr>
          <w:szCs w:val="24"/>
        </w:rPr>
        <w:t> </w:t>
      </w:r>
    </w:p>
    <w:p>
      <w:pPr>
        <w:pStyle w:val="Normal"/>
        <w:numPr>
          <w:ilvl w:val="0"/>
          <w:numId w:val="18"/>
        </w:numPr>
        <w:spacing w:lineRule="auto" w:line="256" w:before="0" w:after="160"/>
        <w:contextualSpacing/>
        <w:rPr/>
      </w:pPr>
      <w:r>
        <w:rPr>
          <w:szCs w:val="24"/>
          <w:lang w:val="en-US"/>
        </w:rPr>
        <w:t>Produce resident insight, case updates, performance information and briefings to support programme management, governance and continuous improvement.</w:t>
      </w:r>
      <w:r>
        <w:rPr>
          <w:szCs w:val="24"/>
        </w:rPr>
        <w:t> </w:t>
      </w:r>
    </w:p>
    <w:p>
      <w:pPr>
        <w:sectPr>
          <w:headerReference w:type="default" r:id="rId4"/>
          <w:headerReference w:type="first" r:id="rId5"/>
          <w:footerReference w:type="default" r:id="rId6"/>
          <w:footerReference w:type="first" r:id="rId7"/>
          <w:type w:val="nextPage"/>
          <w:pgSz w:w="11906" w:h="16838"/>
          <w:pgMar w:left="720" w:right="720" w:gutter="0" w:header="709" w:top="766" w:footer="0" w:bottom="720"/>
          <w:pgNumType w:fmt="decimal"/>
          <w:formProt w:val="false"/>
          <w:titlePg/>
          <w:textDirection w:val="lrTb"/>
          <w:docGrid w:type="default" w:linePitch="326" w:charSpace="0"/>
        </w:sectPr>
        <w:pStyle w:val="Normal"/>
        <w:numPr>
          <w:ilvl w:val="0"/>
          <w:numId w:val="19"/>
        </w:numPr>
        <w:spacing w:lineRule="auto" w:line="256" w:before="0" w:after="160"/>
        <w:contextualSpacing/>
        <w:rPr/>
      </w:pPr>
      <w:r>
        <w:rPr>
          <w:szCs w:val="24"/>
          <w:lang w:val="en-US"/>
        </w:rPr>
        <w:t>Plan and deliver engagement that considers accessibility, language, disability, digital exclusion and differing communication needs, arranging reasonable and proportionate alternatives where required.</w:t>
      </w:r>
      <w:r>
        <w:rPr>
          <w:szCs w:val="24"/>
        </w:rPr>
        <w:t> </w:t>
      </w:r>
    </w:p>
    <w:p>
      <w:pPr>
        <w:pStyle w:val="Normal"/>
        <w:numPr>
          <w:ilvl w:val="0"/>
          <w:numId w:val="20"/>
        </w:numPr>
        <w:spacing w:lineRule="auto" w:line="256" w:before="0" w:after="160"/>
        <w:contextualSpacing/>
        <w:rPr/>
      </w:pPr>
      <w:r>
        <w:rPr>
          <w:szCs w:val="24"/>
          <w:lang w:val="en-US"/>
        </w:rPr>
        <w:t>Work collaboratively with regulatory, communications, programme, local authority, housing, funding and partner colleagues, and represent the Remediation Delivery Team at relevant meetings when required.</w:t>
      </w:r>
      <w:r>
        <w:rPr>
          <w:szCs w:val="24"/>
        </w:rPr>
        <w:t> </w:t>
      </w:r>
    </w:p>
    <w:p>
      <w:pPr>
        <w:pStyle w:val="Heading2"/>
        <w:ind w:hanging="0" w:left="0"/>
        <w:rPr>
          <w:rFonts w:cs="Arial"/>
          <w:sz w:val="24"/>
          <w:szCs w:val="24"/>
        </w:rPr>
      </w:pPr>
      <w:r>
        <w:rPr>
          <w:rFonts w:cs="Arial"/>
          <w:sz w:val="24"/>
          <w:szCs w:val="24"/>
        </w:rPr>
        <w:t>General</w:t>
      </w:r>
    </w:p>
    <w:p>
      <w:pPr>
        <w:pStyle w:val="ListParagraph"/>
        <w:widowControl/>
        <w:numPr>
          <w:ilvl w:val="0"/>
          <w:numId w:val="21"/>
        </w:numPr>
        <w:spacing w:lineRule="auto" w:line="256" w:before="0" w:after="160"/>
        <w:contextualSpacing/>
        <w:rPr/>
      </w:pPr>
      <w:r>
        <w:rPr>
          <w:szCs w:val="24"/>
        </w:rPr>
        <w:t>To develop trusted working relationships with residents, internal teams and external partner organisations.</w:t>
      </w:r>
    </w:p>
    <w:p>
      <w:pPr>
        <w:pStyle w:val="ListParagraph"/>
        <w:widowControl/>
        <w:numPr>
          <w:ilvl w:val="0"/>
          <w:numId w:val="21"/>
        </w:numPr>
        <w:spacing w:lineRule="auto" w:line="256" w:before="0" w:after="160"/>
        <w:contextualSpacing/>
        <w:rPr/>
      </w:pPr>
      <w:r>
        <w:rPr>
          <w:szCs w:val="24"/>
        </w:rPr>
        <w:t>To support the preparation of reports, updates, briefings and engagement materials within the role’s area of responsibility.</w:t>
      </w:r>
    </w:p>
    <w:p>
      <w:pPr>
        <w:pStyle w:val="ListParagraph"/>
        <w:widowControl/>
        <w:numPr>
          <w:ilvl w:val="0"/>
          <w:numId w:val="21"/>
        </w:numPr>
        <w:spacing w:lineRule="auto" w:line="256" w:before="0" w:after="160"/>
        <w:contextualSpacing/>
        <w:rPr/>
      </w:pPr>
      <w:r>
        <w:rPr>
          <w:szCs w:val="24"/>
        </w:rPr>
        <w:t>To ensure high standards of accuracy, professionalism and customer care in all resident and stakeholder communications.</w:t>
      </w:r>
    </w:p>
    <w:p>
      <w:pPr>
        <w:pStyle w:val="ListParagraph"/>
        <w:widowControl/>
        <w:numPr>
          <w:ilvl w:val="0"/>
          <w:numId w:val="21"/>
        </w:numPr>
        <w:spacing w:lineRule="auto" w:line="256" w:before="0" w:after="160"/>
        <w:contextualSpacing/>
        <w:rPr/>
      </w:pPr>
      <w:r>
        <w:rPr>
          <w:szCs w:val="24"/>
        </w:rPr>
        <w:t>To maintain confidentiality and comply with relevant data protection requirements when handling resident information.</w:t>
      </w:r>
    </w:p>
    <w:p>
      <w:pPr>
        <w:pStyle w:val="ListParagraph"/>
        <w:widowControl/>
        <w:numPr>
          <w:ilvl w:val="0"/>
          <w:numId w:val="21"/>
        </w:numPr>
        <w:spacing w:lineRule="auto" w:line="256" w:before="0" w:after="160"/>
        <w:contextualSpacing/>
        <w:rPr/>
      </w:pPr>
      <w:r>
        <w:rPr>
          <w:szCs w:val="24"/>
        </w:rPr>
        <w:t>To be committed to maintaining your own skills and expertise, including Continuous Professional Development where relevant to the role.</w:t>
      </w:r>
    </w:p>
    <w:p>
      <w:pPr>
        <w:pStyle w:val="ListParagraph"/>
        <w:widowControl/>
        <w:numPr>
          <w:ilvl w:val="0"/>
          <w:numId w:val="21"/>
        </w:numPr>
        <w:spacing w:lineRule="auto" w:line="256" w:before="0" w:after="160"/>
        <w:contextualSpacing/>
        <w:rPr/>
      </w:pPr>
      <w:r>
        <w:rPr>
          <w:szCs w:val="24"/>
        </w:rPr>
        <w:t>To hold yourself and others to a high standard of professionalism at all times, demonstrating commitment to GMFRS values and behaviours and the NFCC Core Code of Ethics.</w:t>
      </w:r>
    </w:p>
    <w:p>
      <w:pPr>
        <w:pStyle w:val="ListParagraph"/>
        <w:widowControl/>
        <w:numPr>
          <w:ilvl w:val="0"/>
          <w:numId w:val="21"/>
        </w:numPr>
        <w:spacing w:lineRule="auto" w:line="256" w:before="0" w:after="160"/>
        <w:contextualSpacing/>
        <w:rPr/>
      </w:pPr>
      <w:r>
        <w:rPr>
          <w:szCs w:val="24"/>
        </w:rPr>
        <w:t>To work collaboratively with other teams across the directorate to ensure activity is coordinated, inclusive and aligned to strategic priorities.</w:t>
      </w:r>
    </w:p>
    <w:p>
      <w:pPr>
        <w:pStyle w:val="ListParagraph"/>
        <w:widowControl/>
        <w:numPr>
          <w:ilvl w:val="0"/>
          <w:numId w:val="21"/>
        </w:numPr>
        <w:spacing w:lineRule="auto" w:line="256" w:before="0" w:after="160"/>
        <w:contextualSpacing/>
        <w:rPr/>
      </w:pPr>
      <w:r>
        <w:rPr>
          <w:szCs w:val="24"/>
        </w:rPr>
        <w:t>To ensure services delivered internally and externally are inclusive, accessible and resident focused.</w:t>
      </w:r>
    </w:p>
    <w:p>
      <w:pPr>
        <w:pStyle w:val="Normal"/>
        <w:ind w:left="360" w:right="0"/>
        <w:rPr>
          <w:b/>
          <w:bCs/>
          <w:szCs w:val="24"/>
        </w:rPr>
      </w:pPr>
      <w:r>
        <w:rPr>
          <w:b/>
          <w:bCs/>
          <w:szCs w:val="24"/>
        </w:rPr>
        <w:t>NB: This list of duties and responsibilities is by no means exhaustive, and the post holder may be required to undertake other relevant and appropriate duties as required.</w:t>
      </w:r>
    </w:p>
    <w:p>
      <w:pPr>
        <w:pStyle w:val="Heading2"/>
        <w:ind w:hanging="0" w:left="0"/>
        <w:rPr>
          <w:rFonts w:cs="Arial"/>
          <w:sz w:val="24"/>
          <w:szCs w:val="24"/>
        </w:rPr>
      </w:pPr>
      <w:r>
        <w:rPr>
          <w:rFonts w:cs="Arial"/>
          <w:sz w:val="24"/>
          <w:szCs w:val="24"/>
        </w:rPr>
        <w:t>Knowledge, Skills, and Experience</w:t>
      </w:r>
    </w:p>
    <w:p>
      <w:pPr>
        <w:pStyle w:val="Heading3"/>
        <w:ind w:hanging="0" w:left="0"/>
        <w:rPr>
          <w:rFonts w:cs="Arial"/>
          <w:b/>
          <w:bCs/>
          <w:sz w:val="24"/>
        </w:rPr>
      </w:pPr>
      <w:r>
        <w:rPr>
          <w:rFonts w:cs="Arial"/>
          <w:b/>
          <w:bCs/>
          <w:sz w:val="24"/>
        </w:rPr>
        <w:t>Knowledge &amp; Experience</w:t>
      </w:r>
    </w:p>
    <w:p>
      <w:pPr>
        <w:pStyle w:val="ListParagraph"/>
        <w:widowControl/>
        <w:numPr>
          <w:ilvl w:val="0"/>
          <w:numId w:val="4"/>
        </w:numPr>
        <w:spacing w:lineRule="auto" w:line="256" w:before="0" w:after="160"/>
        <w:contextualSpacing/>
        <w:rPr/>
      </w:pPr>
      <w:r>
        <w:rPr>
          <w:szCs w:val="24"/>
        </w:rPr>
        <w:t>Experience of engaging with residents, customers, communities or stakeholders affected by complex or sensitive issues. (Essential)</w:t>
      </w:r>
    </w:p>
    <w:p>
      <w:pPr>
        <w:pStyle w:val="ListParagraph"/>
        <w:widowControl/>
        <w:numPr>
          <w:ilvl w:val="0"/>
          <w:numId w:val="4"/>
        </w:numPr>
        <w:spacing w:lineRule="auto" w:line="256" w:before="0" w:after="160"/>
        <w:contextualSpacing/>
        <w:rPr/>
      </w:pPr>
      <w:r>
        <w:rPr>
          <w:szCs w:val="24"/>
        </w:rPr>
        <w:t>Experience of working in a resident-focused, community engagement, housing, building safety or public service environment. (Desirable)</w:t>
      </w:r>
    </w:p>
    <w:p>
      <w:pPr>
        <w:pStyle w:val="ListParagraph"/>
        <w:widowControl/>
        <w:numPr>
          <w:ilvl w:val="0"/>
          <w:numId w:val="4"/>
        </w:numPr>
        <w:spacing w:lineRule="auto" w:line="256" w:before="0" w:after="160"/>
        <w:contextualSpacing/>
        <w:rPr/>
      </w:pPr>
      <w:r>
        <w:rPr>
          <w:szCs w:val="24"/>
        </w:rPr>
        <w:t>Experience of handling challenging conversations with empathy, professionalism and discretion. (Essential)</w:t>
      </w:r>
    </w:p>
    <w:p>
      <w:pPr>
        <w:pStyle w:val="ListParagraph"/>
        <w:widowControl/>
        <w:numPr>
          <w:ilvl w:val="0"/>
          <w:numId w:val="4"/>
        </w:numPr>
        <w:spacing w:lineRule="auto" w:line="256" w:before="0" w:after="160"/>
        <w:contextualSpacing/>
        <w:rPr/>
      </w:pPr>
      <w:r>
        <w:rPr>
          <w:szCs w:val="24"/>
          <w:lang w:val="en-US"/>
        </w:rPr>
        <w:t>Experience of organising inclusive forums, consultations or engagement activity. (Essential)</w:t>
      </w:r>
    </w:p>
    <w:p>
      <w:pPr>
        <w:pStyle w:val="ListParagraph"/>
        <w:widowControl/>
        <w:numPr>
          <w:ilvl w:val="0"/>
          <w:numId w:val="4"/>
        </w:numPr>
        <w:spacing w:lineRule="auto" w:line="256" w:before="0" w:after="160"/>
        <w:contextualSpacing/>
        <w:rPr/>
      </w:pPr>
      <w:r>
        <w:rPr>
          <w:szCs w:val="24"/>
        </w:rPr>
        <w:t>Experience of maintaining accurate records, case notes or engagement logs. (Essential)</w:t>
      </w:r>
    </w:p>
    <w:p>
      <w:pPr>
        <w:pStyle w:val="ListParagraph"/>
        <w:widowControl/>
        <w:numPr>
          <w:ilvl w:val="0"/>
          <w:numId w:val="4"/>
        </w:numPr>
        <w:spacing w:lineRule="auto" w:line="256" w:before="0" w:after="160"/>
        <w:contextualSpacing/>
        <w:rPr/>
      </w:pPr>
      <w:r>
        <w:rPr>
          <w:szCs w:val="24"/>
        </w:rPr>
        <w:t>Knowledge or understanding of building safety, fire safety remediation, resident engagement or housing-related issues. (Desirable)</w:t>
      </w:r>
    </w:p>
    <w:p>
      <w:pPr>
        <w:pStyle w:val="ListParagraph"/>
        <w:widowControl/>
        <w:numPr>
          <w:ilvl w:val="0"/>
          <w:numId w:val="4"/>
        </w:numPr>
        <w:spacing w:lineRule="auto" w:line="256" w:before="0" w:after="160"/>
        <w:contextualSpacing/>
        <w:rPr/>
      </w:pPr>
      <w:r>
        <w:rPr>
          <w:szCs w:val="24"/>
          <w:lang w:val="en-US"/>
        </w:rPr>
        <w:t>Experience of analysing feedback and producing reports or briefings. (Essential)</w:t>
      </w:r>
      <w:r>
        <w:rPr>
          <w:szCs w:val="24"/>
        </w:rPr>
        <w:t> </w:t>
      </w:r>
    </w:p>
    <w:p>
      <w:pPr>
        <w:pStyle w:val="ListParagraph"/>
        <w:widowControl/>
        <w:numPr>
          <w:ilvl w:val="0"/>
          <w:numId w:val="4"/>
        </w:numPr>
        <w:spacing w:lineRule="auto" w:line="256" w:before="0" w:after="160"/>
        <w:contextualSpacing/>
        <w:rPr/>
      </w:pPr>
      <w:r>
        <w:rPr>
          <w:szCs w:val="24"/>
        </w:rPr>
        <w:t>Experience of working collaboratively with internal teams and external partner organisations. (Essential)</w:t>
      </w:r>
    </w:p>
    <w:p>
      <w:pPr>
        <w:pStyle w:val="ListParagraph"/>
        <w:widowControl/>
        <w:numPr>
          <w:ilvl w:val="0"/>
          <w:numId w:val="4"/>
        </w:numPr>
        <w:spacing w:lineRule="auto" w:line="256" w:before="0" w:after="160"/>
        <w:contextualSpacing/>
        <w:rPr/>
      </w:pPr>
      <w:r>
        <w:rPr>
          <w:szCs w:val="24"/>
          <w:lang w:val="en-US"/>
        </w:rPr>
        <w:t>Understanding of equality, accessibility, data protection, confidentiality and safeguarding. (Essential)</w:t>
      </w:r>
      <w:r>
        <w:rPr>
          <w:szCs w:val="24"/>
        </w:rPr>
        <w:t> </w:t>
      </w:r>
    </w:p>
    <w:p>
      <w:pPr>
        <w:pStyle w:val="ListParagraph"/>
        <w:widowControl/>
        <w:numPr>
          <w:ilvl w:val="0"/>
          <w:numId w:val="4"/>
        </w:numPr>
        <w:spacing w:lineRule="auto" w:line="256" w:before="0" w:after="160"/>
        <w:contextualSpacing/>
        <w:rPr/>
      </w:pPr>
      <w:r>
        <w:rPr>
          <w:szCs w:val="24"/>
        </w:rPr>
        <w:t>Able to demonstrate a flexible approach to working in a changing environment. (Essential)</w:t>
      </w:r>
    </w:p>
    <w:p>
      <w:pPr>
        <w:pStyle w:val="ListParagraph"/>
        <w:widowControl/>
        <w:numPr>
          <w:ilvl w:val="0"/>
          <w:numId w:val="4"/>
        </w:numPr>
        <w:spacing w:lineRule="auto" w:line="256" w:before="0" w:after="160"/>
        <w:contextualSpacing/>
        <w:rPr/>
      </w:pPr>
      <w:r>
        <w:rPr>
          <w:szCs w:val="24"/>
        </w:rPr>
        <w:t>Full UK driving licence and willingness to travel across Greater Manchester. (Essential</w:t>
      </w:r>
    </w:p>
    <w:p>
      <w:pPr>
        <w:pStyle w:val="Normal"/>
        <w:spacing w:lineRule="auto" w:line="240" w:before="240" w:after="0"/>
        <w:ind w:left="360" w:right="0"/>
        <w:rPr>
          <w:rFonts w:cs="Arial"/>
          <w:color w:val="auto"/>
          <w:szCs w:val="24"/>
        </w:rPr>
      </w:pPr>
      <w:r>
        <w:rPr>
          <w:rFonts w:cs="Arial"/>
          <w:color w:val="auto"/>
          <w:szCs w:val="24"/>
        </w:rPr>
      </w:r>
    </w:p>
    <w:p>
      <w:pPr>
        <w:pStyle w:val="Heading3"/>
        <w:ind w:hanging="0" w:left="0"/>
        <w:rPr/>
      </w:pPr>
      <w:r>
        <w:rPr>
          <w:rFonts w:cs="Arial"/>
          <w:b/>
          <w:bCs/>
          <w:sz w:val="24"/>
        </w:rPr>
        <w:t>Skills, Values</w:t>
      </w:r>
      <w:r>
        <w:rPr>
          <w:rFonts w:cs="Arial"/>
          <w:b/>
          <w:bCs/>
          <w:spacing w:val="-3"/>
          <w:sz w:val="24"/>
        </w:rPr>
        <w:t xml:space="preserve"> </w:t>
      </w:r>
      <w:r>
        <w:rPr>
          <w:rFonts w:cs="Arial"/>
          <w:b/>
          <w:bCs/>
          <w:sz w:val="24"/>
        </w:rPr>
        <w:t>&amp;</w:t>
      </w:r>
      <w:r>
        <w:rPr>
          <w:rFonts w:cs="Arial"/>
          <w:b/>
          <w:bCs/>
          <w:spacing w:val="-3"/>
          <w:sz w:val="24"/>
        </w:rPr>
        <w:t xml:space="preserve"> </w:t>
      </w:r>
      <w:r>
        <w:rPr>
          <w:rFonts w:cs="Arial"/>
          <w:b/>
          <w:bCs/>
          <w:sz w:val="24"/>
        </w:rPr>
        <w:t>Behaviours</w:t>
      </w:r>
    </w:p>
    <w:p>
      <w:pPr>
        <w:pStyle w:val="ListParagraph"/>
        <w:widowControl/>
        <w:numPr>
          <w:ilvl w:val="0"/>
          <w:numId w:val="5"/>
        </w:numPr>
        <w:spacing w:lineRule="auto" w:line="256" w:before="0" w:after="160"/>
        <w:contextualSpacing/>
        <w:rPr/>
      </w:pPr>
      <w:r>
        <w:rPr>
          <w:szCs w:val="24"/>
        </w:rPr>
        <w:t>Excellent verbal and written communication skills, with the ability to explain information clearly and appropriately for different audiences.</w:t>
      </w:r>
    </w:p>
    <w:p>
      <w:pPr>
        <w:pStyle w:val="ListParagraph"/>
        <w:widowControl/>
        <w:numPr>
          <w:ilvl w:val="0"/>
          <w:numId w:val="5"/>
        </w:numPr>
        <w:spacing w:lineRule="auto" w:line="256" w:before="0" w:after="160"/>
        <w:contextualSpacing/>
        <w:rPr/>
      </w:pPr>
      <w:r>
        <w:rPr>
          <w:szCs w:val="24"/>
        </w:rPr>
        <w:t>Passionate about people and committed to improving outcomes for residents affected by building safety remediation.</w:t>
      </w:r>
    </w:p>
    <w:p>
      <w:pPr>
        <w:pStyle w:val="ListParagraph"/>
        <w:widowControl/>
        <w:numPr>
          <w:ilvl w:val="0"/>
          <w:numId w:val="5"/>
        </w:numPr>
        <w:spacing w:lineRule="auto" w:line="256" w:before="0" w:after="160"/>
        <w:contextualSpacing/>
        <w:rPr/>
      </w:pPr>
      <w:r>
        <w:rPr>
          <w:szCs w:val="24"/>
        </w:rPr>
        <w:t>Ability to build positive relationships and work collaboratively with residents, colleagues and external partners.</w:t>
      </w:r>
    </w:p>
    <w:p>
      <w:pPr>
        <w:pStyle w:val="ListParagraph"/>
        <w:widowControl/>
        <w:numPr>
          <w:ilvl w:val="0"/>
          <w:numId w:val="5"/>
        </w:numPr>
        <w:spacing w:lineRule="auto" w:line="256" w:before="0" w:after="160"/>
        <w:contextualSpacing/>
        <w:rPr/>
      </w:pPr>
      <w:r>
        <w:rPr>
          <w:szCs w:val="24"/>
        </w:rPr>
        <w:t>Strong organisational skills, attention to detail and ability to manage a varied workload.</w:t>
      </w:r>
    </w:p>
    <w:p>
      <w:pPr>
        <w:pStyle w:val="ListParagraph"/>
        <w:widowControl/>
        <w:numPr>
          <w:ilvl w:val="0"/>
          <w:numId w:val="5"/>
        </w:numPr>
        <w:spacing w:lineRule="auto" w:line="256" w:before="0" w:after="160"/>
        <w:contextualSpacing/>
        <w:rPr/>
      </w:pPr>
      <w:r>
        <w:rPr>
          <w:szCs w:val="24"/>
        </w:rPr>
        <w:t>Ability to prioritise competing demands and follow issues through to resolution.</w:t>
      </w:r>
    </w:p>
    <w:p>
      <w:pPr>
        <w:pStyle w:val="ListParagraph"/>
        <w:widowControl/>
        <w:numPr>
          <w:ilvl w:val="0"/>
          <w:numId w:val="5"/>
        </w:numPr>
        <w:spacing w:lineRule="auto" w:line="256" w:before="0" w:after="160"/>
        <w:contextualSpacing/>
        <w:rPr/>
      </w:pPr>
      <w:r>
        <w:rPr>
          <w:szCs w:val="24"/>
        </w:rPr>
        <w:t>Confidence to raise concerns appropriately where resident communication or engagement falls below expected standards.</w:t>
      </w:r>
    </w:p>
    <w:p>
      <w:pPr>
        <w:pStyle w:val="ListParagraph"/>
        <w:widowControl/>
        <w:numPr>
          <w:ilvl w:val="0"/>
          <w:numId w:val="5"/>
        </w:numPr>
        <w:spacing w:lineRule="auto" w:line="256" w:before="0" w:after="160"/>
        <w:contextualSpacing/>
        <w:rPr/>
      </w:pPr>
      <w:r>
        <w:rPr>
          <w:szCs w:val="24"/>
        </w:rPr>
        <w:t>Commitment to high standards of customer care, public service and professionalism.</w:t>
      </w:r>
    </w:p>
    <w:p>
      <w:pPr>
        <w:pStyle w:val="ListParagraph"/>
        <w:widowControl/>
        <w:numPr>
          <w:ilvl w:val="0"/>
          <w:numId w:val="5"/>
        </w:numPr>
        <w:spacing w:lineRule="auto" w:line="256" w:before="0" w:after="160"/>
        <w:contextualSpacing/>
        <w:rPr/>
      </w:pPr>
      <w:r>
        <w:rPr>
          <w:szCs w:val="24"/>
        </w:rPr>
        <w:t>Competent in the use of Microsoft Office applications.</w:t>
      </w:r>
    </w:p>
    <w:p>
      <w:pPr>
        <w:pStyle w:val="ListParagraph"/>
        <w:widowControl/>
        <w:numPr>
          <w:ilvl w:val="0"/>
          <w:numId w:val="5"/>
        </w:numPr>
        <w:spacing w:lineRule="auto" w:line="256" w:before="0" w:after="160"/>
        <w:contextualSpacing/>
        <w:rPr/>
      </w:pPr>
      <w:r>
        <w:rPr>
          <w:szCs w:val="24"/>
        </w:rPr>
        <w:t>Ability to work flexibly, independently and as part of an effective team.</w:t>
      </w:r>
    </w:p>
    <w:p>
      <w:pPr>
        <w:pStyle w:val="ListParagraph"/>
        <w:widowControl/>
        <w:numPr>
          <w:ilvl w:val="0"/>
          <w:numId w:val="5"/>
        </w:numPr>
        <w:spacing w:lineRule="auto" w:line="256" w:before="0" w:after="160"/>
        <w:contextualSpacing/>
        <w:rPr/>
      </w:pPr>
      <w:r>
        <w:rPr>
          <w:szCs w:val="24"/>
        </w:rPr>
        <w:t>Commitment to inclusivity, accessibility and resident-focused service delivery.</w:t>
      </w:r>
    </w:p>
    <w:p>
      <w:pPr>
        <w:pStyle w:val="Normal"/>
        <w:spacing w:before="240" w:after="240"/>
        <w:rPr>
          <w:rFonts w:cs="Arial"/>
          <w:b/>
          <w:color w:val="auto"/>
          <w:szCs w:val="24"/>
        </w:rPr>
      </w:pPr>
      <w:r>
        <w:rPr>
          <w:rFonts w:cs="Arial"/>
          <w:b/>
          <w:color w:val="auto"/>
          <w:szCs w:val="24"/>
        </w:rPr>
        <w:t>FOR ROLES EXEMPT FROM THE REHABILITATION OF OFFENDERS ACT:</w:t>
      </w:r>
    </w:p>
    <w:p>
      <w:pPr>
        <w:pStyle w:val="Normal"/>
        <w:rPr>
          <w:rFonts w:cs="Arial"/>
          <w:color w:val="auto"/>
          <w:szCs w:val="24"/>
        </w:rPr>
      </w:pPr>
      <w:r>
        <w:rPr>
          <w:rFonts w:cs="Arial"/>
          <w:color w:val="auto"/>
          <w:szCs w:val="24"/>
        </w:rPr>
        <w:t>This role is exempt from the Rehabilitation of Offenders Act (1974) and will require disclosure of all convictions including those considered spent under the Act. The role holder will be subject to an Enhanced level check by the Disclosure &amp; Barring Service.</w:t>
      </w:r>
    </w:p>
    <w:p>
      <w:pPr>
        <w:pStyle w:val="Heading2"/>
        <w:ind w:hanging="0" w:left="0"/>
        <w:rPr>
          <w:rFonts w:cs="Arial"/>
          <w:sz w:val="24"/>
          <w:szCs w:val="24"/>
        </w:rPr>
      </w:pPr>
      <w:r>
        <w:rPr>
          <w:rFonts w:cs="Arial"/>
          <w:sz w:val="24"/>
          <w:szCs w:val="24"/>
        </w:rPr>
        <w:t>Corporate Duties</w:t>
      </w:r>
    </w:p>
    <w:p>
      <w:pPr>
        <w:pStyle w:val="Normal"/>
        <w:rPr/>
      </w:pPr>
      <w:r>
        <w:rPr>
          <w:rFonts w:cs="Arial"/>
          <w:i/>
          <w:iCs/>
          <w:szCs w:val="24"/>
        </w:rPr>
        <w:t>Do not behave in way which discriminates against your fellow employees, or potential</w:t>
      </w:r>
      <w:r>
        <w:rPr>
          <w:rFonts w:cs="Arial"/>
          <w:i/>
          <w:iCs/>
          <w:spacing w:val="1"/>
          <w:szCs w:val="24"/>
        </w:rPr>
        <w:t xml:space="preserve"> </w:t>
      </w:r>
      <w:r>
        <w:rPr>
          <w:rFonts w:cs="Arial"/>
          <w:i/>
          <w:iCs/>
          <w:szCs w:val="24"/>
        </w:rPr>
        <w:t>employees on the grounds of their sex, sexual orientation, marital status, race, religion,</w:t>
      </w:r>
      <w:r>
        <w:rPr>
          <w:rFonts w:cs="Arial"/>
          <w:i/>
          <w:iCs/>
          <w:spacing w:val="-59"/>
          <w:szCs w:val="24"/>
        </w:rPr>
        <w:t xml:space="preserve"> </w:t>
      </w:r>
      <w:r>
        <w:rPr>
          <w:rFonts w:cs="Arial"/>
          <w:i/>
          <w:iCs/>
          <w:szCs w:val="24"/>
        </w:rPr>
        <w:t>creed,</w:t>
      </w:r>
      <w:r>
        <w:rPr>
          <w:rFonts w:cs="Arial"/>
          <w:i/>
          <w:iCs/>
          <w:spacing w:val="-2"/>
          <w:szCs w:val="24"/>
        </w:rPr>
        <w:t xml:space="preserve"> </w:t>
      </w:r>
      <w:r>
        <w:rPr>
          <w:rFonts w:cs="Arial"/>
          <w:i/>
          <w:iCs/>
          <w:szCs w:val="24"/>
        </w:rPr>
        <w:t>colour,</w:t>
      </w:r>
      <w:r>
        <w:rPr>
          <w:rFonts w:cs="Arial"/>
          <w:i/>
          <w:iCs/>
          <w:spacing w:val="2"/>
          <w:szCs w:val="24"/>
        </w:rPr>
        <w:t xml:space="preserve"> </w:t>
      </w:r>
      <w:r>
        <w:rPr>
          <w:rFonts w:cs="Arial"/>
          <w:i/>
          <w:iCs/>
          <w:szCs w:val="24"/>
        </w:rPr>
        <w:t>nationality,</w:t>
      </w:r>
      <w:r>
        <w:rPr>
          <w:rFonts w:cs="Arial"/>
          <w:i/>
          <w:iCs/>
          <w:spacing w:val="2"/>
          <w:szCs w:val="24"/>
        </w:rPr>
        <w:t xml:space="preserve"> </w:t>
      </w:r>
      <w:r>
        <w:rPr>
          <w:rFonts w:cs="Arial"/>
          <w:i/>
          <w:iCs/>
          <w:szCs w:val="24"/>
        </w:rPr>
        <w:t>ethnic</w:t>
      </w:r>
      <w:r>
        <w:rPr>
          <w:rFonts w:cs="Arial"/>
          <w:i/>
          <w:iCs/>
          <w:spacing w:val="1"/>
          <w:szCs w:val="24"/>
        </w:rPr>
        <w:t xml:space="preserve"> </w:t>
      </w:r>
      <w:r>
        <w:rPr>
          <w:rFonts w:cs="Arial"/>
          <w:i/>
          <w:iCs/>
          <w:szCs w:val="24"/>
        </w:rPr>
        <w:t>origin</w:t>
      </w:r>
      <w:r>
        <w:rPr>
          <w:rFonts w:cs="Arial"/>
          <w:i/>
          <w:iCs/>
          <w:spacing w:val="1"/>
          <w:szCs w:val="24"/>
        </w:rPr>
        <w:t xml:space="preserve"> </w:t>
      </w:r>
      <w:r>
        <w:rPr>
          <w:rFonts w:cs="Arial"/>
          <w:i/>
          <w:iCs/>
          <w:szCs w:val="24"/>
        </w:rPr>
        <w:t>or</w:t>
      </w:r>
      <w:r>
        <w:rPr>
          <w:rFonts w:cs="Arial"/>
          <w:i/>
          <w:iCs/>
          <w:spacing w:val="-2"/>
          <w:szCs w:val="24"/>
        </w:rPr>
        <w:t xml:space="preserve"> </w:t>
      </w:r>
      <w:r>
        <w:rPr>
          <w:rFonts w:cs="Arial"/>
          <w:i/>
          <w:iCs/>
          <w:szCs w:val="24"/>
        </w:rPr>
        <w:t>disability.</w:t>
      </w:r>
    </w:p>
    <w:p>
      <w:pPr>
        <w:pStyle w:val="Normal"/>
        <w:rPr/>
      </w:pPr>
      <w:r>
        <w:rPr>
          <w:rFonts w:cs="Arial"/>
          <w:i/>
          <w:iCs/>
          <w:szCs w:val="24"/>
        </w:rPr>
        <w:t xml:space="preserve">Safeguard at all times confidentiality of information relating to staff and pensioners. </w:t>
      </w:r>
      <w:r>
        <w:rPr>
          <w:rFonts w:cs="Arial"/>
          <w:i/>
          <w:iCs/>
          <w:spacing w:val="-59"/>
          <w:szCs w:val="24"/>
        </w:rPr>
        <w:t xml:space="preserve"> </w:t>
      </w:r>
      <w:r>
        <w:rPr>
          <w:rFonts w:cs="Arial"/>
          <w:i/>
          <w:iCs/>
          <w:szCs w:val="24"/>
        </w:rPr>
        <w:t>Refrain</w:t>
      </w:r>
      <w:r>
        <w:rPr>
          <w:rFonts w:cs="Arial"/>
          <w:i/>
          <w:iCs/>
          <w:spacing w:val="-3"/>
          <w:szCs w:val="24"/>
        </w:rPr>
        <w:t xml:space="preserve"> </w:t>
      </w:r>
      <w:r>
        <w:rPr>
          <w:rFonts w:cs="Arial"/>
          <w:i/>
          <w:iCs/>
          <w:szCs w:val="24"/>
        </w:rPr>
        <w:t>from</w:t>
      </w:r>
      <w:r>
        <w:rPr>
          <w:rFonts w:cs="Arial"/>
          <w:i/>
          <w:iCs/>
          <w:spacing w:val="2"/>
          <w:szCs w:val="24"/>
        </w:rPr>
        <w:t xml:space="preserve"> </w:t>
      </w:r>
      <w:r>
        <w:rPr>
          <w:rFonts w:cs="Arial"/>
          <w:i/>
          <w:iCs/>
          <w:szCs w:val="24"/>
        </w:rPr>
        <w:t>smoking</w:t>
      </w:r>
      <w:r>
        <w:rPr>
          <w:rFonts w:cs="Arial"/>
          <w:i/>
          <w:iCs/>
          <w:spacing w:val="4"/>
          <w:szCs w:val="24"/>
        </w:rPr>
        <w:t xml:space="preserve"> </w:t>
      </w:r>
      <w:r>
        <w:rPr>
          <w:rFonts w:cs="Arial"/>
          <w:i/>
          <w:iCs/>
          <w:szCs w:val="24"/>
        </w:rPr>
        <w:t>in</w:t>
      </w:r>
      <w:r>
        <w:rPr>
          <w:rFonts w:cs="Arial"/>
          <w:i/>
          <w:iCs/>
          <w:spacing w:val="-5"/>
          <w:szCs w:val="24"/>
        </w:rPr>
        <w:t xml:space="preserve"> </w:t>
      </w:r>
      <w:r>
        <w:rPr>
          <w:rFonts w:cs="Arial"/>
          <w:i/>
          <w:iCs/>
          <w:szCs w:val="24"/>
        </w:rPr>
        <w:t>any</w:t>
      </w:r>
      <w:r>
        <w:rPr>
          <w:rFonts w:cs="Arial"/>
          <w:i/>
          <w:iCs/>
          <w:spacing w:val="-1"/>
          <w:szCs w:val="24"/>
        </w:rPr>
        <w:t xml:space="preserve"> </w:t>
      </w:r>
      <w:r>
        <w:rPr>
          <w:rFonts w:cs="Arial"/>
          <w:i/>
          <w:iCs/>
          <w:szCs w:val="24"/>
        </w:rPr>
        <w:t>areas</w:t>
      </w:r>
      <w:r>
        <w:rPr>
          <w:rFonts w:cs="Arial"/>
          <w:i/>
          <w:iCs/>
          <w:spacing w:val="1"/>
          <w:szCs w:val="24"/>
        </w:rPr>
        <w:t xml:space="preserve"> </w:t>
      </w:r>
      <w:r>
        <w:rPr>
          <w:rFonts w:cs="Arial"/>
          <w:i/>
          <w:iCs/>
          <w:szCs w:val="24"/>
        </w:rPr>
        <w:t>of</w:t>
      </w:r>
      <w:r>
        <w:rPr>
          <w:rFonts w:cs="Arial"/>
          <w:i/>
          <w:iCs/>
          <w:spacing w:val="1"/>
          <w:szCs w:val="24"/>
        </w:rPr>
        <w:t xml:space="preserve"> </w:t>
      </w:r>
      <w:r>
        <w:rPr>
          <w:rFonts w:cs="Arial"/>
          <w:i/>
          <w:iCs/>
          <w:szCs w:val="24"/>
        </w:rPr>
        <w:t>Service</w:t>
      </w:r>
      <w:r>
        <w:rPr>
          <w:rFonts w:cs="Arial"/>
          <w:i/>
          <w:iCs/>
          <w:spacing w:val="1"/>
          <w:szCs w:val="24"/>
        </w:rPr>
        <w:t xml:space="preserve"> </w:t>
      </w:r>
      <w:r>
        <w:rPr>
          <w:rFonts w:cs="Arial"/>
          <w:i/>
          <w:iCs/>
          <w:szCs w:val="24"/>
        </w:rPr>
        <w:t>premises.</w:t>
      </w:r>
    </w:p>
    <w:p>
      <w:pPr>
        <w:pStyle w:val="Normal"/>
        <w:rPr/>
      </w:pPr>
      <w:r>
        <w:rPr>
          <w:rFonts w:cs="Arial"/>
          <w:i/>
          <w:iCs/>
          <w:szCs w:val="24"/>
        </w:rPr>
        <w:t>Behave in a manner that ensures the security of property and resources.</w:t>
      </w:r>
      <w:r>
        <w:rPr>
          <w:rFonts w:cs="Arial"/>
          <w:i/>
          <w:iCs/>
          <w:spacing w:val="-59"/>
          <w:szCs w:val="24"/>
        </w:rPr>
        <w:t xml:space="preserve"> </w:t>
      </w:r>
      <w:r>
        <w:rPr>
          <w:rFonts w:cs="Arial"/>
          <w:i/>
          <w:iCs/>
          <w:szCs w:val="24"/>
        </w:rPr>
        <w:t>Abide</w:t>
      </w:r>
      <w:r>
        <w:rPr>
          <w:rFonts w:cs="Arial"/>
          <w:i/>
          <w:iCs/>
          <w:spacing w:val="-1"/>
          <w:szCs w:val="24"/>
        </w:rPr>
        <w:t xml:space="preserve"> </w:t>
      </w:r>
      <w:r>
        <w:rPr>
          <w:rFonts w:cs="Arial"/>
          <w:i/>
          <w:iCs/>
          <w:szCs w:val="24"/>
        </w:rPr>
        <w:t>by</w:t>
      </w:r>
      <w:r>
        <w:rPr>
          <w:rFonts w:cs="Arial"/>
          <w:i/>
          <w:iCs/>
          <w:spacing w:val="-2"/>
          <w:szCs w:val="24"/>
        </w:rPr>
        <w:t xml:space="preserve"> </w:t>
      </w:r>
      <w:r>
        <w:rPr>
          <w:rFonts w:cs="Arial"/>
          <w:i/>
          <w:iCs/>
          <w:szCs w:val="24"/>
        </w:rPr>
        <w:t>all relevant</w:t>
      </w:r>
      <w:r>
        <w:rPr>
          <w:rFonts w:cs="Arial"/>
          <w:i/>
          <w:iCs/>
          <w:spacing w:val="1"/>
          <w:szCs w:val="24"/>
        </w:rPr>
        <w:t xml:space="preserve"> </w:t>
      </w:r>
      <w:r>
        <w:rPr>
          <w:rFonts w:cs="Arial"/>
          <w:i/>
          <w:iCs/>
          <w:szCs w:val="24"/>
        </w:rPr>
        <w:t>Service</w:t>
      </w:r>
      <w:r>
        <w:rPr>
          <w:rFonts w:cs="Arial"/>
          <w:i/>
          <w:iCs/>
          <w:spacing w:val="1"/>
          <w:szCs w:val="24"/>
        </w:rPr>
        <w:t xml:space="preserve"> </w:t>
      </w:r>
      <w:r>
        <w:rPr>
          <w:rFonts w:cs="Arial"/>
          <w:i/>
          <w:iCs/>
          <w:szCs w:val="24"/>
        </w:rPr>
        <w:t>Policies and Procedures.</w:t>
      </w:r>
    </w:p>
    <w:p>
      <w:pPr>
        <w:pStyle w:val="Normal"/>
        <w:rPr/>
      </w:pPr>
      <w:r>
        <w:rPr>
          <w:rFonts w:cs="Arial"/>
          <w:b/>
          <w:bCs/>
          <w:i/>
          <w:iCs/>
          <w:szCs w:val="24"/>
        </w:rPr>
        <w:t>Records Management / Data Protection</w:t>
      </w:r>
      <w:r>
        <w:rPr>
          <w:rFonts w:cs="Arial"/>
          <w:i/>
          <w:iCs/>
          <w:szCs w:val="24"/>
        </w:rPr>
        <w:t xml:space="preserve"> - As an employee of the GMCA, you have a legal</w:t>
      </w:r>
      <w:r>
        <w:rPr>
          <w:rFonts w:cs="Arial"/>
          <w:i/>
          <w:iCs/>
          <w:spacing w:val="1"/>
          <w:szCs w:val="24"/>
        </w:rPr>
        <w:t xml:space="preserve"> </w:t>
      </w:r>
      <w:r>
        <w:rPr>
          <w:rFonts w:cs="Arial"/>
          <w:i/>
          <w:iCs/>
          <w:spacing w:val="-1"/>
          <w:szCs w:val="24"/>
        </w:rPr>
        <w:t>responsibility</w:t>
      </w:r>
      <w:r>
        <w:rPr>
          <w:rFonts w:cs="Arial"/>
          <w:i/>
          <w:iCs/>
          <w:spacing w:val="-16"/>
          <w:szCs w:val="24"/>
        </w:rPr>
        <w:t xml:space="preserve"> </w:t>
      </w:r>
      <w:r>
        <w:rPr>
          <w:rFonts w:cs="Arial"/>
          <w:i/>
          <w:iCs/>
          <w:spacing w:val="-1"/>
          <w:szCs w:val="24"/>
        </w:rPr>
        <w:t>for</w:t>
      </w:r>
      <w:r>
        <w:rPr>
          <w:rFonts w:cs="Arial"/>
          <w:i/>
          <w:iCs/>
          <w:spacing w:val="-15"/>
          <w:szCs w:val="24"/>
        </w:rPr>
        <w:t xml:space="preserve"> </w:t>
      </w:r>
      <w:r>
        <w:rPr>
          <w:rFonts w:cs="Arial"/>
          <w:i/>
          <w:iCs/>
          <w:spacing w:val="-1"/>
          <w:szCs w:val="24"/>
        </w:rPr>
        <w:t>all</w:t>
      </w:r>
      <w:r>
        <w:rPr>
          <w:rFonts w:cs="Arial"/>
          <w:i/>
          <w:iCs/>
          <w:spacing w:val="-14"/>
          <w:szCs w:val="24"/>
        </w:rPr>
        <w:t xml:space="preserve"> </w:t>
      </w:r>
      <w:r>
        <w:rPr>
          <w:rFonts w:cs="Arial"/>
          <w:i/>
          <w:iCs/>
          <w:spacing w:val="-1"/>
          <w:szCs w:val="24"/>
        </w:rPr>
        <w:t>records</w:t>
      </w:r>
      <w:r>
        <w:rPr>
          <w:rFonts w:cs="Arial"/>
          <w:i/>
          <w:iCs/>
          <w:spacing w:val="-13"/>
          <w:szCs w:val="24"/>
        </w:rPr>
        <w:t xml:space="preserve"> </w:t>
      </w:r>
      <w:r>
        <w:rPr>
          <w:rFonts w:cs="Arial"/>
          <w:i/>
          <w:iCs/>
          <w:szCs w:val="24"/>
        </w:rPr>
        <w:t>(including</w:t>
      </w:r>
      <w:r>
        <w:rPr>
          <w:rFonts w:cs="Arial"/>
          <w:i/>
          <w:iCs/>
          <w:spacing w:val="-11"/>
          <w:szCs w:val="24"/>
        </w:rPr>
        <w:t xml:space="preserve"> </w:t>
      </w:r>
      <w:r>
        <w:rPr>
          <w:rFonts w:cs="Arial"/>
          <w:i/>
          <w:iCs/>
          <w:szCs w:val="24"/>
        </w:rPr>
        <w:t>employee</w:t>
      </w:r>
      <w:r>
        <w:rPr>
          <w:rFonts w:cs="Arial"/>
          <w:i/>
          <w:iCs/>
          <w:spacing w:val="-13"/>
          <w:szCs w:val="24"/>
        </w:rPr>
        <w:t xml:space="preserve"> </w:t>
      </w:r>
      <w:r>
        <w:rPr>
          <w:rFonts w:cs="Arial"/>
          <w:i/>
          <w:iCs/>
          <w:szCs w:val="24"/>
        </w:rPr>
        <w:t>health,</w:t>
      </w:r>
      <w:r>
        <w:rPr>
          <w:rFonts w:cs="Arial"/>
          <w:i/>
          <w:iCs/>
          <w:spacing w:val="-15"/>
          <w:szCs w:val="24"/>
        </w:rPr>
        <w:t xml:space="preserve"> </w:t>
      </w:r>
      <w:r>
        <w:rPr>
          <w:rFonts w:cs="Arial"/>
          <w:i/>
          <w:iCs/>
          <w:szCs w:val="24"/>
        </w:rPr>
        <w:t>financial,</w:t>
      </w:r>
      <w:r>
        <w:rPr>
          <w:rFonts w:cs="Arial"/>
          <w:i/>
          <w:iCs/>
          <w:spacing w:val="-14"/>
          <w:szCs w:val="24"/>
        </w:rPr>
        <w:t xml:space="preserve"> </w:t>
      </w:r>
      <w:r>
        <w:rPr>
          <w:rFonts w:cs="Arial"/>
          <w:i/>
          <w:iCs/>
          <w:szCs w:val="24"/>
        </w:rPr>
        <w:t>personal</w:t>
      </w:r>
      <w:r>
        <w:rPr>
          <w:rFonts w:cs="Arial"/>
          <w:i/>
          <w:iCs/>
          <w:spacing w:val="-17"/>
          <w:szCs w:val="24"/>
        </w:rPr>
        <w:t xml:space="preserve"> </w:t>
      </w:r>
      <w:r>
        <w:rPr>
          <w:rFonts w:cs="Arial"/>
          <w:i/>
          <w:iCs/>
          <w:szCs w:val="24"/>
        </w:rPr>
        <w:t>and</w:t>
      </w:r>
      <w:r>
        <w:rPr>
          <w:rFonts w:cs="Arial"/>
          <w:i/>
          <w:iCs/>
          <w:spacing w:val="-13"/>
          <w:szCs w:val="24"/>
        </w:rPr>
        <w:t xml:space="preserve"> </w:t>
      </w:r>
      <w:r>
        <w:rPr>
          <w:rFonts w:cs="Arial"/>
          <w:i/>
          <w:iCs/>
          <w:szCs w:val="24"/>
        </w:rPr>
        <w:t>administrative)</w:t>
      </w:r>
      <w:r>
        <w:rPr>
          <w:rFonts w:cs="Arial"/>
          <w:i/>
          <w:iCs/>
          <w:spacing w:val="-58"/>
          <w:szCs w:val="24"/>
        </w:rPr>
        <w:t xml:space="preserve"> </w:t>
      </w:r>
      <w:r>
        <w:rPr>
          <w:rFonts w:cs="Arial"/>
          <w:i/>
          <w:iCs/>
          <w:szCs w:val="24"/>
        </w:rPr>
        <w:t>that you gather or use as part of your work with the Service. The records may be paper,</w:t>
      </w:r>
      <w:r>
        <w:rPr>
          <w:rFonts w:cs="Arial"/>
          <w:i/>
          <w:iCs/>
          <w:spacing w:val="1"/>
          <w:szCs w:val="24"/>
        </w:rPr>
        <w:t xml:space="preserve"> </w:t>
      </w:r>
      <w:r>
        <w:rPr>
          <w:rFonts w:cs="Arial"/>
          <w:i/>
          <w:iCs/>
          <w:szCs w:val="24"/>
        </w:rPr>
        <w:t>electronic, audio or videotapes. You must consult your manager if you have any doubt as to</w:t>
      </w:r>
      <w:r>
        <w:rPr>
          <w:rFonts w:cs="Arial"/>
          <w:i/>
          <w:iCs/>
          <w:spacing w:val="1"/>
          <w:szCs w:val="24"/>
        </w:rPr>
        <w:t xml:space="preserve"> </w:t>
      </w:r>
      <w:r>
        <w:rPr>
          <w:rFonts w:cs="Arial"/>
          <w:i/>
          <w:iCs/>
          <w:szCs w:val="24"/>
        </w:rPr>
        <w:t>the</w:t>
      </w:r>
      <w:r>
        <w:rPr>
          <w:rFonts w:cs="Arial"/>
          <w:i/>
          <w:iCs/>
          <w:spacing w:val="-1"/>
          <w:szCs w:val="24"/>
        </w:rPr>
        <w:t xml:space="preserve"> </w:t>
      </w:r>
      <w:r>
        <w:rPr>
          <w:rFonts w:cs="Arial"/>
          <w:i/>
          <w:iCs/>
          <w:szCs w:val="24"/>
        </w:rPr>
        <w:t>correct management</w:t>
      </w:r>
      <w:r>
        <w:rPr>
          <w:rFonts w:cs="Arial"/>
          <w:i/>
          <w:iCs/>
          <w:spacing w:val="-2"/>
          <w:szCs w:val="24"/>
        </w:rPr>
        <w:t xml:space="preserve"> </w:t>
      </w:r>
      <w:r>
        <w:rPr>
          <w:rFonts w:cs="Arial"/>
          <w:i/>
          <w:iCs/>
          <w:szCs w:val="24"/>
        </w:rPr>
        <w:t>of</w:t>
      </w:r>
      <w:r>
        <w:rPr>
          <w:rFonts w:cs="Arial"/>
          <w:i/>
          <w:iCs/>
          <w:spacing w:val="2"/>
          <w:szCs w:val="24"/>
        </w:rPr>
        <w:t xml:space="preserve"> </w:t>
      </w:r>
      <w:r>
        <w:rPr>
          <w:rFonts w:cs="Arial"/>
          <w:i/>
          <w:iCs/>
          <w:szCs w:val="24"/>
        </w:rPr>
        <w:t>the</w:t>
      </w:r>
      <w:r>
        <w:rPr>
          <w:rFonts w:cs="Arial"/>
          <w:i/>
          <w:iCs/>
          <w:spacing w:val="-3"/>
          <w:szCs w:val="24"/>
        </w:rPr>
        <w:t xml:space="preserve"> </w:t>
      </w:r>
      <w:r>
        <w:rPr>
          <w:rFonts w:cs="Arial"/>
          <w:i/>
          <w:iCs/>
          <w:szCs w:val="24"/>
        </w:rPr>
        <w:t>records</w:t>
      </w:r>
      <w:r>
        <w:rPr>
          <w:rFonts w:cs="Arial"/>
          <w:i/>
          <w:iCs/>
          <w:spacing w:val="-2"/>
          <w:szCs w:val="24"/>
        </w:rPr>
        <w:t xml:space="preserve"> </w:t>
      </w:r>
      <w:r>
        <w:rPr>
          <w:rFonts w:cs="Arial"/>
          <w:i/>
          <w:iCs/>
          <w:szCs w:val="24"/>
        </w:rPr>
        <w:t>with</w:t>
      </w:r>
      <w:r>
        <w:rPr>
          <w:rFonts w:cs="Arial"/>
          <w:i/>
          <w:iCs/>
          <w:spacing w:val="1"/>
          <w:szCs w:val="24"/>
        </w:rPr>
        <w:t xml:space="preserve"> </w:t>
      </w:r>
      <w:r>
        <w:rPr>
          <w:rFonts w:cs="Arial"/>
          <w:i/>
          <w:iCs/>
          <w:szCs w:val="24"/>
        </w:rPr>
        <w:t>which</w:t>
      </w:r>
      <w:r>
        <w:rPr>
          <w:rFonts w:cs="Arial"/>
          <w:i/>
          <w:iCs/>
          <w:spacing w:val="2"/>
          <w:szCs w:val="24"/>
        </w:rPr>
        <w:t xml:space="preserve"> </w:t>
      </w:r>
      <w:r>
        <w:rPr>
          <w:rFonts w:cs="Arial"/>
          <w:i/>
          <w:iCs/>
          <w:szCs w:val="24"/>
        </w:rPr>
        <w:t>you work.</w:t>
      </w:r>
    </w:p>
    <w:p>
      <w:pPr>
        <w:pStyle w:val="Normal"/>
        <w:rPr/>
      </w:pPr>
      <w:r>
        <w:rPr>
          <w:rFonts w:cs="Arial"/>
          <w:b/>
          <w:bCs/>
          <w:i/>
          <w:iCs/>
          <w:spacing w:val="-1"/>
          <w:szCs w:val="24"/>
        </w:rPr>
        <w:t>Confidentiality</w:t>
      </w:r>
      <w:r>
        <w:rPr>
          <w:rFonts w:cs="Arial"/>
          <w:b/>
          <w:bCs/>
          <w:i/>
          <w:iCs/>
          <w:spacing w:val="-15"/>
          <w:szCs w:val="24"/>
        </w:rPr>
        <w:t xml:space="preserve"> </w:t>
      </w:r>
      <w:r>
        <w:rPr>
          <w:rFonts w:cs="Arial"/>
          <w:b/>
          <w:bCs/>
          <w:i/>
          <w:iCs/>
          <w:szCs w:val="24"/>
        </w:rPr>
        <w:t>and</w:t>
      </w:r>
      <w:r>
        <w:rPr>
          <w:rFonts w:cs="Arial"/>
          <w:b/>
          <w:bCs/>
          <w:i/>
          <w:iCs/>
          <w:spacing w:val="-12"/>
          <w:szCs w:val="24"/>
        </w:rPr>
        <w:t xml:space="preserve"> </w:t>
      </w:r>
      <w:r>
        <w:rPr>
          <w:rFonts w:cs="Arial"/>
          <w:b/>
          <w:bCs/>
          <w:i/>
          <w:iCs/>
          <w:szCs w:val="24"/>
        </w:rPr>
        <w:t>Information</w:t>
      </w:r>
      <w:r>
        <w:rPr>
          <w:rFonts w:cs="Arial"/>
          <w:b/>
          <w:bCs/>
          <w:i/>
          <w:iCs/>
          <w:spacing w:val="-13"/>
          <w:szCs w:val="24"/>
        </w:rPr>
        <w:t xml:space="preserve"> </w:t>
      </w:r>
      <w:r>
        <w:rPr>
          <w:rFonts w:cs="Arial"/>
          <w:b/>
          <w:bCs/>
          <w:i/>
          <w:iCs/>
          <w:szCs w:val="24"/>
        </w:rPr>
        <w:t>Security</w:t>
      </w:r>
      <w:r>
        <w:rPr>
          <w:rFonts w:cs="Arial"/>
          <w:i/>
          <w:iCs/>
          <w:spacing w:val="-16"/>
          <w:szCs w:val="24"/>
        </w:rPr>
        <w:t xml:space="preserve"> </w:t>
      </w:r>
      <w:r>
        <w:rPr>
          <w:rFonts w:cs="Arial"/>
          <w:i/>
          <w:iCs/>
          <w:szCs w:val="24"/>
        </w:rPr>
        <w:t>-</w:t>
      </w:r>
      <w:r>
        <w:rPr>
          <w:rFonts w:cs="Arial"/>
          <w:i/>
          <w:iCs/>
          <w:spacing w:val="-10"/>
          <w:szCs w:val="24"/>
        </w:rPr>
        <w:t xml:space="preserve"> </w:t>
      </w:r>
      <w:r>
        <w:rPr>
          <w:rFonts w:cs="Arial"/>
          <w:i/>
          <w:iCs/>
          <w:szCs w:val="24"/>
        </w:rPr>
        <w:t>As</w:t>
      </w:r>
      <w:r>
        <w:rPr>
          <w:rFonts w:cs="Arial"/>
          <w:i/>
          <w:iCs/>
          <w:spacing w:val="-11"/>
          <w:szCs w:val="24"/>
        </w:rPr>
        <w:t xml:space="preserve"> </w:t>
      </w:r>
      <w:r>
        <w:rPr>
          <w:rFonts w:cs="Arial"/>
          <w:i/>
          <w:iCs/>
          <w:szCs w:val="24"/>
        </w:rPr>
        <w:t>a</w:t>
      </w:r>
      <w:r>
        <w:rPr>
          <w:rFonts w:cs="Arial"/>
          <w:i/>
          <w:iCs/>
          <w:spacing w:val="-16"/>
          <w:szCs w:val="24"/>
        </w:rPr>
        <w:t xml:space="preserve"> </w:t>
      </w:r>
      <w:r>
        <w:rPr>
          <w:rFonts w:cs="Arial"/>
          <w:i/>
          <w:iCs/>
          <w:szCs w:val="24"/>
        </w:rPr>
        <w:t>GMCA</w:t>
      </w:r>
      <w:r>
        <w:rPr>
          <w:rFonts w:cs="Arial"/>
          <w:i/>
          <w:iCs/>
          <w:spacing w:val="-11"/>
          <w:szCs w:val="24"/>
        </w:rPr>
        <w:t xml:space="preserve"> </w:t>
      </w:r>
      <w:r>
        <w:rPr>
          <w:rFonts w:cs="Arial"/>
          <w:i/>
          <w:iCs/>
          <w:szCs w:val="24"/>
        </w:rPr>
        <w:t>employee</w:t>
      </w:r>
      <w:r>
        <w:rPr>
          <w:rFonts w:cs="Arial"/>
          <w:i/>
          <w:iCs/>
          <w:spacing w:val="-12"/>
          <w:szCs w:val="24"/>
        </w:rPr>
        <w:t xml:space="preserve"> </w:t>
      </w:r>
      <w:r>
        <w:rPr>
          <w:rFonts w:cs="Arial"/>
          <w:i/>
          <w:iCs/>
          <w:szCs w:val="24"/>
        </w:rPr>
        <w:t>you</w:t>
      </w:r>
      <w:r>
        <w:rPr>
          <w:rFonts w:cs="Arial"/>
          <w:i/>
          <w:iCs/>
          <w:spacing w:val="-12"/>
          <w:szCs w:val="24"/>
        </w:rPr>
        <w:t xml:space="preserve"> </w:t>
      </w:r>
      <w:r>
        <w:rPr>
          <w:rFonts w:cs="Arial"/>
          <w:i/>
          <w:iCs/>
          <w:szCs w:val="24"/>
        </w:rPr>
        <w:t>are</w:t>
      </w:r>
      <w:r>
        <w:rPr>
          <w:rFonts w:cs="Arial"/>
          <w:i/>
          <w:iCs/>
          <w:spacing w:val="-11"/>
          <w:szCs w:val="24"/>
        </w:rPr>
        <w:t xml:space="preserve"> </w:t>
      </w:r>
      <w:r>
        <w:rPr>
          <w:rFonts w:cs="Arial"/>
          <w:i/>
          <w:iCs/>
          <w:szCs w:val="24"/>
        </w:rPr>
        <w:t>required</w:t>
      </w:r>
      <w:r>
        <w:rPr>
          <w:rFonts w:cs="Arial"/>
          <w:i/>
          <w:iCs/>
          <w:spacing w:val="-15"/>
          <w:szCs w:val="24"/>
        </w:rPr>
        <w:t xml:space="preserve"> </w:t>
      </w:r>
      <w:r>
        <w:rPr>
          <w:rFonts w:cs="Arial"/>
          <w:i/>
          <w:iCs/>
          <w:szCs w:val="24"/>
        </w:rPr>
        <w:t>to</w:t>
      </w:r>
      <w:r>
        <w:rPr>
          <w:rFonts w:cs="Arial"/>
          <w:i/>
          <w:iCs/>
          <w:spacing w:val="-12"/>
          <w:szCs w:val="24"/>
        </w:rPr>
        <w:t xml:space="preserve"> </w:t>
      </w:r>
      <w:r>
        <w:rPr>
          <w:rFonts w:cs="Arial"/>
          <w:i/>
          <w:iCs/>
          <w:szCs w:val="24"/>
        </w:rPr>
        <w:t>uphold</w:t>
      </w:r>
      <w:r>
        <w:rPr>
          <w:rFonts w:cs="Arial"/>
          <w:i/>
          <w:iCs/>
          <w:spacing w:val="-58"/>
          <w:szCs w:val="24"/>
        </w:rPr>
        <w:t xml:space="preserve"> </w:t>
      </w:r>
      <w:r>
        <w:rPr>
          <w:rFonts w:cs="Arial"/>
          <w:i/>
          <w:iCs/>
          <w:szCs w:val="24"/>
        </w:rPr>
        <w:t>the confidentiality of all records held by the GMCA, whether employee records or GMCA</w:t>
      </w:r>
      <w:r>
        <w:rPr>
          <w:rFonts w:cs="Arial"/>
          <w:i/>
          <w:iCs/>
          <w:spacing w:val="1"/>
          <w:szCs w:val="24"/>
        </w:rPr>
        <w:t xml:space="preserve"> </w:t>
      </w:r>
      <w:r>
        <w:rPr>
          <w:rFonts w:cs="Arial"/>
          <w:i/>
          <w:iCs/>
          <w:szCs w:val="24"/>
        </w:rPr>
        <w:t>information.</w:t>
      </w:r>
      <w:r>
        <w:rPr>
          <w:rFonts w:cs="Arial"/>
          <w:i/>
          <w:iCs/>
          <w:spacing w:val="1"/>
          <w:szCs w:val="24"/>
        </w:rPr>
        <w:t xml:space="preserve"> </w:t>
      </w:r>
      <w:r>
        <w:rPr>
          <w:rFonts w:cs="Arial"/>
          <w:i/>
          <w:iCs/>
          <w:szCs w:val="24"/>
        </w:rPr>
        <w:t>This</w:t>
      </w:r>
      <w:r>
        <w:rPr>
          <w:rFonts w:cs="Arial"/>
          <w:i/>
          <w:iCs/>
          <w:spacing w:val="1"/>
          <w:szCs w:val="24"/>
        </w:rPr>
        <w:t xml:space="preserve"> </w:t>
      </w:r>
      <w:r>
        <w:rPr>
          <w:rFonts w:cs="Arial"/>
          <w:i/>
          <w:iCs/>
          <w:szCs w:val="24"/>
        </w:rPr>
        <w:t>duty</w:t>
      </w:r>
      <w:r>
        <w:rPr>
          <w:rFonts w:cs="Arial"/>
          <w:i/>
          <w:iCs/>
          <w:spacing w:val="1"/>
          <w:szCs w:val="24"/>
        </w:rPr>
        <w:t xml:space="preserve"> </w:t>
      </w:r>
      <w:r>
        <w:rPr>
          <w:rFonts w:cs="Arial"/>
          <w:i/>
          <w:iCs/>
          <w:szCs w:val="24"/>
        </w:rPr>
        <w:t>lasts</w:t>
      </w:r>
      <w:r>
        <w:rPr>
          <w:rFonts w:cs="Arial"/>
          <w:i/>
          <w:iCs/>
          <w:spacing w:val="1"/>
          <w:szCs w:val="24"/>
        </w:rPr>
        <w:t xml:space="preserve"> </w:t>
      </w:r>
      <w:r>
        <w:rPr>
          <w:rFonts w:cs="Arial"/>
          <w:i/>
          <w:iCs/>
          <w:szCs w:val="24"/>
        </w:rPr>
        <w:t>indefinitely</w:t>
      </w:r>
      <w:r>
        <w:rPr>
          <w:rFonts w:cs="Arial"/>
          <w:i/>
          <w:iCs/>
          <w:spacing w:val="1"/>
          <w:szCs w:val="24"/>
        </w:rPr>
        <w:t xml:space="preserve"> </w:t>
      </w:r>
      <w:r>
        <w:rPr>
          <w:rFonts w:cs="Arial"/>
          <w:i/>
          <w:iCs/>
          <w:szCs w:val="24"/>
        </w:rPr>
        <w:t>and</w:t>
      </w:r>
      <w:r>
        <w:rPr>
          <w:rFonts w:cs="Arial"/>
          <w:i/>
          <w:iCs/>
          <w:spacing w:val="1"/>
          <w:szCs w:val="24"/>
        </w:rPr>
        <w:t xml:space="preserve"> </w:t>
      </w:r>
      <w:r>
        <w:rPr>
          <w:rFonts w:cs="Arial"/>
          <w:i/>
          <w:iCs/>
          <w:szCs w:val="24"/>
        </w:rPr>
        <w:t>will</w:t>
      </w:r>
      <w:r>
        <w:rPr>
          <w:rFonts w:cs="Arial"/>
          <w:i/>
          <w:iCs/>
          <w:spacing w:val="1"/>
          <w:szCs w:val="24"/>
        </w:rPr>
        <w:t xml:space="preserve"> </w:t>
      </w:r>
      <w:r>
        <w:rPr>
          <w:rFonts w:cs="Arial"/>
          <w:i/>
          <w:iCs/>
          <w:szCs w:val="24"/>
        </w:rPr>
        <w:t>continue</w:t>
      </w:r>
      <w:r>
        <w:rPr>
          <w:rFonts w:cs="Arial"/>
          <w:i/>
          <w:iCs/>
          <w:spacing w:val="1"/>
          <w:szCs w:val="24"/>
        </w:rPr>
        <w:t xml:space="preserve"> </w:t>
      </w:r>
      <w:r>
        <w:rPr>
          <w:rFonts w:cs="Arial"/>
          <w:i/>
          <w:iCs/>
          <w:szCs w:val="24"/>
        </w:rPr>
        <w:t>after</w:t>
      </w:r>
      <w:r>
        <w:rPr>
          <w:rFonts w:cs="Arial"/>
          <w:i/>
          <w:iCs/>
          <w:spacing w:val="1"/>
          <w:szCs w:val="24"/>
        </w:rPr>
        <w:t xml:space="preserve"> </w:t>
      </w:r>
      <w:r>
        <w:rPr>
          <w:rFonts w:cs="Arial"/>
          <w:i/>
          <w:iCs/>
          <w:szCs w:val="24"/>
        </w:rPr>
        <w:t>you</w:t>
      </w:r>
      <w:r>
        <w:rPr>
          <w:rFonts w:cs="Arial"/>
          <w:i/>
          <w:iCs/>
          <w:spacing w:val="1"/>
          <w:szCs w:val="24"/>
        </w:rPr>
        <w:t xml:space="preserve"> </w:t>
      </w:r>
      <w:r>
        <w:rPr>
          <w:rFonts w:cs="Arial"/>
          <w:i/>
          <w:iCs/>
          <w:szCs w:val="24"/>
        </w:rPr>
        <w:t>leave</w:t>
      </w:r>
      <w:r>
        <w:rPr>
          <w:rFonts w:cs="Arial"/>
          <w:i/>
          <w:iCs/>
          <w:spacing w:val="1"/>
          <w:szCs w:val="24"/>
        </w:rPr>
        <w:t xml:space="preserve"> </w:t>
      </w:r>
      <w:r>
        <w:rPr>
          <w:rFonts w:cs="Arial"/>
          <w:i/>
          <w:iCs/>
          <w:szCs w:val="24"/>
        </w:rPr>
        <w:t>the</w:t>
      </w:r>
      <w:r>
        <w:rPr>
          <w:rFonts w:cs="Arial"/>
          <w:i/>
          <w:iCs/>
          <w:spacing w:val="1"/>
          <w:szCs w:val="24"/>
        </w:rPr>
        <w:t xml:space="preserve"> </w:t>
      </w:r>
      <w:r>
        <w:rPr>
          <w:rFonts w:cs="Arial"/>
          <w:i/>
          <w:iCs/>
          <w:szCs w:val="24"/>
        </w:rPr>
        <w:t>GMCA</w:t>
      </w:r>
      <w:r>
        <w:rPr>
          <w:rFonts w:cs="Arial"/>
          <w:i/>
          <w:iCs/>
          <w:spacing w:val="1"/>
          <w:szCs w:val="24"/>
        </w:rPr>
        <w:t xml:space="preserve"> </w:t>
      </w:r>
      <w:r>
        <w:rPr>
          <w:rFonts w:cs="Arial"/>
          <w:i/>
          <w:iCs/>
          <w:szCs w:val="24"/>
        </w:rPr>
        <w:t>employment. All employees must maintain confidentiality and abide by the Data Protection</w:t>
      </w:r>
      <w:r>
        <w:rPr>
          <w:rFonts w:cs="Arial"/>
          <w:i/>
          <w:iCs/>
          <w:spacing w:val="1"/>
          <w:szCs w:val="24"/>
        </w:rPr>
        <w:t xml:space="preserve"> </w:t>
      </w:r>
      <w:r>
        <w:rPr>
          <w:rFonts w:cs="Arial"/>
          <w:i/>
          <w:iCs/>
          <w:szCs w:val="24"/>
        </w:rPr>
        <w:t>Act.</w:t>
      </w:r>
    </w:p>
    <w:p>
      <w:pPr>
        <w:pStyle w:val="Normal"/>
        <w:rPr/>
      </w:pPr>
      <w:r>
        <w:rPr>
          <w:rFonts w:cs="Arial"/>
          <w:b/>
          <w:bCs/>
          <w:i/>
          <w:iCs/>
          <w:szCs w:val="24"/>
        </w:rPr>
        <w:t>Data</w:t>
      </w:r>
      <w:r>
        <w:rPr>
          <w:rFonts w:cs="Arial"/>
          <w:b/>
          <w:bCs/>
          <w:i/>
          <w:iCs/>
          <w:spacing w:val="1"/>
          <w:szCs w:val="24"/>
        </w:rPr>
        <w:t xml:space="preserve"> </w:t>
      </w:r>
      <w:r>
        <w:rPr>
          <w:rFonts w:cs="Arial"/>
          <w:b/>
          <w:bCs/>
          <w:i/>
          <w:iCs/>
          <w:szCs w:val="24"/>
        </w:rPr>
        <w:t>Quality</w:t>
      </w:r>
      <w:r>
        <w:rPr>
          <w:rFonts w:cs="Arial"/>
          <w:i/>
          <w:iCs/>
          <w:spacing w:val="1"/>
          <w:szCs w:val="24"/>
        </w:rPr>
        <w:t xml:space="preserve"> </w:t>
      </w:r>
      <w:r>
        <w:rPr>
          <w:rFonts w:cs="Arial"/>
          <w:i/>
          <w:iCs/>
          <w:szCs w:val="24"/>
        </w:rPr>
        <w:t>-</w:t>
      </w:r>
      <w:r>
        <w:rPr>
          <w:rFonts w:cs="Arial"/>
          <w:i/>
          <w:iCs/>
          <w:spacing w:val="1"/>
          <w:szCs w:val="24"/>
        </w:rPr>
        <w:t xml:space="preserve"> </w:t>
      </w:r>
      <w:r>
        <w:rPr>
          <w:rFonts w:cs="Arial"/>
          <w:i/>
          <w:iCs/>
          <w:szCs w:val="24"/>
        </w:rPr>
        <w:t>All</w:t>
      </w:r>
      <w:r>
        <w:rPr>
          <w:rFonts w:cs="Arial"/>
          <w:i/>
          <w:iCs/>
          <w:spacing w:val="1"/>
          <w:szCs w:val="24"/>
        </w:rPr>
        <w:t xml:space="preserve"> </w:t>
      </w:r>
      <w:r>
        <w:rPr>
          <w:rFonts w:cs="Arial"/>
          <w:i/>
          <w:iCs/>
          <w:szCs w:val="24"/>
        </w:rPr>
        <w:t>staff</w:t>
      </w:r>
      <w:r>
        <w:rPr>
          <w:rFonts w:cs="Arial"/>
          <w:i/>
          <w:iCs/>
          <w:spacing w:val="1"/>
          <w:szCs w:val="24"/>
        </w:rPr>
        <w:t xml:space="preserve"> </w:t>
      </w:r>
      <w:r>
        <w:rPr>
          <w:rFonts w:cs="Arial"/>
          <w:i/>
          <w:iCs/>
          <w:szCs w:val="24"/>
        </w:rPr>
        <w:t>are</w:t>
      </w:r>
      <w:r>
        <w:rPr>
          <w:rFonts w:cs="Arial"/>
          <w:i/>
          <w:iCs/>
          <w:spacing w:val="1"/>
          <w:szCs w:val="24"/>
        </w:rPr>
        <w:t xml:space="preserve"> </w:t>
      </w:r>
      <w:r>
        <w:rPr>
          <w:rFonts w:cs="Arial"/>
          <w:i/>
          <w:iCs/>
          <w:szCs w:val="24"/>
        </w:rPr>
        <w:t>personally</w:t>
      </w:r>
      <w:r>
        <w:rPr>
          <w:rFonts w:cs="Arial"/>
          <w:i/>
          <w:iCs/>
          <w:spacing w:val="1"/>
          <w:szCs w:val="24"/>
        </w:rPr>
        <w:t xml:space="preserve"> </w:t>
      </w:r>
      <w:r>
        <w:rPr>
          <w:rFonts w:cs="Arial"/>
          <w:i/>
          <w:iCs/>
          <w:szCs w:val="24"/>
        </w:rPr>
        <w:t>responsible</w:t>
      </w:r>
      <w:r>
        <w:rPr>
          <w:rFonts w:cs="Arial"/>
          <w:i/>
          <w:iCs/>
          <w:spacing w:val="1"/>
          <w:szCs w:val="24"/>
        </w:rPr>
        <w:t xml:space="preserve"> </w:t>
      </w:r>
      <w:r>
        <w:rPr>
          <w:rFonts w:cs="Arial"/>
          <w:i/>
          <w:iCs/>
          <w:szCs w:val="24"/>
        </w:rPr>
        <w:t>for</w:t>
      </w:r>
      <w:r>
        <w:rPr>
          <w:rFonts w:cs="Arial"/>
          <w:i/>
          <w:iCs/>
          <w:spacing w:val="1"/>
          <w:szCs w:val="24"/>
        </w:rPr>
        <w:t xml:space="preserve"> </w:t>
      </w:r>
      <w:r>
        <w:rPr>
          <w:rFonts w:cs="Arial"/>
          <w:i/>
          <w:iCs/>
          <w:szCs w:val="24"/>
        </w:rPr>
        <w:t>the</w:t>
      </w:r>
      <w:r>
        <w:rPr>
          <w:rFonts w:cs="Arial"/>
          <w:i/>
          <w:iCs/>
          <w:spacing w:val="1"/>
          <w:szCs w:val="24"/>
        </w:rPr>
        <w:t xml:space="preserve"> </w:t>
      </w:r>
      <w:r>
        <w:rPr>
          <w:rFonts w:cs="Arial"/>
          <w:i/>
          <w:iCs/>
          <w:szCs w:val="24"/>
        </w:rPr>
        <w:t>quality</w:t>
      </w:r>
      <w:r>
        <w:rPr>
          <w:rFonts w:cs="Arial"/>
          <w:i/>
          <w:iCs/>
          <w:spacing w:val="1"/>
          <w:szCs w:val="24"/>
        </w:rPr>
        <w:t xml:space="preserve"> </w:t>
      </w:r>
      <w:r>
        <w:rPr>
          <w:rFonts w:cs="Arial"/>
          <w:i/>
          <w:iCs/>
          <w:szCs w:val="24"/>
        </w:rPr>
        <w:t>of</w:t>
      </w:r>
      <w:r>
        <w:rPr>
          <w:rFonts w:cs="Arial"/>
          <w:i/>
          <w:iCs/>
          <w:spacing w:val="1"/>
          <w:szCs w:val="24"/>
        </w:rPr>
        <w:t xml:space="preserve"> </w:t>
      </w:r>
      <w:r>
        <w:rPr>
          <w:rFonts w:cs="Arial"/>
          <w:i/>
          <w:iCs/>
          <w:szCs w:val="24"/>
        </w:rPr>
        <w:t>data</w:t>
      </w:r>
      <w:r>
        <w:rPr>
          <w:rFonts w:cs="Arial"/>
          <w:i/>
          <w:iCs/>
          <w:spacing w:val="1"/>
          <w:szCs w:val="24"/>
        </w:rPr>
        <w:t xml:space="preserve"> </w:t>
      </w:r>
      <w:r>
        <w:rPr>
          <w:rFonts w:cs="Arial"/>
          <w:i/>
          <w:iCs/>
          <w:szCs w:val="24"/>
        </w:rPr>
        <w:t>entered</w:t>
      </w:r>
      <w:r>
        <w:rPr>
          <w:rFonts w:cs="Arial"/>
          <w:i/>
          <w:iCs/>
          <w:spacing w:val="1"/>
          <w:szCs w:val="24"/>
        </w:rPr>
        <w:t xml:space="preserve"> </w:t>
      </w:r>
      <w:r>
        <w:rPr>
          <w:rFonts w:cs="Arial"/>
          <w:i/>
          <w:iCs/>
          <w:szCs w:val="24"/>
        </w:rPr>
        <w:t>by</w:t>
      </w:r>
      <w:r>
        <w:rPr>
          <w:rFonts w:cs="Arial"/>
          <w:i/>
          <w:iCs/>
          <w:spacing w:val="1"/>
          <w:szCs w:val="24"/>
        </w:rPr>
        <w:t xml:space="preserve"> </w:t>
      </w:r>
      <w:r>
        <w:rPr>
          <w:rFonts w:cs="Arial"/>
          <w:i/>
          <w:iCs/>
          <w:szCs w:val="24"/>
        </w:rPr>
        <w:t>themselves, or on their behalf, on GMCAs computerised systems or manual records (paper</w:t>
      </w:r>
      <w:r>
        <w:rPr>
          <w:rFonts w:cs="Arial"/>
          <w:i/>
          <w:iCs/>
          <w:spacing w:val="1"/>
          <w:szCs w:val="24"/>
        </w:rPr>
        <w:t xml:space="preserve"> </w:t>
      </w:r>
      <w:r>
        <w:rPr>
          <w:rFonts w:cs="Arial"/>
          <w:i/>
          <w:iCs/>
          <w:szCs w:val="24"/>
        </w:rPr>
        <w:t>records) and must ensure that such data is entered accurately and, in a timely manner, to</w:t>
      </w:r>
      <w:r>
        <w:rPr>
          <w:rFonts w:cs="Arial"/>
          <w:i/>
          <w:iCs/>
          <w:spacing w:val="1"/>
          <w:szCs w:val="24"/>
        </w:rPr>
        <w:t xml:space="preserve"> </w:t>
      </w:r>
      <w:r>
        <w:rPr>
          <w:rFonts w:cs="Arial"/>
          <w:i/>
          <w:iCs/>
          <w:szCs w:val="24"/>
        </w:rPr>
        <w:t>ensure high</w:t>
      </w:r>
      <w:r>
        <w:rPr>
          <w:rFonts w:cs="Arial"/>
          <w:i/>
          <w:iCs/>
          <w:spacing w:val="-3"/>
          <w:szCs w:val="24"/>
        </w:rPr>
        <w:t xml:space="preserve"> </w:t>
      </w:r>
      <w:r>
        <w:rPr>
          <w:rFonts w:cs="Arial"/>
          <w:i/>
          <w:iCs/>
          <w:szCs w:val="24"/>
        </w:rPr>
        <w:t>standards of data</w:t>
      </w:r>
      <w:r>
        <w:rPr>
          <w:rFonts w:cs="Arial"/>
          <w:i/>
          <w:iCs/>
          <w:spacing w:val="-5"/>
          <w:szCs w:val="24"/>
        </w:rPr>
        <w:t xml:space="preserve"> </w:t>
      </w:r>
      <w:r>
        <w:rPr>
          <w:rFonts w:cs="Arial"/>
          <w:i/>
          <w:iCs/>
          <w:szCs w:val="24"/>
        </w:rPr>
        <w:t>quality</w:t>
      </w:r>
      <w:r>
        <w:rPr>
          <w:rFonts w:cs="Arial"/>
          <w:i/>
          <w:iCs/>
          <w:spacing w:val="-2"/>
          <w:szCs w:val="24"/>
        </w:rPr>
        <w:t xml:space="preserve"> </w:t>
      </w:r>
      <w:r>
        <w:rPr>
          <w:rFonts w:cs="Arial"/>
          <w:i/>
          <w:iCs/>
          <w:szCs w:val="24"/>
        </w:rPr>
        <w:t>in accordance with Departmental protocols. To ensure data is handled in a secure manner protecting the confidentiality of any personal</w:t>
      </w:r>
      <w:r>
        <w:rPr>
          <w:rFonts w:cs="Arial"/>
          <w:i/>
          <w:iCs/>
          <w:spacing w:val="1"/>
          <w:szCs w:val="24"/>
        </w:rPr>
        <w:t xml:space="preserve"> </w:t>
      </w:r>
      <w:r>
        <w:rPr>
          <w:rFonts w:cs="Arial"/>
          <w:i/>
          <w:iCs/>
          <w:szCs w:val="24"/>
        </w:rPr>
        <w:t>data</w:t>
      </w:r>
      <w:r>
        <w:rPr>
          <w:rFonts w:cs="Arial"/>
          <w:i/>
          <w:iCs/>
          <w:spacing w:val="-1"/>
          <w:szCs w:val="24"/>
        </w:rPr>
        <w:t xml:space="preserve"> </w:t>
      </w:r>
      <w:r>
        <w:rPr>
          <w:rFonts w:cs="Arial"/>
          <w:i/>
          <w:iCs/>
          <w:szCs w:val="24"/>
        </w:rPr>
        <w:t>held in</w:t>
      </w:r>
      <w:r>
        <w:rPr>
          <w:rFonts w:cs="Arial"/>
          <w:i/>
          <w:iCs/>
          <w:spacing w:val="-2"/>
          <w:szCs w:val="24"/>
        </w:rPr>
        <w:t xml:space="preserve"> </w:t>
      </w:r>
      <w:r>
        <w:rPr>
          <w:rFonts w:cs="Arial"/>
          <w:i/>
          <w:iCs/>
          <w:szCs w:val="24"/>
        </w:rPr>
        <w:t>meeting</w:t>
      </w:r>
      <w:r>
        <w:rPr>
          <w:rFonts w:cs="Arial"/>
          <w:i/>
          <w:iCs/>
          <w:spacing w:val="-1"/>
          <w:szCs w:val="24"/>
        </w:rPr>
        <w:t xml:space="preserve"> </w:t>
      </w:r>
      <w:r>
        <w:rPr>
          <w:rFonts w:cs="Arial"/>
          <w:i/>
          <w:iCs/>
          <w:szCs w:val="24"/>
        </w:rPr>
        <w:t>the</w:t>
      </w:r>
      <w:r>
        <w:rPr>
          <w:rFonts w:cs="Arial"/>
          <w:i/>
          <w:iCs/>
          <w:spacing w:val="-4"/>
          <w:szCs w:val="24"/>
        </w:rPr>
        <w:t xml:space="preserve"> </w:t>
      </w:r>
      <w:r>
        <w:rPr>
          <w:rFonts w:cs="Arial"/>
          <w:i/>
          <w:iCs/>
          <w:szCs w:val="24"/>
        </w:rPr>
        <w:t>requirements</w:t>
      </w:r>
      <w:r>
        <w:rPr>
          <w:rFonts w:cs="Arial"/>
          <w:i/>
          <w:iCs/>
          <w:spacing w:val="-1"/>
          <w:szCs w:val="24"/>
        </w:rPr>
        <w:t xml:space="preserve"> </w:t>
      </w:r>
      <w:r>
        <w:rPr>
          <w:rFonts w:cs="Arial"/>
          <w:i/>
          <w:iCs/>
          <w:szCs w:val="24"/>
        </w:rPr>
        <w:t>of</w:t>
      </w:r>
      <w:r>
        <w:rPr>
          <w:rFonts w:cs="Arial"/>
          <w:i/>
          <w:iCs/>
          <w:spacing w:val="2"/>
          <w:szCs w:val="24"/>
        </w:rPr>
        <w:t xml:space="preserve"> </w:t>
      </w:r>
      <w:r>
        <w:rPr>
          <w:rFonts w:cs="Arial"/>
          <w:i/>
          <w:iCs/>
          <w:szCs w:val="24"/>
        </w:rPr>
        <w:t>the</w:t>
      </w:r>
      <w:r>
        <w:rPr>
          <w:rFonts w:cs="Arial"/>
          <w:i/>
          <w:iCs/>
          <w:spacing w:val="-3"/>
          <w:szCs w:val="24"/>
        </w:rPr>
        <w:t xml:space="preserve"> </w:t>
      </w:r>
      <w:r>
        <w:rPr>
          <w:rFonts w:cs="Arial"/>
          <w:i/>
          <w:iCs/>
          <w:szCs w:val="24"/>
        </w:rPr>
        <w:t>Data</w:t>
      </w:r>
      <w:r>
        <w:rPr>
          <w:rFonts w:cs="Arial"/>
          <w:i/>
          <w:iCs/>
          <w:spacing w:val="-1"/>
          <w:szCs w:val="24"/>
        </w:rPr>
        <w:t xml:space="preserve"> </w:t>
      </w:r>
      <w:r>
        <w:rPr>
          <w:rFonts w:cs="Arial"/>
          <w:i/>
          <w:iCs/>
          <w:szCs w:val="24"/>
        </w:rPr>
        <w:t>Protection</w:t>
      </w:r>
      <w:r>
        <w:rPr>
          <w:rFonts w:cs="Arial"/>
          <w:i/>
          <w:iCs/>
          <w:spacing w:val="1"/>
          <w:szCs w:val="24"/>
        </w:rPr>
        <w:t xml:space="preserve"> </w:t>
      </w:r>
      <w:r>
        <w:rPr>
          <w:rFonts w:cs="Arial"/>
          <w:i/>
          <w:iCs/>
          <w:szCs w:val="24"/>
        </w:rPr>
        <w:t>Act.</w:t>
      </w:r>
    </w:p>
    <w:p>
      <w:pPr>
        <w:pStyle w:val="Normal"/>
        <w:rPr/>
      </w:pPr>
      <w:r>
        <w:rPr>
          <w:rFonts w:cs="Arial"/>
          <w:b/>
          <w:bCs/>
          <w:i/>
          <w:iCs/>
          <w:szCs w:val="24"/>
        </w:rPr>
        <w:t>Health and Safety</w:t>
      </w:r>
      <w:r>
        <w:rPr>
          <w:rFonts w:cs="Arial"/>
          <w:i/>
          <w:iCs/>
          <w:szCs w:val="24"/>
        </w:rPr>
        <w:t xml:space="preserve"> - All employees of GMCA have a statutory duty of care for their own</w:t>
      </w:r>
      <w:r>
        <w:rPr>
          <w:rFonts w:cs="Arial"/>
          <w:i/>
          <w:iCs/>
          <w:spacing w:val="1"/>
          <w:szCs w:val="24"/>
        </w:rPr>
        <w:t xml:space="preserve"> </w:t>
      </w:r>
      <w:r>
        <w:rPr>
          <w:rFonts w:cs="Arial"/>
          <w:i/>
          <w:iCs/>
          <w:szCs w:val="24"/>
        </w:rPr>
        <w:t>personal</w:t>
      </w:r>
      <w:r>
        <w:rPr>
          <w:rFonts w:cs="Arial"/>
          <w:i/>
          <w:iCs/>
          <w:spacing w:val="-9"/>
          <w:szCs w:val="24"/>
        </w:rPr>
        <w:t xml:space="preserve"> </w:t>
      </w:r>
      <w:r>
        <w:rPr>
          <w:rFonts w:cs="Arial"/>
          <w:i/>
          <w:iCs/>
          <w:szCs w:val="24"/>
        </w:rPr>
        <w:t>safety</w:t>
      </w:r>
      <w:r>
        <w:rPr>
          <w:rFonts w:cs="Arial"/>
          <w:i/>
          <w:iCs/>
          <w:spacing w:val="-9"/>
          <w:szCs w:val="24"/>
        </w:rPr>
        <w:t xml:space="preserve"> </w:t>
      </w:r>
      <w:r>
        <w:rPr>
          <w:rFonts w:cs="Arial"/>
          <w:i/>
          <w:iCs/>
          <w:szCs w:val="24"/>
        </w:rPr>
        <w:t>and</w:t>
      </w:r>
      <w:r>
        <w:rPr>
          <w:rFonts w:cs="Arial"/>
          <w:i/>
          <w:iCs/>
          <w:spacing w:val="-8"/>
          <w:szCs w:val="24"/>
        </w:rPr>
        <w:t xml:space="preserve"> </w:t>
      </w:r>
      <w:r>
        <w:rPr>
          <w:rFonts w:cs="Arial"/>
          <w:i/>
          <w:iCs/>
          <w:szCs w:val="24"/>
        </w:rPr>
        <w:t>that</w:t>
      </w:r>
      <w:r>
        <w:rPr>
          <w:rFonts w:cs="Arial"/>
          <w:i/>
          <w:iCs/>
          <w:spacing w:val="-9"/>
          <w:szCs w:val="24"/>
        </w:rPr>
        <w:t xml:space="preserve"> </w:t>
      </w:r>
      <w:r>
        <w:rPr>
          <w:rFonts w:cs="Arial"/>
          <w:i/>
          <w:iCs/>
          <w:szCs w:val="24"/>
        </w:rPr>
        <w:t>of</w:t>
      </w:r>
      <w:r>
        <w:rPr>
          <w:rFonts w:cs="Arial"/>
          <w:i/>
          <w:iCs/>
          <w:spacing w:val="-3"/>
          <w:szCs w:val="24"/>
        </w:rPr>
        <w:t xml:space="preserve"> </w:t>
      </w:r>
      <w:r>
        <w:rPr>
          <w:rFonts w:cs="Arial"/>
          <w:i/>
          <w:iCs/>
          <w:szCs w:val="24"/>
        </w:rPr>
        <w:t>others</w:t>
      </w:r>
      <w:r>
        <w:rPr>
          <w:rFonts w:cs="Arial"/>
          <w:i/>
          <w:iCs/>
          <w:spacing w:val="-7"/>
          <w:szCs w:val="24"/>
        </w:rPr>
        <w:t xml:space="preserve"> </w:t>
      </w:r>
      <w:r>
        <w:rPr>
          <w:rFonts w:cs="Arial"/>
          <w:i/>
          <w:iCs/>
          <w:szCs w:val="24"/>
        </w:rPr>
        <w:t>who</w:t>
      </w:r>
      <w:r>
        <w:rPr>
          <w:rFonts w:cs="Arial"/>
          <w:i/>
          <w:iCs/>
          <w:spacing w:val="-7"/>
          <w:szCs w:val="24"/>
        </w:rPr>
        <w:t xml:space="preserve"> </w:t>
      </w:r>
      <w:r>
        <w:rPr>
          <w:rFonts w:cs="Arial"/>
          <w:i/>
          <w:iCs/>
          <w:szCs w:val="24"/>
        </w:rPr>
        <w:t>may</w:t>
      </w:r>
      <w:r>
        <w:rPr>
          <w:rFonts w:cs="Arial"/>
          <w:i/>
          <w:iCs/>
          <w:spacing w:val="-10"/>
          <w:szCs w:val="24"/>
        </w:rPr>
        <w:t xml:space="preserve"> </w:t>
      </w:r>
      <w:r>
        <w:rPr>
          <w:rFonts w:cs="Arial"/>
          <w:i/>
          <w:iCs/>
          <w:szCs w:val="24"/>
        </w:rPr>
        <w:t>be</w:t>
      </w:r>
      <w:r>
        <w:rPr>
          <w:rFonts w:cs="Arial"/>
          <w:i/>
          <w:iCs/>
          <w:spacing w:val="-8"/>
          <w:szCs w:val="24"/>
        </w:rPr>
        <w:t xml:space="preserve"> </w:t>
      </w:r>
      <w:r>
        <w:rPr>
          <w:rFonts w:cs="Arial"/>
          <w:i/>
          <w:iCs/>
          <w:szCs w:val="24"/>
        </w:rPr>
        <w:t>affected</w:t>
      </w:r>
      <w:r>
        <w:rPr>
          <w:rFonts w:cs="Arial"/>
          <w:i/>
          <w:iCs/>
          <w:spacing w:val="-7"/>
          <w:szCs w:val="24"/>
        </w:rPr>
        <w:t xml:space="preserve"> </w:t>
      </w:r>
      <w:r>
        <w:rPr>
          <w:rFonts w:cs="Arial"/>
          <w:i/>
          <w:iCs/>
          <w:szCs w:val="24"/>
        </w:rPr>
        <w:t>by</w:t>
      </w:r>
      <w:r>
        <w:rPr>
          <w:rFonts w:cs="Arial"/>
          <w:i/>
          <w:iCs/>
          <w:spacing w:val="-10"/>
          <w:szCs w:val="24"/>
        </w:rPr>
        <w:t xml:space="preserve"> </w:t>
      </w:r>
      <w:r>
        <w:rPr>
          <w:rFonts w:cs="Arial"/>
          <w:i/>
          <w:iCs/>
          <w:szCs w:val="24"/>
        </w:rPr>
        <w:t>their</w:t>
      </w:r>
      <w:r>
        <w:rPr>
          <w:rFonts w:cs="Arial"/>
          <w:i/>
          <w:iCs/>
          <w:spacing w:val="-6"/>
          <w:szCs w:val="24"/>
        </w:rPr>
        <w:t xml:space="preserve"> </w:t>
      </w:r>
      <w:r>
        <w:rPr>
          <w:rFonts w:cs="Arial"/>
          <w:i/>
          <w:iCs/>
          <w:szCs w:val="24"/>
        </w:rPr>
        <w:t>acts</w:t>
      </w:r>
      <w:r>
        <w:rPr>
          <w:rFonts w:cs="Arial"/>
          <w:i/>
          <w:iCs/>
          <w:spacing w:val="-7"/>
          <w:szCs w:val="24"/>
        </w:rPr>
        <w:t xml:space="preserve"> </w:t>
      </w:r>
      <w:r>
        <w:rPr>
          <w:rFonts w:cs="Arial"/>
          <w:i/>
          <w:iCs/>
          <w:szCs w:val="24"/>
        </w:rPr>
        <w:t>or</w:t>
      </w:r>
      <w:r>
        <w:rPr>
          <w:rFonts w:cs="Arial"/>
          <w:i/>
          <w:iCs/>
          <w:spacing w:val="-6"/>
          <w:szCs w:val="24"/>
        </w:rPr>
        <w:t xml:space="preserve"> </w:t>
      </w:r>
      <w:r>
        <w:rPr>
          <w:rFonts w:cs="Arial"/>
          <w:i/>
          <w:iCs/>
          <w:szCs w:val="24"/>
        </w:rPr>
        <w:t>omissions.</w:t>
      </w:r>
      <w:r>
        <w:rPr>
          <w:rFonts w:cs="Arial"/>
          <w:i/>
          <w:iCs/>
          <w:spacing w:val="-5"/>
          <w:szCs w:val="24"/>
        </w:rPr>
        <w:t xml:space="preserve"> </w:t>
      </w:r>
      <w:r>
        <w:rPr>
          <w:rFonts w:cs="Arial"/>
          <w:i/>
          <w:iCs/>
          <w:szCs w:val="24"/>
        </w:rPr>
        <w:t>Employees</w:t>
      </w:r>
      <w:r>
        <w:rPr>
          <w:rFonts w:cs="Arial"/>
          <w:i/>
          <w:iCs/>
          <w:spacing w:val="-59"/>
          <w:szCs w:val="24"/>
        </w:rPr>
        <w:t xml:space="preserve"> </w:t>
      </w:r>
      <w:r>
        <w:rPr>
          <w:rFonts w:cs="Arial"/>
          <w:i/>
          <w:iCs/>
          <w:szCs w:val="24"/>
        </w:rPr>
        <w:t>are required to co-operate with management to enable GMCA to meet its own legal duties</w:t>
      </w:r>
      <w:r>
        <w:rPr>
          <w:rFonts w:cs="Arial"/>
          <w:i/>
          <w:iCs/>
          <w:spacing w:val="1"/>
          <w:szCs w:val="24"/>
        </w:rPr>
        <w:t xml:space="preserve"> </w:t>
      </w:r>
      <w:r>
        <w:rPr>
          <w:rFonts w:cs="Arial"/>
          <w:i/>
          <w:iCs/>
          <w:szCs w:val="24"/>
        </w:rPr>
        <w:t>and</w:t>
      </w:r>
      <w:r>
        <w:rPr>
          <w:rFonts w:cs="Arial"/>
          <w:i/>
          <w:iCs/>
          <w:spacing w:val="-5"/>
          <w:szCs w:val="24"/>
        </w:rPr>
        <w:t xml:space="preserve"> </w:t>
      </w:r>
      <w:r>
        <w:rPr>
          <w:rFonts w:cs="Arial"/>
          <w:i/>
          <w:iCs/>
          <w:szCs w:val="24"/>
        </w:rPr>
        <w:t>to</w:t>
      </w:r>
      <w:r>
        <w:rPr>
          <w:rFonts w:cs="Arial"/>
          <w:i/>
          <w:iCs/>
          <w:spacing w:val="-5"/>
          <w:szCs w:val="24"/>
        </w:rPr>
        <w:t xml:space="preserve"> </w:t>
      </w:r>
      <w:r>
        <w:rPr>
          <w:rFonts w:cs="Arial"/>
          <w:i/>
          <w:iCs/>
          <w:szCs w:val="24"/>
        </w:rPr>
        <w:t>report</w:t>
      </w:r>
      <w:r>
        <w:rPr>
          <w:rFonts w:cs="Arial"/>
          <w:i/>
          <w:iCs/>
          <w:spacing w:val="-4"/>
          <w:szCs w:val="24"/>
        </w:rPr>
        <w:t xml:space="preserve"> </w:t>
      </w:r>
      <w:r>
        <w:rPr>
          <w:rFonts w:cs="Arial"/>
          <w:i/>
          <w:iCs/>
          <w:szCs w:val="24"/>
        </w:rPr>
        <w:t>any</w:t>
      </w:r>
      <w:r>
        <w:rPr>
          <w:rFonts w:cs="Arial"/>
          <w:i/>
          <w:iCs/>
          <w:spacing w:val="-8"/>
          <w:szCs w:val="24"/>
        </w:rPr>
        <w:t xml:space="preserve"> </w:t>
      </w:r>
      <w:r>
        <w:rPr>
          <w:rFonts w:cs="Arial"/>
          <w:i/>
          <w:iCs/>
          <w:szCs w:val="24"/>
        </w:rPr>
        <w:t>circumstances</w:t>
      </w:r>
      <w:r>
        <w:rPr>
          <w:rFonts w:cs="Arial"/>
          <w:i/>
          <w:iCs/>
          <w:spacing w:val="-7"/>
          <w:szCs w:val="24"/>
        </w:rPr>
        <w:t xml:space="preserve"> </w:t>
      </w:r>
      <w:r>
        <w:rPr>
          <w:rFonts w:cs="Arial"/>
          <w:i/>
          <w:iCs/>
          <w:szCs w:val="24"/>
        </w:rPr>
        <w:t>that</w:t>
      </w:r>
      <w:r>
        <w:rPr>
          <w:rFonts w:cs="Arial"/>
          <w:i/>
          <w:iCs/>
          <w:spacing w:val="-5"/>
          <w:szCs w:val="24"/>
        </w:rPr>
        <w:t xml:space="preserve"> </w:t>
      </w:r>
      <w:r>
        <w:rPr>
          <w:rFonts w:cs="Arial"/>
          <w:i/>
          <w:iCs/>
          <w:szCs w:val="24"/>
        </w:rPr>
        <w:t>may</w:t>
      </w:r>
      <w:r>
        <w:rPr>
          <w:rFonts w:cs="Arial"/>
          <w:i/>
          <w:iCs/>
          <w:spacing w:val="-8"/>
          <w:szCs w:val="24"/>
        </w:rPr>
        <w:t xml:space="preserve"> </w:t>
      </w:r>
      <w:r>
        <w:rPr>
          <w:rFonts w:cs="Arial"/>
          <w:i/>
          <w:iCs/>
          <w:szCs w:val="24"/>
        </w:rPr>
        <w:t>compromise</w:t>
      </w:r>
      <w:r>
        <w:rPr>
          <w:rFonts w:cs="Arial"/>
          <w:i/>
          <w:iCs/>
          <w:spacing w:val="-4"/>
          <w:szCs w:val="24"/>
        </w:rPr>
        <w:t xml:space="preserve"> </w:t>
      </w:r>
      <w:r>
        <w:rPr>
          <w:rFonts w:cs="Arial"/>
          <w:i/>
          <w:iCs/>
          <w:szCs w:val="24"/>
        </w:rPr>
        <w:t>the</w:t>
      </w:r>
      <w:r>
        <w:rPr>
          <w:rFonts w:cs="Arial"/>
          <w:i/>
          <w:iCs/>
          <w:spacing w:val="-6"/>
          <w:szCs w:val="24"/>
        </w:rPr>
        <w:t xml:space="preserve"> </w:t>
      </w:r>
      <w:r>
        <w:rPr>
          <w:rFonts w:cs="Arial"/>
          <w:i/>
          <w:iCs/>
          <w:szCs w:val="24"/>
        </w:rPr>
        <w:t>health,</w:t>
      </w:r>
      <w:r>
        <w:rPr>
          <w:rFonts w:cs="Arial"/>
          <w:i/>
          <w:iCs/>
          <w:spacing w:val="-4"/>
          <w:szCs w:val="24"/>
        </w:rPr>
        <w:t xml:space="preserve"> </w:t>
      </w:r>
      <w:r>
        <w:rPr>
          <w:rFonts w:cs="Arial"/>
          <w:i/>
          <w:iCs/>
          <w:szCs w:val="24"/>
        </w:rPr>
        <w:t>safety</w:t>
      </w:r>
      <w:r>
        <w:rPr>
          <w:rFonts w:cs="Arial"/>
          <w:i/>
          <w:iCs/>
          <w:spacing w:val="-7"/>
          <w:szCs w:val="24"/>
        </w:rPr>
        <w:t xml:space="preserve"> </w:t>
      </w:r>
      <w:r>
        <w:rPr>
          <w:rFonts w:cs="Arial"/>
          <w:i/>
          <w:iCs/>
          <w:szCs w:val="24"/>
        </w:rPr>
        <w:t>and</w:t>
      </w:r>
      <w:r>
        <w:rPr>
          <w:rFonts w:cs="Arial"/>
          <w:i/>
          <w:iCs/>
          <w:spacing w:val="-5"/>
          <w:szCs w:val="24"/>
        </w:rPr>
        <w:t xml:space="preserve"> </w:t>
      </w:r>
      <w:r>
        <w:rPr>
          <w:rFonts w:cs="Arial"/>
          <w:i/>
          <w:iCs/>
          <w:szCs w:val="24"/>
        </w:rPr>
        <w:t>welfare</w:t>
      </w:r>
      <w:r>
        <w:rPr>
          <w:rFonts w:cs="Arial"/>
          <w:i/>
          <w:iCs/>
          <w:spacing w:val="-4"/>
          <w:szCs w:val="24"/>
        </w:rPr>
        <w:t xml:space="preserve"> </w:t>
      </w:r>
      <w:r>
        <w:rPr>
          <w:rFonts w:cs="Arial"/>
          <w:i/>
          <w:iCs/>
          <w:szCs w:val="24"/>
        </w:rPr>
        <w:t>of</w:t>
      </w:r>
      <w:r>
        <w:rPr>
          <w:rFonts w:cs="Arial"/>
          <w:i/>
          <w:iCs/>
          <w:spacing w:val="-4"/>
          <w:szCs w:val="24"/>
        </w:rPr>
        <w:t xml:space="preserve"> </w:t>
      </w:r>
      <w:r>
        <w:rPr>
          <w:rFonts w:cs="Arial"/>
          <w:i/>
          <w:iCs/>
          <w:szCs w:val="24"/>
        </w:rPr>
        <w:t>those</w:t>
      </w:r>
      <w:r>
        <w:rPr>
          <w:rFonts w:cs="Arial"/>
          <w:i/>
          <w:iCs/>
          <w:spacing w:val="-59"/>
          <w:szCs w:val="24"/>
        </w:rPr>
        <w:t xml:space="preserve"> </w:t>
      </w:r>
      <w:r>
        <w:rPr>
          <w:rFonts w:cs="Arial"/>
          <w:i/>
          <w:iCs/>
          <w:szCs w:val="24"/>
        </w:rPr>
        <w:t>affected by</w:t>
      </w:r>
      <w:r>
        <w:rPr>
          <w:rFonts w:cs="Arial"/>
          <w:i/>
          <w:iCs/>
          <w:spacing w:val="-4"/>
          <w:szCs w:val="24"/>
        </w:rPr>
        <w:t xml:space="preserve"> </w:t>
      </w:r>
      <w:r>
        <w:rPr>
          <w:rFonts w:cs="Arial"/>
          <w:i/>
          <w:iCs/>
          <w:szCs w:val="24"/>
        </w:rPr>
        <w:t>the Service’s</w:t>
      </w:r>
      <w:r>
        <w:rPr>
          <w:rFonts w:cs="Arial"/>
          <w:i/>
          <w:iCs/>
          <w:spacing w:val="2"/>
          <w:szCs w:val="24"/>
        </w:rPr>
        <w:t xml:space="preserve"> </w:t>
      </w:r>
      <w:r>
        <w:rPr>
          <w:rFonts w:cs="Arial"/>
          <w:i/>
          <w:iCs/>
          <w:szCs w:val="24"/>
        </w:rPr>
        <w:t>undertakings.</w:t>
      </w:r>
    </w:p>
    <w:p>
      <w:pPr>
        <w:pStyle w:val="Normal"/>
        <w:rPr/>
      </w:pPr>
      <w:r>
        <w:rPr>
          <w:rFonts w:cs="Arial"/>
          <w:b/>
          <w:bCs/>
          <w:i/>
          <w:iCs/>
          <w:szCs w:val="24"/>
        </w:rPr>
        <w:t>Service Policies</w:t>
      </w:r>
      <w:r>
        <w:rPr>
          <w:rFonts w:cs="Arial"/>
          <w:i/>
          <w:iCs/>
          <w:szCs w:val="24"/>
        </w:rPr>
        <w:t xml:space="preserve"> - All GMCA employees must observe and adhere to the provisions outlined</w:t>
      </w:r>
      <w:r>
        <w:rPr>
          <w:rFonts w:cs="Arial"/>
          <w:i/>
          <w:iCs/>
          <w:spacing w:val="-59"/>
          <w:szCs w:val="24"/>
        </w:rPr>
        <w:t xml:space="preserve"> </w:t>
      </w:r>
      <w:r>
        <w:rPr>
          <w:rFonts w:cs="Arial"/>
          <w:i/>
          <w:iCs/>
          <w:szCs w:val="24"/>
        </w:rPr>
        <w:t>in</w:t>
      </w:r>
      <w:r>
        <w:rPr>
          <w:rFonts w:cs="Arial"/>
          <w:i/>
          <w:iCs/>
          <w:spacing w:val="-1"/>
          <w:szCs w:val="24"/>
        </w:rPr>
        <w:t xml:space="preserve"> </w:t>
      </w:r>
      <w:r>
        <w:rPr>
          <w:rFonts w:cs="Arial"/>
          <w:i/>
          <w:iCs/>
          <w:szCs w:val="24"/>
        </w:rPr>
        <w:t>these policies.</w:t>
      </w:r>
    </w:p>
    <w:p>
      <w:pPr>
        <w:pStyle w:val="Normal"/>
        <w:widowControl w:val="false"/>
        <w:bidi w:val="0"/>
        <w:spacing w:lineRule="auto" w:line="360" w:before="0" w:after="240"/>
        <w:jc w:val="left"/>
        <w:rPr/>
      </w:pPr>
      <w:r>
        <w:rPr>
          <w:rFonts w:cs="Arial"/>
          <w:b/>
          <w:bCs/>
          <w:i/>
          <w:iCs/>
          <w:szCs w:val="24"/>
        </w:rPr>
        <w:t>Equal Opportunities</w:t>
      </w:r>
      <w:r>
        <w:rPr>
          <w:rFonts w:cs="Arial"/>
          <w:i/>
          <w:iCs/>
          <w:szCs w:val="24"/>
        </w:rPr>
        <w:t xml:space="preserve"> - GMCA provides a range of services and employment</w:t>
      </w:r>
      <w:r>
        <w:rPr>
          <w:rFonts w:cs="Arial"/>
          <w:i/>
          <w:iCs/>
          <w:spacing w:val="1"/>
          <w:szCs w:val="24"/>
        </w:rPr>
        <w:t xml:space="preserve"> </w:t>
      </w:r>
      <w:r>
        <w:rPr>
          <w:rFonts w:cs="Arial"/>
          <w:i/>
          <w:iCs/>
          <w:szCs w:val="24"/>
        </w:rPr>
        <w:t xml:space="preserve">opportunities for a diverse population. As a GMCA employee you are expected to treat all </w:t>
      </w:r>
      <w:r>
        <w:rPr>
          <w:rFonts w:cs="Arial"/>
          <w:i/>
          <w:iCs/>
          <w:spacing w:val="-59"/>
          <w:szCs w:val="24"/>
        </w:rPr>
        <w:t xml:space="preserve"> </w:t>
      </w:r>
      <w:r>
        <w:rPr>
          <w:rFonts w:cs="Arial"/>
          <w:i/>
          <w:iCs/>
          <w:szCs w:val="24"/>
        </w:rPr>
        <w:t>employees / partners / members of the public and work colleagues with dignity and</w:t>
      </w:r>
      <w:r>
        <w:rPr>
          <w:rFonts w:cs="Arial"/>
          <w:i/>
          <w:iCs/>
          <w:spacing w:val="1"/>
          <w:szCs w:val="24"/>
        </w:rPr>
        <w:t xml:space="preserve"> </w:t>
      </w:r>
      <w:r>
        <w:rPr>
          <w:rFonts w:cs="Arial"/>
          <w:i/>
          <w:iCs/>
          <w:szCs w:val="24"/>
        </w:rPr>
        <w:t>respect</w:t>
      </w:r>
      <w:r>
        <w:rPr>
          <w:rFonts w:cs="Arial"/>
          <w:i/>
          <w:iCs/>
          <w:spacing w:val="-2"/>
          <w:szCs w:val="24"/>
        </w:rPr>
        <w:t xml:space="preserve"> </w:t>
      </w:r>
      <w:r>
        <w:rPr>
          <w:rFonts w:cs="Arial"/>
          <w:i/>
          <w:iCs/>
          <w:szCs w:val="24"/>
        </w:rPr>
        <w:t>irrespective</w:t>
      </w:r>
      <w:r>
        <w:rPr>
          <w:rFonts w:cs="Arial"/>
          <w:i/>
          <w:iCs/>
          <w:spacing w:val="1"/>
          <w:szCs w:val="24"/>
        </w:rPr>
        <w:t xml:space="preserve"> </w:t>
      </w:r>
      <w:r>
        <w:rPr>
          <w:rFonts w:cs="Arial"/>
          <w:i/>
          <w:iCs/>
          <w:szCs w:val="24"/>
        </w:rPr>
        <w:t>of</w:t>
      </w:r>
      <w:r>
        <w:rPr>
          <w:rFonts w:cs="Arial"/>
          <w:i/>
          <w:iCs/>
          <w:spacing w:val="2"/>
          <w:szCs w:val="24"/>
        </w:rPr>
        <w:t xml:space="preserve"> </w:t>
      </w:r>
      <w:r>
        <w:rPr>
          <w:rFonts w:cs="Arial"/>
          <w:i/>
          <w:iCs/>
          <w:szCs w:val="24"/>
        </w:rPr>
        <w:t>their</w:t>
      </w:r>
      <w:r>
        <w:rPr>
          <w:rFonts w:cs="Arial"/>
          <w:i/>
          <w:iCs/>
          <w:spacing w:val="2"/>
          <w:szCs w:val="24"/>
        </w:rPr>
        <w:t xml:space="preserve"> </w:t>
      </w:r>
      <w:r>
        <w:rPr>
          <w:rFonts w:cs="Arial"/>
          <w:i/>
          <w:iCs/>
          <w:szCs w:val="24"/>
        </w:rPr>
        <w:t>background.</w:t>
      </w:r>
    </w:p>
    <w:sectPr>
      <w:headerReference w:type="default" r:id="rId8"/>
      <w:headerReference w:type="first" r:id="rId9"/>
      <w:footerReference w:type="default" r:id="rId10"/>
      <w:footerReference w:type="first" r:id="rId11"/>
      <w:type w:val="nextPage"/>
      <w:pgSz w:w="11906" w:h="16838"/>
      <w:pgMar w:left="720" w:right="720" w:gutter="0" w:header="709" w:top="766" w:footer="0" w:bottom="72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w:t>
    </w:r>
    <w:r>
      <w:rPr/>
      <w:fldChar w:fldCharType="end"/>
    </w:r>
  </w:p>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3</w:t>
    </w:r>
    <w:r>
      <w:rPr/>
      <w:fldChar w:fldCharType="end"/>
    </w:r>
  </w:p>
  <w:p>
    <w:pPr>
      <w:pStyle w:val="BodyText"/>
      <w:spacing w:before="0" w:after="24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w:t>
    </w:r>
    <w:r>
      <w:rPr/>
      <w:fldChar w:fldCharType="end"/>
    </w:r>
  </w:p>
  <w:p>
    <w:pPr>
      <w:pStyle w:val="Footer"/>
      <w:spacing w:before="0" w:after="240"/>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7</w:t>
    </w:r>
    <w:r>
      <w:rPr/>
      <w:fldChar w:fldCharType="end"/>
    </w:r>
  </w:p>
  <w:p>
    <w:pPr>
      <w:pStyle w:val="BodyText"/>
      <w:spacing w:before="0" w:after="24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drawing>
        <wp:anchor behindDoc="1" distT="0" distB="0" distL="0" distR="0" simplePos="0" locked="0" layoutInCell="1" allowOverlap="1" relativeHeight="7">
          <wp:simplePos x="0" y="0"/>
          <wp:positionH relativeFrom="column">
            <wp:posOffset>4396740</wp:posOffset>
          </wp:positionH>
          <wp:positionV relativeFrom="paragraph">
            <wp:posOffset>-304165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r>
      <w:rPr/>
      <w:t>Last reviewed: August 2026</w:t>
    </w:r>
  </w:p>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 xml:space="preserve">Date of last review: </w:t>
    </w:r>
    <w:r>
      <w:drawing>
        <wp:anchor behindDoc="1" distT="0" distB="0" distL="114300" distR="114300" simplePos="0" locked="0" layoutInCell="0" allowOverlap="1" relativeHeight="2">
          <wp:simplePos x="0" y="0"/>
          <wp:positionH relativeFrom="column">
            <wp:posOffset>3558540</wp:posOffset>
          </wp:positionH>
          <wp:positionV relativeFrom="paragraph">
            <wp:posOffset>635</wp:posOffset>
          </wp:positionV>
          <wp:extent cx="2190115" cy="686435"/>
          <wp:effectExtent l="0" t="0" r="0" b="0"/>
          <wp:wrapSquare wrapText="bothSides"/>
          <wp:docPr id="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r>
      <w:rPr/>
      <w:t>August 2026</w:t>
    </w:r>
  </w:p>
  <w:p>
    <w:pPr>
      <w:pStyle w:val="Header"/>
      <w:rPr/>
    </w:pPr>
    <w:r>
      <w:rPr/>
    </w:r>
  </w:p>
  <w:p>
    <w:pPr>
      <w:pStyle w:val="Header"/>
      <w:spacing w:before="0" w:after="24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drawing>
        <wp:anchor behindDoc="1" distT="0" distB="0" distL="0" distR="0" simplePos="0" locked="0" layoutInCell="1" allowOverlap="1" relativeHeight="8">
          <wp:simplePos x="0" y="0"/>
          <wp:positionH relativeFrom="column">
            <wp:posOffset>4718050</wp:posOffset>
          </wp:positionH>
          <wp:positionV relativeFrom="paragraph">
            <wp:posOffset>-343535</wp:posOffset>
          </wp:positionV>
          <wp:extent cx="2190115" cy="68643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 xml:space="preserve">Date of last review: </w:t>
    </w:r>
    <w:r>
      <w:drawing>
        <wp:anchor behindDoc="1" distT="0" distB="0" distL="114300" distR="114300" simplePos="0" locked="0" layoutInCell="0" allowOverlap="1" relativeHeight="6">
          <wp:simplePos x="0" y="0"/>
          <wp:positionH relativeFrom="column">
            <wp:posOffset>3558540</wp:posOffset>
          </wp:positionH>
          <wp:positionV relativeFrom="paragraph">
            <wp:posOffset>635</wp:posOffset>
          </wp:positionV>
          <wp:extent cx="2190115" cy="686435"/>
          <wp:effectExtent l="0" t="0" r="0" b="0"/>
          <wp:wrapSquare wrapText="bothSides"/>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r>
      <w:rPr/>
      <w:t>August 2026</w:t>
    </w:r>
  </w:p>
  <w:p>
    <w:pPr>
      <w:pStyle w:val="Header"/>
      <w:rPr/>
    </w:pPr>
    <w:r>
      <w:rPr/>
    </w:r>
  </w:p>
  <w:p>
    <w:pPr>
      <w:pStyle w:val="Header"/>
      <w:spacing w:before="0" w:after="240"/>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4"/>
        <w:szCs w:val="3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BodyText"/>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sz w:val="20"/>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sz w:val="20"/>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0"/>
    </w:rPr>
  </w:style>
  <w:style w:type="character" w:styleId="WW8Num6z0">
    <w:name w:val="WW8Num6z0"/>
    <w:qFormat/>
    <w:rPr>
      <w:rFonts w:ascii="Symbol" w:hAnsi="Symbol" w:cs="Symbol"/>
      <w:sz w:val="20"/>
    </w:rPr>
  </w:style>
  <w:style w:type="character" w:styleId="WW8Num7z0">
    <w:name w:val="WW8Num7z0"/>
    <w:qFormat/>
    <w:rPr>
      <w:rFonts w:ascii="Symbol" w:hAnsi="Symbol" w:cs="Symbol"/>
      <w:sz w:val="20"/>
    </w:rPr>
  </w:style>
  <w:style w:type="character" w:styleId="WW8Num8z0">
    <w:name w:val="WW8Num8z0"/>
    <w:qFormat/>
    <w:rPr>
      <w:rFonts w:ascii="Symbol" w:hAnsi="Symbol" w:cs="Symbol"/>
      <w:sz w:val="20"/>
    </w:rPr>
  </w:style>
  <w:style w:type="character" w:styleId="WW8Num9z0">
    <w:name w:val="WW8Num9z0"/>
    <w:qFormat/>
    <w:rPr>
      <w:rFonts w:ascii="Symbol" w:hAnsi="Symbol" w:cs="Symbol"/>
      <w:sz w:val="20"/>
    </w:rPr>
  </w:style>
  <w:style w:type="character" w:styleId="WW8Num10z0">
    <w:name w:val="WW8Num10z0"/>
    <w:qFormat/>
    <w:rPr>
      <w:rFonts w:ascii="Symbol" w:hAnsi="Symbol" w:cs="Symbol"/>
      <w:sz w:val="20"/>
    </w:rPr>
  </w:style>
  <w:style w:type="character" w:styleId="WW8Num11z0">
    <w:name w:val="WW8Num11z0"/>
    <w:qFormat/>
    <w:rPr>
      <w:rFonts w:ascii="Symbol" w:hAnsi="Symbol" w:cs="Symbol"/>
      <w:sz w:val="20"/>
    </w:rPr>
  </w:style>
  <w:style w:type="character" w:styleId="WW8Num12z0">
    <w:name w:val="WW8Num12z0"/>
    <w:qFormat/>
    <w:rPr>
      <w:rFonts w:ascii="Symbol" w:hAnsi="Symbol" w:cs="Symbol"/>
      <w:sz w:val="20"/>
    </w:rPr>
  </w:style>
  <w:style w:type="character" w:styleId="WW8Num13z0">
    <w:name w:val="WW8Num13z0"/>
    <w:qFormat/>
    <w:rPr>
      <w:rFonts w:ascii="Symbol" w:hAnsi="Symbol" w:cs="Symbol"/>
      <w:sz w:val="20"/>
    </w:rPr>
  </w:style>
  <w:style w:type="character" w:styleId="WW8Num14z0">
    <w:name w:val="WW8Num14z0"/>
    <w:qFormat/>
    <w:rPr>
      <w:rFonts w:ascii="Symbol" w:hAnsi="Symbol" w:cs="Symbol"/>
      <w:sz w:val="20"/>
    </w:rPr>
  </w:style>
  <w:style w:type="character" w:styleId="WW8Num15z0">
    <w:name w:val="WW8Num15z0"/>
    <w:qFormat/>
    <w:rPr>
      <w:rFonts w:ascii="Symbol" w:hAnsi="Symbol" w:cs="Symbol"/>
      <w:sz w:val="20"/>
    </w:rPr>
  </w:style>
  <w:style w:type="character" w:styleId="WW8Num16z0">
    <w:name w:val="WW8Num16z0"/>
    <w:qFormat/>
    <w:rPr>
      <w:rFonts w:ascii="Symbol" w:hAnsi="Symbol" w:cs="Symbol"/>
      <w:sz w:val="20"/>
    </w:rPr>
  </w:style>
  <w:style w:type="character" w:styleId="WW8Num17z0">
    <w:name w:val="WW8Num17z0"/>
    <w:qFormat/>
    <w:rPr>
      <w:rFonts w:ascii="Symbol" w:hAnsi="Symbol" w:cs="Symbol"/>
      <w:sz w:val="20"/>
    </w:rPr>
  </w:style>
  <w:style w:type="character" w:styleId="WW8Num18z0">
    <w:name w:val="WW8Num18z0"/>
    <w:qFormat/>
    <w:rPr>
      <w:rFonts w:ascii="Symbol" w:hAnsi="Symbol" w:cs="Symbol"/>
      <w:sz w:val="20"/>
    </w:rPr>
  </w:style>
  <w:style w:type="character" w:styleId="WW8Num19z0">
    <w:name w:val="WW8Num19z0"/>
    <w:qFormat/>
    <w:rPr>
      <w:rFonts w:ascii="Symbol" w:hAnsi="Symbol" w:cs="Symbol"/>
      <w:sz w:val="20"/>
    </w:rPr>
  </w:style>
  <w:style w:type="character" w:styleId="WW8Num20z0">
    <w:name w:val="WW8Num20z0"/>
    <w:qFormat/>
    <w:rPr>
      <w:rFonts w:ascii="Symbol" w:hAnsi="Symbol" w:cs="Symbol"/>
      <w:sz w:val="24"/>
      <w:szCs w:val="32"/>
    </w:rPr>
  </w:style>
  <w:style w:type="character" w:styleId="WW8Num20z1">
    <w:name w:val="WW8Num20z1"/>
    <w:qFormat/>
    <w:rPr>
      <w:rFonts w:ascii="Courier New" w:hAnsi="Courier New" w:cs="Courier New"/>
      <w:sz w:val="20"/>
    </w:rPr>
  </w:style>
  <w:style w:type="character" w:styleId="WW8Num20z2">
    <w:name w:val="WW8Num20z2"/>
    <w:qFormat/>
    <w:rPr>
      <w:rFonts w:ascii="Wingdings" w:hAnsi="Wingdings" w:cs="Wingdings"/>
      <w:sz w:val="20"/>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ListParagraphChar">
    <w:name w:val="List Paragraph Char"/>
    <w:basedOn w:val="DefaultParagraphFont"/>
    <w:qFormat/>
    <w:rPr>
      <w:rFonts w:ascii="Arial" w:hAnsi="Arial" w:eastAsia="Calibri" w:cs="Calibri"/>
      <w:color w:val="262626"/>
      <w:sz w:val="24"/>
      <w:lang w:val="en-GB"/>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eastAsia="Arial"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92" w:after="240"/>
      <w:ind w:hanging="0" w:left="4012" w:right="4328"/>
      <w:jc w:val="center"/>
    </w:pPr>
    <w:rPr>
      <w:rFonts w:eastAsia="Arial" w:cs="Arial"/>
      <w:b/>
      <w:bCs/>
      <w:sz w:val="28"/>
      <w:szCs w:val="28"/>
    </w:rPr>
  </w:style>
  <w:style w:type="paragraph" w:styleId="ListParagraph">
    <w:name w:val="List Paragraph"/>
    <w:basedOn w:val="Normal"/>
    <w:qFormat/>
    <w:pPr>
      <w:spacing w:before="60" w:after="240"/>
      <w:ind w:hanging="633" w:left="993" w:right="0"/>
    </w:pPr>
    <w:rPr/>
  </w:style>
  <w:style w:type="paragraph" w:styleId="TableParagraph">
    <w:name w:val="Table Paragraph"/>
    <w:basedOn w:val="Normal"/>
    <w:qFormat/>
    <w:pPr>
      <w:ind w:hanging="0" w:left="107" w:right="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NoSpacing">
    <w:name w:val="No Spacing"/>
    <w:qFormat/>
    <w:pPr>
      <w:widowControl/>
      <w:pBdr/>
      <w:suppressAutoHyphens w:val="true"/>
      <w:bidi w:val="0"/>
      <w:spacing w:before="0" w:after="0"/>
      <w:jc w:val="left"/>
    </w:pPr>
    <w:rPr>
      <w:rFonts w:ascii="Times New Roman" w:hAnsi="Times New Roman" w:eastAsia="Arial Unicode MS" w:cs="Times New Roman"/>
      <w:color w:val="auto"/>
      <w:kern w:val="0"/>
      <w:sz w:val="24"/>
      <w:szCs w:val="24"/>
      <w:lang w:val="en-US"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4.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