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
        <w:ind w:left="0" w:right="-761" w:hanging="709"/>
        <w:jc w:val="center"/>
        <w:rPr>
          <w:rFonts w:eastAsia="Calibri"/>
          <w:b/>
          <w:b/>
          <w:bCs/>
          <w:iCs/>
        </w:rPr>
      </w:pPr>
      <w:r>
        <w:rPr/>
        <w:drawing>
          <wp:inline distT="0" distB="0" distL="0" distR="0">
            <wp:extent cx="6330315" cy="53467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54" r="-5" b="-54"/>
                    <a:stretch>
                      <a:fillRect/>
                    </a:stretch>
                  </pic:blipFill>
                  <pic:spPr bwMode="auto">
                    <a:xfrm>
                      <a:off x="0" y="0"/>
                      <a:ext cx="6330315" cy="534670"/>
                    </a:xfrm>
                    <a:prstGeom prst="rect">
                      <a:avLst/>
                    </a:prstGeom>
                  </pic:spPr>
                </pic:pic>
              </a:graphicData>
            </a:graphic>
          </wp:inline>
        </w:drawing>
      </w:r>
    </w:p>
    <w:p>
      <w:pPr>
        <w:pStyle w:val="Body"/>
        <w:ind w:left="0" w:right="261" w:hanging="0"/>
        <w:jc w:val="center"/>
        <w:rPr>
          <w:rFonts w:eastAsia="Calibri"/>
          <w:b/>
          <w:b/>
          <w:bCs/>
          <w:iCs/>
        </w:rPr>
      </w:pPr>
      <w:r>
        <w:rPr>
          <w:rFonts w:eastAsia="Calibri"/>
          <w:b/>
          <w:bCs/>
          <w:iCs/>
        </w:rPr>
      </w:r>
    </w:p>
    <w:p>
      <w:pPr>
        <w:pStyle w:val="Body"/>
        <w:ind w:left="0" w:right="261" w:hanging="0"/>
        <w:jc w:val="center"/>
        <w:rPr>
          <w:rFonts w:eastAsia="Calibri"/>
          <w:b/>
          <w:b/>
          <w:bCs/>
          <w:iCs/>
          <w:color w:val="auto"/>
        </w:rPr>
      </w:pPr>
      <w:r>
        <w:rPr>
          <w:rFonts w:eastAsia="Calibri"/>
          <w:b/>
          <w:bCs/>
          <w:iCs/>
          <w:color w:val="auto"/>
        </w:rPr>
        <w:t>Senior Information Governance Lead and Deputy Data Protection Officer</w:t>
      </w:r>
    </w:p>
    <w:p>
      <w:pPr>
        <w:pStyle w:val="Body"/>
        <w:ind w:left="0" w:right="261" w:hanging="0"/>
        <w:jc w:val="both"/>
        <w:rPr>
          <w:rFonts w:eastAsia="Calibri"/>
          <w:b/>
          <w:b/>
          <w:bCs/>
          <w:iCs/>
          <w:color w:val="auto"/>
        </w:rPr>
      </w:pPr>
      <w:r>
        <w:rPr>
          <w:rFonts w:eastAsia="Calibri"/>
          <w:b/>
          <w:bCs/>
          <w:iCs/>
          <w:color w:val="auto"/>
        </w:rPr>
      </w:r>
    </w:p>
    <w:tbl>
      <w:tblPr>
        <w:tblW w:w="10357" w:type="dxa"/>
        <w:jc w:val="left"/>
        <w:tblInd w:w="-606" w:type="dxa"/>
        <w:tblCellMar>
          <w:top w:w="0" w:type="dxa"/>
          <w:left w:w="108" w:type="dxa"/>
          <w:bottom w:w="0" w:type="dxa"/>
          <w:right w:w="108" w:type="dxa"/>
        </w:tblCellMar>
      </w:tblPr>
      <w:tblGrid>
        <w:gridCol w:w="2127"/>
        <w:gridCol w:w="3092"/>
        <w:gridCol w:w="2309"/>
        <w:gridCol w:w="2829"/>
      </w:tblGrid>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Job Title:</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pPr>
            <w:r>
              <w:rPr>
                <w:rFonts w:eastAsia="Calibri"/>
                <w:bCs/>
                <w:iCs/>
                <w:color w:val="auto"/>
              </w:rPr>
              <w:t xml:space="preserve">Senior Information and Data Governance Lead </w:t>
              <w:br/>
              <w:br/>
            </w:r>
            <w:r>
              <w:rPr/>
              <w:t>Scalable Approach to Vulnerability Via Interoperability (SAVVI) and Open Referral UK</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Date:</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color w:val="auto"/>
              </w:rPr>
            </w:pPr>
            <w:r>
              <w:rPr>
                <w:rFonts w:eastAsia="Calibri"/>
                <w:color w:val="auto"/>
              </w:rPr>
              <w:t>July 2026</w:t>
            </w:r>
          </w:p>
        </w:tc>
      </w:tr>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Reporting Line:</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iCs/>
                <w:color w:val="auto"/>
              </w:rPr>
            </w:pPr>
            <w:r>
              <w:rPr>
                <w:rFonts w:eastAsia="Calibri"/>
                <w:b/>
                <w:iCs/>
                <w:color w:val="auto"/>
              </w:rPr>
              <w:t xml:space="preserve">Head of Information and Data Governance/Deputy DPO / </w:t>
              <w:br/>
              <w:br/>
              <w:t>Dotted line also to the SAVVI Project Manager   TBC</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Salary:</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 xml:space="preserve">Grade 10 (Subject to Job Evaluation) </w:t>
            </w:r>
          </w:p>
        </w:tc>
      </w:tr>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Team:</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Information and Data Governance</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color w:val="auto"/>
              </w:rPr>
            </w:pPr>
            <w:r>
              <w:rPr>
                <w:rFonts w:eastAsia="Calibri"/>
                <w:b/>
                <w:bCs/>
                <w:iCs/>
                <w:color w:val="auto"/>
              </w:rPr>
              <w:t>Business Area:</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bCs/>
                <w:iCs/>
                <w:color w:val="auto"/>
              </w:rPr>
            </w:pPr>
            <w:r>
              <w:rPr>
                <w:rFonts w:eastAsia="Calibri"/>
                <w:bCs/>
                <w:iCs/>
                <w:color w:val="auto"/>
              </w:rPr>
              <w:t>Legal and Governance</w:t>
            </w:r>
          </w:p>
        </w:tc>
      </w:tr>
    </w:tbl>
    <w:p>
      <w:pPr>
        <w:pStyle w:val="Body"/>
        <w:ind w:left="0" w:right="261" w:hanging="0"/>
        <w:jc w:val="both"/>
        <w:rPr>
          <w:rFonts w:eastAsia="Calibri"/>
          <w:b/>
          <w:b/>
          <w:bCs/>
          <w:iCs/>
        </w:rPr>
      </w:pPr>
      <w:r>
        <w:rPr>
          <w:rFonts w:eastAsia="Calibri"/>
          <w:b/>
          <w:bCs/>
          <w:iCs/>
        </w:rPr>
      </w:r>
    </w:p>
    <w:tbl>
      <w:tblPr>
        <w:tblW w:w="10371" w:type="dxa"/>
        <w:jc w:val="center"/>
        <w:tblInd w:w="0" w:type="dxa"/>
        <w:tblCellMar>
          <w:top w:w="80" w:type="dxa"/>
          <w:left w:w="80" w:type="dxa"/>
          <w:bottom w:w="80" w:type="dxa"/>
          <w:right w:w="80" w:type="dxa"/>
        </w:tblCellMar>
      </w:tblPr>
      <w:tblGrid>
        <w:gridCol w:w="10371"/>
      </w:tblGrid>
      <w:tr>
        <w:trPr>
          <w:trHeight w:val="180" w:hRule="atLeast"/>
        </w:trPr>
        <w:tc>
          <w:tcPr>
            <w:tcW w:w="10371" w:type="dxa"/>
            <w:tcBorders>
              <w:top w:val="single" w:sz="6" w:space="0" w:color="000000"/>
              <w:left w:val="single" w:sz="6" w:space="0" w:color="0000FF"/>
              <w:right w:val="single" w:sz="6" w:space="0" w:color="0000FF"/>
            </w:tcBorders>
            <w:shd w:fill="000000" w:val="clear"/>
            <w:vAlign w:val="center"/>
          </w:tcPr>
          <w:p>
            <w:pPr>
              <w:pStyle w:val="Heading3"/>
              <w:ind w:left="0" w:right="261" w:hanging="0"/>
              <w:rPr>
                <w:rFonts w:eastAsia="Calibri"/>
                <w:sz w:val="22"/>
                <w:szCs w:val="22"/>
                <w:lang w:val="en-GB"/>
              </w:rPr>
            </w:pPr>
            <w:r>
              <w:rPr>
                <w:rFonts w:eastAsia="Calibri"/>
                <w:sz w:val="22"/>
                <w:szCs w:val="22"/>
                <w:lang w:val="en-GB"/>
              </w:rPr>
              <w:t>JOB PURPOSE</w:t>
            </w:r>
          </w:p>
        </w:tc>
      </w:tr>
      <w:tr>
        <w:trPr>
          <w:trHeight w:val="793" w:hRule="atLeast"/>
        </w:trPr>
        <w:tc>
          <w:tcPr>
            <w:tcW w:w="10371" w:type="dxa"/>
            <w:tcBorders>
              <w:left w:val="single" w:sz="6" w:space="0" w:color="000000"/>
              <w:bottom w:val="single" w:sz="4" w:space="0" w:color="000000"/>
              <w:right w:val="single" w:sz="6" w:space="0" w:color="000000"/>
            </w:tcBorders>
            <w:shd w:fill="auto" w:val="clear"/>
            <w:vAlign w:val="center"/>
          </w:tcPr>
          <w:p>
            <w:pPr>
              <w:pStyle w:val="Normal"/>
              <w:jc w:val="both"/>
              <w:rPr/>
            </w:pPr>
            <w:r>
              <w:rPr>
                <w:rFonts w:cs="Arial" w:ascii="Arial" w:hAnsi="Arial"/>
                <w:sz w:val="22"/>
                <w:szCs w:val="22"/>
                <w:lang w:val="en-GB"/>
              </w:rPr>
              <w:t xml:space="preserve">The </w:t>
            </w:r>
            <w:r>
              <w:rPr>
                <w:rStyle w:val="Normaltextrun"/>
                <w:rFonts w:cs="Arial" w:ascii="Arial" w:hAnsi="Arial"/>
                <w:sz w:val="22"/>
                <w:szCs w:val="22"/>
                <w:shd w:fill="FFFFFF" w:val="clear"/>
              </w:rPr>
              <w:t xml:space="preserve">Information </w:t>
            </w:r>
            <w:r>
              <w:rPr>
                <w:rFonts w:cs="Arial" w:ascii="Arial" w:hAnsi="Arial"/>
                <w:sz w:val="22"/>
                <w:szCs w:val="22"/>
              </w:rPr>
              <w:t xml:space="preserve">and Data </w:t>
            </w:r>
            <w:r>
              <w:rPr>
                <w:rStyle w:val="Normaltextrun"/>
                <w:rFonts w:cs="Arial" w:ascii="Arial" w:hAnsi="Arial"/>
                <w:sz w:val="22"/>
                <w:szCs w:val="22"/>
                <w:shd w:fill="FFFFFF" w:val="clear"/>
              </w:rPr>
              <w:t xml:space="preserve">Governance </w:t>
            </w:r>
            <w:r>
              <w:rPr>
                <w:rFonts w:cs="Arial" w:ascii="Arial" w:hAnsi="Arial"/>
                <w:sz w:val="22"/>
                <w:szCs w:val="22"/>
              </w:rPr>
              <w:t>shared service</w:t>
            </w:r>
            <w:r>
              <w:rPr>
                <w:rStyle w:val="Normaltextrun"/>
                <w:rFonts w:cs="Arial" w:ascii="Arial" w:hAnsi="Arial"/>
                <w:sz w:val="22"/>
                <w:szCs w:val="22"/>
                <w:shd w:fill="FFFFFF" w:val="clear"/>
              </w:rPr>
              <w:t xml:space="preserve"> is responsible for ensuring effective information governance</w:t>
            </w:r>
            <w:r>
              <w:rPr>
                <w:rFonts w:cs="Arial" w:ascii="Arial" w:hAnsi="Arial"/>
                <w:sz w:val="22"/>
                <w:szCs w:val="22"/>
              </w:rPr>
              <w:t xml:space="preserve">, </w:t>
            </w:r>
            <w:r>
              <w:rPr>
                <w:rStyle w:val="Normaltextrun"/>
                <w:rFonts w:cs="Arial" w:ascii="Arial" w:hAnsi="Arial"/>
                <w:sz w:val="22"/>
                <w:szCs w:val="22"/>
                <w:shd w:fill="FFFFFF" w:val="clear"/>
              </w:rPr>
              <w:t xml:space="preserve">data protection </w:t>
            </w:r>
            <w:r>
              <w:rPr>
                <w:rFonts w:cs="Arial" w:ascii="Arial" w:hAnsi="Arial"/>
                <w:sz w:val="22"/>
                <w:szCs w:val="22"/>
              </w:rPr>
              <w:t>and lawful, ethical information sharing across</w:t>
            </w:r>
            <w:r>
              <w:rPr>
                <w:rStyle w:val="Normaltextrun"/>
                <w:rFonts w:cs="Arial" w:ascii="Arial" w:hAnsi="Arial"/>
                <w:sz w:val="22"/>
                <w:szCs w:val="22"/>
                <w:shd w:fill="FFFFFF" w:val="clear"/>
              </w:rPr>
              <w:t xml:space="preserve"> Greater Manchester Combined Authority (GMCA), Greater Manchester Fire and Rescue Service (GMFRS) and Transport for Greater Manchester (TfGM).</w:t>
            </w:r>
          </w:p>
          <w:p>
            <w:pPr>
              <w:pStyle w:val="Normal"/>
              <w:jc w:val="both"/>
              <w:rPr/>
            </w:pPr>
            <w:r>
              <w:rPr>
                <w:rStyle w:val="Normaltextrun"/>
                <w:rFonts w:eastAsia="Arial" w:cs="Arial" w:ascii="Arial" w:hAnsi="Arial"/>
                <w:sz w:val="22"/>
                <w:szCs w:val="22"/>
                <w:shd w:fill="FFFFFF" w:val="clear"/>
              </w:rPr>
              <w:t xml:space="preserve"> </w:t>
            </w:r>
            <w:r>
              <w:rPr>
                <w:rStyle w:val="Normaltextrun"/>
                <w:rFonts w:cs="Arial" w:ascii="Arial" w:hAnsi="Arial"/>
                <w:sz w:val="22"/>
                <w:szCs w:val="22"/>
                <w:shd w:fill="FFFFFF" w:val="clear"/>
              </w:rPr>
              <w:br/>
              <w:br/>
            </w:r>
            <w:r>
              <w:rPr>
                <w:rFonts w:cs="Arial" w:ascii="Arial" w:hAnsi="Arial"/>
                <w:sz w:val="22"/>
                <w:szCs w:val="22"/>
              </w:rPr>
              <w:t>This role will provide specialist leadership for the Scalable Approach to Vulnerability Via Interoperability (SAVVI) and Open Referral UK work across Greater Manchester, supporting partners to use data safely, consistently and proportionately to identify vulnerability earlier and connect people and households with support before issues escalate.</w:t>
            </w:r>
          </w:p>
          <w:p>
            <w:pPr>
              <w:pStyle w:val="Normal"/>
              <w:jc w:val="both"/>
              <w:rPr>
                <w:rFonts w:ascii="Arial" w:hAnsi="Arial" w:cs="Arial"/>
                <w:sz w:val="22"/>
                <w:szCs w:val="22"/>
                <w:highlight w:val="white"/>
              </w:rPr>
            </w:pPr>
            <w:r>
              <w:rPr>
                <w:rFonts w:cs="Arial" w:ascii="Arial" w:hAnsi="Arial"/>
                <w:sz w:val="22"/>
                <w:szCs w:val="22"/>
                <w:highlight w:val="white"/>
              </w:rPr>
            </w:r>
          </w:p>
          <w:p>
            <w:pPr>
              <w:pStyle w:val="Normal"/>
              <w:jc w:val="both"/>
              <w:rPr>
                <w:rFonts w:ascii="Arial" w:hAnsi="Arial" w:cs="Arial"/>
                <w:sz w:val="22"/>
                <w:szCs w:val="22"/>
                <w:highlight w:val="white"/>
                <w:lang w:val="en-GB"/>
              </w:rPr>
            </w:pPr>
            <w:r>
              <w:rPr>
                <w:rFonts w:cs="Arial" w:ascii="Arial" w:hAnsi="Arial"/>
                <w:sz w:val="22"/>
                <w:szCs w:val="22"/>
                <w:highlight w:val="white"/>
                <w:lang w:val="en-GB"/>
              </w:rPr>
            </w:r>
          </w:p>
          <w:p>
            <w:pPr>
              <w:pStyle w:val="Normal"/>
              <w:jc w:val="both"/>
              <w:rPr/>
            </w:pPr>
            <w:r>
              <w:rPr>
                <w:rFonts w:cs="Arial" w:ascii="Arial" w:hAnsi="Arial"/>
                <w:sz w:val="22"/>
                <w:szCs w:val="22"/>
                <w:lang w:val="en-GB"/>
              </w:rPr>
              <w:t xml:space="preserve">Operating across a complex political </w:t>
            </w:r>
            <w:r>
              <w:rPr>
                <w:rFonts w:cs="Arial" w:ascii="Arial" w:hAnsi="Arial"/>
                <w:sz w:val="22"/>
                <w:szCs w:val="22"/>
              </w:rPr>
              <w:t xml:space="preserve">and partnership </w:t>
            </w:r>
            <w:r>
              <w:rPr>
                <w:rFonts w:cs="Arial" w:ascii="Arial" w:hAnsi="Arial"/>
                <w:sz w:val="22"/>
                <w:szCs w:val="22"/>
                <w:lang w:val="en-GB"/>
              </w:rPr>
              <w:t xml:space="preserve">environment, </w:t>
            </w:r>
            <w:r>
              <w:rPr>
                <w:rFonts w:cs="Arial" w:ascii="Arial" w:hAnsi="Arial"/>
                <w:sz w:val="22"/>
                <w:szCs w:val="22"/>
              </w:rPr>
              <w:t>the</w:t>
            </w:r>
            <w:r>
              <w:rPr>
                <w:rFonts w:cs="Arial" w:ascii="Arial" w:hAnsi="Arial"/>
                <w:sz w:val="22"/>
                <w:szCs w:val="22"/>
                <w:lang w:val="en-GB"/>
              </w:rPr>
              <w:t xml:space="preserve"> role will provide high quality, expert advice </w:t>
            </w:r>
            <w:r>
              <w:rPr>
                <w:rFonts w:cs="Arial" w:ascii="Arial" w:hAnsi="Arial"/>
                <w:sz w:val="22"/>
                <w:szCs w:val="22"/>
              </w:rPr>
              <w:t>on</w:t>
            </w:r>
            <w:r>
              <w:rPr>
                <w:rFonts w:cs="Arial" w:ascii="Arial" w:hAnsi="Arial"/>
                <w:sz w:val="22"/>
                <w:szCs w:val="22"/>
                <w:lang w:val="en-GB"/>
              </w:rPr>
              <w:t xml:space="preserve"> information and data governance, </w:t>
            </w:r>
            <w:r>
              <w:rPr>
                <w:rFonts w:cs="Arial" w:ascii="Arial" w:hAnsi="Arial"/>
                <w:sz w:val="22"/>
                <w:szCs w:val="22"/>
              </w:rPr>
              <w:t xml:space="preserve">data protection, transparency, confidentiality, information sharing, </w:t>
            </w:r>
            <w:r>
              <w:rPr>
                <w:rFonts w:cs="Arial" w:ascii="Arial" w:hAnsi="Arial"/>
                <w:sz w:val="22"/>
                <w:szCs w:val="22"/>
                <w:lang w:val="en-GB"/>
              </w:rPr>
              <w:t xml:space="preserve">information security and </w:t>
            </w:r>
            <w:r>
              <w:rPr>
                <w:rFonts w:cs="Arial" w:ascii="Arial" w:hAnsi="Arial"/>
                <w:sz w:val="22"/>
                <w:szCs w:val="22"/>
              </w:rPr>
              <w:t>ethical data use. The post holder will support</w:t>
            </w:r>
            <w:r>
              <w:rPr>
                <w:rFonts w:cs="Arial" w:ascii="Arial" w:hAnsi="Arial"/>
                <w:sz w:val="22"/>
                <w:szCs w:val="22"/>
                <w:lang w:val="en-GB"/>
              </w:rPr>
              <w:t xml:space="preserve"> </w:t>
            </w:r>
            <w:r>
              <w:rPr>
                <w:rFonts w:cs="Arial" w:ascii="Arial" w:hAnsi="Arial"/>
                <w:sz w:val="22"/>
                <w:szCs w:val="22"/>
              </w:rPr>
              <w:t>partners to design lawful, proportionate</w:t>
            </w:r>
            <w:r>
              <w:rPr>
                <w:rFonts w:cs="Arial" w:ascii="Arial" w:hAnsi="Arial"/>
                <w:sz w:val="22"/>
                <w:szCs w:val="22"/>
                <w:lang w:val="en-GB"/>
              </w:rPr>
              <w:t xml:space="preserve"> and </w:t>
            </w:r>
            <w:r>
              <w:rPr>
                <w:rFonts w:cs="Arial" w:ascii="Arial" w:hAnsi="Arial"/>
                <w:sz w:val="22"/>
                <w:szCs w:val="22"/>
              </w:rPr>
              <w:t>public-benefit focused data-sharing arrangements that enable prevention, early intervention and improved outcomes for Greater Manchester residents</w:t>
            </w:r>
            <w:r>
              <w:rPr>
                <w:rFonts w:cs="Arial" w:ascii="Arial" w:hAnsi="Arial"/>
                <w:sz w:val="22"/>
                <w:szCs w:val="22"/>
                <w:lang w:val="en-GB"/>
              </w:rPr>
              <w:t>.</w:t>
            </w:r>
          </w:p>
          <w:p>
            <w:pPr>
              <w:pStyle w:val="Normal"/>
              <w:pBdr/>
              <w:jc w:val="both"/>
              <w:rPr>
                <w:rFonts w:ascii="Arial" w:hAnsi="Arial" w:cs="Arial"/>
                <w:sz w:val="22"/>
                <w:szCs w:val="22"/>
                <w:lang w:val="en-GB"/>
              </w:rPr>
            </w:pPr>
            <w:r>
              <w:rPr>
                <w:rFonts w:cs="Arial" w:ascii="Arial" w:hAnsi="Arial"/>
                <w:sz w:val="22"/>
                <w:szCs w:val="22"/>
                <w:lang w:val="en-GB"/>
              </w:rPr>
            </w:r>
          </w:p>
          <w:p>
            <w:pPr>
              <w:pStyle w:val="Normal"/>
              <w:jc w:val="both"/>
              <w:rPr>
                <w:rFonts w:ascii="Arial" w:hAnsi="Arial" w:cs="Arial"/>
                <w:sz w:val="22"/>
                <w:szCs w:val="22"/>
              </w:rPr>
            </w:pPr>
            <w:r>
              <w:rPr>
                <w:rFonts w:cs="Arial" w:ascii="Arial" w:hAnsi="Arial"/>
                <w:sz w:val="22"/>
                <w:szCs w:val="22"/>
              </w:rPr>
              <w:t>The Senior Information and Data Governance Lead will lead defined SAVVI and information-sharing workstreams, ensuring that GMCA/TfGM information governance and information sharing frameworks, the GM Information Sharing Framework and relevant tools, templates and assurance processes are developed and applied to support safe, repeatable and scalable data-sharing use cases. The role will work closely with Digital, service leads, localities, legal, information security, data protection and national SAVVI/iStandUK partners to embed the SAVVI approach and standards across Greater Manchester.</w:t>
            </w:r>
          </w:p>
          <w:p>
            <w:pPr>
              <w:pStyle w:val="Normal"/>
              <w:pBdr/>
              <w:jc w:val="both"/>
              <w:rPr>
                <w:rFonts w:ascii="Arial" w:hAnsi="Arial" w:cs="Arial"/>
                <w:sz w:val="22"/>
                <w:szCs w:val="22"/>
                <w:lang w:val="en-GB"/>
              </w:rPr>
            </w:pPr>
            <w:r>
              <w:rPr>
                <w:rFonts w:cs="Arial" w:ascii="Arial" w:hAnsi="Arial"/>
                <w:sz w:val="22"/>
                <w:szCs w:val="22"/>
                <w:lang w:val="en-GB"/>
              </w:rPr>
            </w:r>
          </w:p>
          <w:p>
            <w:pPr>
              <w:pStyle w:val="Normal"/>
              <w:jc w:val="both"/>
              <w:rPr>
                <w:rFonts w:ascii="Arial" w:hAnsi="Arial" w:cs="Arial"/>
                <w:sz w:val="22"/>
                <w:szCs w:val="22"/>
              </w:rPr>
            </w:pPr>
            <w:r>
              <w:rPr>
                <w:rFonts w:cs="Arial" w:ascii="Arial" w:hAnsi="Arial"/>
                <w:sz w:val="22"/>
                <w:szCs w:val="22"/>
              </w:rPr>
              <w:t>The role will also capture and share learning from implementation activity, contribute to case studies and guidance, and help improve the SAVVI process by feeding back practical experience from Greater Manchester implementation.</w:t>
            </w:r>
          </w:p>
          <w:p>
            <w:pPr>
              <w:pStyle w:val="Normal"/>
              <w:pBdr/>
              <w:jc w:val="both"/>
              <w:rPr>
                <w:rFonts w:ascii="Arial" w:hAnsi="Arial" w:eastAsia="Times New Roman" w:cs="Arial"/>
                <w:sz w:val="22"/>
                <w:szCs w:val="22"/>
                <w:lang w:val="en-GB"/>
              </w:rPr>
            </w:pPr>
            <w:r>
              <w:rPr>
                <w:rFonts w:eastAsia="Times New Roman" w:cs="Arial" w:ascii="Arial" w:hAnsi="Arial"/>
                <w:sz w:val="22"/>
                <w:szCs w:val="22"/>
                <w:lang w:val="en-GB"/>
              </w:rPr>
            </w:r>
          </w:p>
          <w:p>
            <w:pPr>
              <w:pStyle w:val="Normal"/>
              <w:pBdr/>
              <w:jc w:val="both"/>
              <w:rPr>
                <w:rFonts w:ascii="Arial" w:hAnsi="Arial" w:eastAsia="Times New Roman" w:cs="Arial"/>
                <w:sz w:val="22"/>
                <w:szCs w:val="22"/>
                <w:lang w:val="en-GB"/>
              </w:rPr>
            </w:pPr>
            <w:r>
              <w:rPr>
                <w:rFonts w:eastAsia="Times New Roman" w:cs="Arial" w:ascii="Arial" w:hAnsi="Arial"/>
                <w:sz w:val="22"/>
                <w:szCs w:val="22"/>
                <w:lang w:val="en-GB"/>
              </w:rPr>
            </w:r>
          </w:p>
        </w:tc>
      </w:tr>
    </w:tbl>
    <w:p>
      <w:pPr>
        <w:pStyle w:val="Body"/>
        <w:ind w:left="-567" w:right="261" w:hanging="0"/>
        <w:rPr>
          <w:rFonts w:eastAsia="Calibri"/>
          <w:b/>
          <w:b/>
          <w:bCs/>
          <w:iCs/>
        </w:rPr>
      </w:pPr>
      <w:r>
        <w:rPr>
          <w:rFonts w:eastAsia="Calibri"/>
          <w:b/>
          <w:bCs/>
          <w:iCs/>
        </w:rPr>
      </w:r>
    </w:p>
    <w:tbl>
      <w:tblPr>
        <w:tblW w:w="10366" w:type="dxa"/>
        <w:jc w:val="center"/>
        <w:tblInd w:w="0" w:type="dxa"/>
        <w:tblCellMar>
          <w:top w:w="80" w:type="dxa"/>
          <w:left w:w="80" w:type="dxa"/>
          <w:bottom w:w="80" w:type="dxa"/>
          <w:right w:w="80" w:type="dxa"/>
        </w:tblCellMar>
      </w:tblPr>
      <w:tblGrid>
        <w:gridCol w:w="10366"/>
      </w:tblGrid>
      <w:tr>
        <w:trPr>
          <w:trHeight w:val="180" w:hRule="atLeast"/>
        </w:trPr>
        <w:tc>
          <w:tcPr>
            <w:tcW w:w="10366" w:type="dxa"/>
            <w:tcBorders>
              <w:top w:val="single" w:sz="4" w:space="0" w:color="000000"/>
              <w:left w:val="single" w:sz="4" w:space="0" w:color="000000"/>
              <w:bottom w:val="single" w:sz="4" w:space="0" w:color="000000"/>
              <w:right w:val="single" w:sz="4" w:space="0" w:color="000000"/>
            </w:tcBorders>
            <w:shd w:fill="000000" w:val="clear"/>
            <w:vAlign w:val="center"/>
          </w:tcPr>
          <w:p>
            <w:pPr>
              <w:pStyle w:val="Body"/>
              <w:pBdr/>
              <w:ind w:left="0" w:right="261" w:hanging="0"/>
              <w:rPr>
                <w:b/>
                <w:b/>
                <w:bCs/>
                <w:color w:val="FFFFFF"/>
                <w:u w:val="none" w:color="FFFFFF"/>
              </w:rPr>
            </w:pPr>
            <w:r>
              <w:rPr>
                <w:b/>
                <w:bCs/>
                <w:color w:val="FFFFFF"/>
                <w:u w:val="none" w:color="FFFFFF"/>
              </w:rPr>
              <w:t>KEY RELATIONSHIPS</w:t>
            </w:r>
          </w:p>
        </w:tc>
      </w:tr>
      <w:tr>
        <w:trPr>
          <w:trHeight w:val="1201" w:hRule="atLeast"/>
        </w:trPr>
        <w:tc>
          <w:tcPr>
            <w:tcW w:w="10366" w:type="dxa"/>
            <w:tcBorders>
              <w:top w:val="single" w:sz="4" w:space="0" w:color="000000"/>
              <w:left w:val="single" w:sz="4" w:space="0" w:color="000000"/>
              <w:bottom w:val="single" w:sz="4" w:space="0" w:color="000000"/>
              <w:right w:val="single" w:sz="4" w:space="0" w:color="000000"/>
            </w:tcBorders>
            <w:shd w:fill="auto" w:val="clear"/>
            <w:tcMar>
              <w:left w:w="363" w:type="dxa"/>
            </w:tcMar>
            <w:vAlign w:val="center"/>
          </w:tcPr>
          <w:p>
            <w:pPr>
              <w:pStyle w:val="ListParagraph"/>
              <w:numPr>
                <w:ilvl w:val="0"/>
                <w:numId w:val="2"/>
              </w:numPr>
              <w:pBdr/>
              <w:ind w:left="1024" w:right="261" w:hanging="360"/>
              <w:jc w:val="both"/>
              <w:rPr/>
            </w:pPr>
            <w:r>
              <w:rPr/>
              <w:t>Internal and external customer groups and strategic partners</w:t>
            </w:r>
          </w:p>
          <w:p>
            <w:pPr>
              <w:pStyle w:val="ListParagraph"/>
              <w:numPr>
                <w:ilvl w:val="0"/>
                <w:numId w:val="2"/>
              </w:numPr>
              <w:pBdr/>
              <w:ind w:left="1024" w:right="261" w:hanging="360"/>
              <w:jc w:val="both"/>
              <w:rPr/>
            </w:pPr>
            <w:r>
              <w:rPr/>
              <w:t>Local authority, health, police, fire, voluntary, community, faith and social enterprise partners involved in prevention, vulnerability and early intervention work</w:t>
            </w:r>
          </w:p>
          <w:p>
            <w:pPr>
              <w:pStyle w:val="ListParagraph"/>
              <w:numPr>
                <w:ilvl w:val="0"/>
                <w:numId w:val="2"/>
              </w:numPr>
              <w:pBdr/>
              <w:ind w:left="1024" w:right="261" w:hanging="360"/>
              <w:jc w:val="both"/>
              <w:rPr/>
            </w:pPr>
            <w:r>
              <w:rPr/>
              <w:t>SAVVI, iStandUK, Open Referral UK and relevant national standards and policy stakeholders</w:t>
            </w:r>
          </w:p>
          <w:p>
            <w:pPr>
              <w:pStyle w:val="ListParagraph"/>
              <w:numPr>
                <w:ilvl w:val="0"/>
                <w:numId w:val="2"/>
              </w:numPr>
              <w:pBdr/>
              <w:ind w:left="1024" w:right="261" w:hanging="360"/>
              <w:jc w:val="both"/>
              <w:rPr/>
            </w:pPr>
            <w:r>
              <w:rPr/>
              <w:t>Digital, data, legal, information security, procurement and service delivery teams across GMCA, TfGM and partner organisations</w:t>
            </w:r>
          </w:p>
          <w:p>
            <w:pPr>
              <w:pStyle w:val="ListParagraph"/>
              <w:numPr>
                <w:ilvl w:val="0"/>
                <w:numId w:val="2"/>
              </w:numPr>
              <w:pBdr/>
              <w:ind w:left="1024" w:right="261" w:hanging="360"/>
              <w:jc w:val="both"/>
              <w:rPr/>
            </w:pPr>
            <w:r>
              <w:rPr/>
              <w:t>Senior Management Team (SMT), Extended Leadership Team (ELT) and Corporate Leadership Team (CLT)</w:t>
            </w:r>
          </w:p>
          <w:p>
            <w:pPr>
              <w:pStyle w:val="ListParagraph"/>
              <w:numPr>
                <w:ilvl w:val="0"/>
                <w:numId w:val="2"/>
              </w:numPr>
              <w:pBdr/>
              <w:ind w:left="1024" w:right="261" w:hanging="360"/>
              <w:jc w:val="both"/>
              <w:rPr/>
            </w:pPr>
            <w:r>
              <w:rPr/>
              <w:t>Senior Managers from across Greater Manchester’s public sector and stakeholders/partners</w:t>
            </w:r>
          </w:p>
          <w:p>
            <w:pPr>
              <w:pStyle w:val="ListParagraph"/>
              <w:numPr>
                <w:ilvl w:val="0"/>
                <w:numId w:val="2"/>
              </w:numPr>
              <w:pBdr/>
              <w:ind w:left="1024" w:right="261" w:hanging="360"/>
              <w:jc w:val="both"/>
              <w:rPr/>
            </w:pPr>
            <w:r>
              <w:rPr/>
              <w:t>Information Asset Owners, Information Asset Administrators and Data Protection Officers across partner organisations</w:t>
            </w:r>
          </w:p>
          <w:p>
            <w:pPr>
              <w:pStyle w:val="ListParagraph"/>
              <w:numPr>
                <w:ilvl w:val="0"/>
                <w:numId w:val="2"/>
              </w:numPr>
              <w:pBdr/>
              <w:ind w:left="1024" w:right="261" w:hanging="360"/>
              <w:jc w:val="both"/>
              <w:rPr/>
            </w:pPr>
            <w:r>
              <w:rPr/>
              <w:t>Information Commissioner’s Office and relevant central government departments</w:t>
            </w:r>
          </w:p>
          <w:p>
            <w:pPr>
              <w:pStyle w:val="ListParagraph"/>
              <w:numPr>
                <w:ilvl w:val="0"/>
                <w:numId w:val="2"/>
              </w:numPr>
              <w:pBdr/>
              <w:ind w:left="1024" w:right="261" w:hanging="360"/>
              <w:jc w:val="both"/>
              <w:rPr/>
            </w:pPr>
            <w:r>
              <w:rPr/>
              <w:t>Elected Members and senior public service leaders</w:t>
            </w:r>
          </w:p>
        </w:tc>
      </w:tr>
    </w:tbl>
    <w:p>
      <w:pPr>
        <w:pStyle w:val="Body"/>
        <w:ind w:left="-567" w:right="261" w:hanging="0"/>
        <w:rPr>
          <w:rFonts w:eastAsia="Calibri"/>
          <w:b/>
          <w:b/>
          <w:bCs/>
          <w:iCs/>
        </w:rPr>
      </w:pPr>
      <w:r>
        <w:rPr>
          <w:rFonts w:eastAsia="Calibri"/>
          <w:b/>
          <w:bCs/>
          <w:iCs/>
        </w:rPr>
      </w:r>
    </w:p>
    <w:p>
      <w:pPr>
        <w:pStyle w:val="Body"/>
        <w:ind w:left="-567" w:right="261" w:hanging="0"/>
        <w:rPr>
          <w:rFonts w:eastAsia="Calibri"/>
          <w:b/>
          <w:b/>
          <w:bCs/>
          <w:iCs/>
        </w:rPr>
      </w:pPr>
      <w:r>
        <w:rPr>
          <w:rFonts w:eastAsia="Calibri"/>
          <w:b/>
          <w:bCs/>
          <w:iCs/>
        </w:rPr>
      </w:r>
    </w:p>
    <w:tbl>
      <w:tblPr>
        <w:tblW w:w="10401" w:type="dxa"/>
        <w:jc w:val="center"/>
        <w:tblInd w:w="0" w:type="dxa"/>
        <w:tblCellMar>
          <w:top w:w="80" w:type="dxa"/>
          <w:left w:w="80" w:type="dxa"/>
          <w:bottom w:w="80" w:type="dxa"/>
          <w:right w:w="80" w:type="dxa"/>
        </w:tblCellMar>
      </w:tblPr>
      <w:tblGrid>
        <w:gridCol w:w="10401"/>
      </w:tblGrid>
      <w:tr>
        <w:trPr>
          <w:trHeight w:val="479" w:hRule="atLeast"/>
        </w:trPr>
        <w:tc>
          <w:tcPr>
            <w:tcW w:w="10401" w:type="dxa"/>
            <w:tcBorders>
              <w:top w:val="single" w:sz="6" w:space="0" w:color="000000"/>
              <w:left w:val="single" w:sz="6" w:space="0" w:color="000000"/>
              <w:right w:val="single" w:sz="6" w:space="0" w:color="000000"/>
            </w:tcBorders>
            <w:shd w:fill="000000" w:val="clear"/>
            <w:vAlign w:val="center"/>
          </w:tcPr>
          <w:p>
            <w:pPr>
              <w:pStyle w:val="Body"/>
              <w:ind w:left="0" w:right="261" w:hanging="0"/>
              <w:rPr>
                <w:rFonts w:eastAsia="Calibri"/>
                <w:b/>
                <w:b/>
                <w:bCs/>
                <w:color w:val="FFFFFF"/>
                <w:u w:val="none" w:color="FFFFFF"/>
              </w:rPr>
            </w:pPr>
            <w:r>
              <w:rPr>
                <w:rFonts w:eastAsia="Calibri"/>
                <w:b/>
                <w:bCs/>
                <w:color w:val="FFFFFF"/>
                <w:u w:val="none" w:color="FFFFFF"/>
              </w:rPr>
              <w:t xml:space="preserve">KEY RESPONSIBILITIES </w:t>
            </w:r>
          </w:p>
        </w:tc>
      </w:tr>
      <w:tr>
        <w:trPr>
          <w:trHeight w:val="739" w:hRule="atLeast"/>
        </w:trPr>
        <w:tc>
          <w:tcPr>
            <w:tcW w:w="10401" w:type="dxa"/>
            <w:tcBorders>
              <w:left w:val="single" w:sz="4" w:space="0" w:color="000000"/>
              <w:right w:val="single" w:sz="6" w:space="0" w:color="000000"/>
            </w:tcBorders>
            <w:shd w:fill="auto" w:val="clear"/>
            <w:vAlign w:val="center"/>
          </w:tcPr>
          <w:p>
            <w:pPr>
              <w:pStyle w:val="ListParagraph"/>
              <w:numPr>
                <w:ilvl w:val="0"/>
                <w:numId w:val="3"/>
              </w:numPr>
              <w:pBdr/>
              <w:rPr>
                <w:color w:val="auto"/>
              </w:rPr>
            </w:pPr>
            <w:r>
              <w:rPr>
                <w:color w:val="auto"/>
              </w:rPr>
              <w:t xml:space="preserve">Lead the information governance workstream for SAVVI and Open Referral UK implementation across Greater Manchester, ensuring alignment with the GM Information Strategy, GM Information Sharing Framework and relevant organisational policies.  This will align to support the wider Greater Manchester Strategy, in particular Prevent and Livewell as well as other areas. </w:t>
              <w:br/>
            </w:r>
          </w:p>
          <w:p>
            <w:pPr>
              <w:pStyle w:val="ListParagraph"/>
              <w:numPr>
                <w:ilvl w:val="0"/>
                <w:numId w:val="3"/>
              </w:numPr>
              <w:pBdr/>
              <w:rPr>
                <w:color w:val="auto"/>
              </w:rPr>
            </w:pPr>
            <w:r>
              <w:rPr>
                <w:color w:val="auto"/>
              </w:rPr>
              <w:t>Provide expert advice on legal and ethical frameworks for the use of personal data in public services, including UK GDPR, the Data Protection Act 2018, common law confidentiality, information security requirements and relevant information-sharing powers.</w:t>
              <w:br/>
            </w:r>
          </w:p>
          <w:p>
            <w:pPr>
              <w:pStyle w:val="ListParagraph"/>
              <w:numPr>
                <w:ilvl w:val="0"/>
                <w:numId w:val="3"/>
              </w:numPr>
              <w:pBdr/>
              <w:rPr>
                <w:color w:val="auto"/>
              </w:rPr>
            </w:pPr>
            <w:r>
              <w:rPr>
                <w:color w:val="auto"/>
              </w:rPr>
              <w:t>Support local authorities, GMCA, TfGM and partners to design data-sharing arrangements that are lawful, proportionate, transparent and focused on public benefit, with clear accountability, governance and assurance.</w:t>
              <w:br/>
            </w:r>
          </w:p>
          <w:p>
            <w:pPr>
              <w:pStyle w:val="ListParagraph"/>
              <w:numPr>
                <w:ilvl w:val="0"/>
                <w:numId w:val="3"/>
              </w:numPr>
              <w:pBdr/>
              <w:rPr>
                <w:color w:val="auto"/>
              </w:rPr>
            </w:pPr>
            <w:r>
              <w:rPr>
                <w:color w:val="auto"/>
              </w:rPr>
              <w:t>Lead and support the development of Data Protection Impact Assessments, Data Sharing Agreements, privacy notices, lawful basis assessments, information-sharing protocols and related assurance documentation for SAVVI-aligned use cases.</w:t>
              <w:br/>
            </w:r>
          </w:p>
          <w:p>
            <w:pPr>
              <w:pStyle w:val="ListParagraph"/>
              <w:numPr>
                <w:ilvl w:val="0"/>
                <w:numId w:val="3"/>
              </w:numPr>
              <w:pBdr/>
              <w:rPr>
                <w:color w:val="auto"/>
              </w:rPr>
            </w:pPr>
            <w:r>
              <w:rPr>
                <w:color w:val="auto"/>
              </w:rPr>
              <w:t>Actively contribute to the design and delivery of workshops, engagement sessions and practical implementation activity to help partners apply the SAVVI process to local prevention and vulnerability challenges.</w:t>
              <w:br/>
            </w:r>
          </w:p>
          <w:p>
            <w:pPr>
              <w:pStyle w:val="ListParagraph"/>
              <w:numPr>
                <w:ilvl w:val="0"/>
                <w:numId w:val="3"/>
              </w:numPr>
              <w:pBdr/>
              <w:rPr>
                <w:color w:val="auto"/>
              </w:rPr>
            </w:pPr>
            <w:r>
              <w:rPr>
                <w:color w:val="auto"/>
              </w:rPr>
              <w:t>Facilitate dialogue between legal, information governance, data, digital, information security and service delivery teams, helping to resolve tensions, clarify risk and build shared understanding.</w:t>
              <w:br/>
            </w:r>
          </w:p>
          <w:p>
            <w:pPr>
              <w:pStyle w:val="ListParagraph"/>
              <w:numPr>
                <w:ilvl w:val="0"/>
                <w:numId w:val="3"/>
              </w:numPr>
              <w:pBdr/>
              <w:rPr>
                <w:color w:val="auto"/>
              </w:rPr>
            </w:pPr>
            <w:r>
              <w:rPr>
                <w:color w:val="auto"/>
              </w:rPr>
              <w:t>Champion a rights-based, ethical and person-centred approach to data use that places the needs, expectations and dignity of people and communities at the centre of decision making.</w:t>
              <w:br/>
            </w:r>
          </w:p>
          <w:p>
            <w:pPr>
              <w:pStyle w:val="ListParagraph"/>
              <w:numPr>
                <w:ilvl w:val="0"/>
                <w:numId w:val="3"/>
              </w:numPr>
              <w:pBdr/>
              <w:rPr>
                <w:color w:val="auto"/>
              </w:rPr>
            </w:pPr>
            <w:r>
              <w:rPr>
                <w:color w:val="auto"/>
              </w:rPr>
              <w:t>Work with SAVVI, iStandUK, Open Referral UK and national partners to share learning from Greater Manchester implementation and contribute to improvements in standards, tools, guidance and the SAVVI process.</w:t>
              <w:br/>
            </w:r>
          </w:p>
          <w:p>
            <w:pPr>
              <w:pStyle w:val="ListParagraph"/>
              <w:numPr>
                <w:ilvl w:val="0"/>
                <w:numId w:val="3"/>
              </w:numPr>
              <w:pBdr/>
              <w:rPr>
                <w:color w:val="auto"/>
              </w:rPr>
            </w:pPr>
            <w:r>
              <w:rPr>
                <w:color w:val="auto"/>
              </w:rPr>
              <w:t>Identify opportunities to embed SAVVI principles, standards and reusable templates within GMCA, TfGM, the GM Information Sharing Framework and partner organisations.</w:t>
              <w:br/>
            </w:r>
          </w:p>
          <w:p>
            <w:pPr>
              <w:pStyle w:val="ListParagraph"/>
              <w:numPr>
                <w:ilvl w:val="0"/>
                <w:numId w:val="3"/>
              </w:numPr>
              <w:pBdr/>
              <w:rPr>
                <w:color w:val="auto"/>
              </w:rPr>
            </w:pPr>
            <w:r>
              <w:rPr>
                <w:color w:val="auto"/>
              </w:rPr>
              <w:t>Work with programme and project colleagues to capture learning, produce case studies and support the development of open-access guidance and playbook material that enables replication across other areas.</w:t>
              <w:br/>
            </w:r>
          </w:p>
          <w:p>
            <w:pPr>
              <w:pStyle w:val="ListParagraph"/>
              <w:numPr>
                <w:ilvl w:val="0"/>
                <w:numId w:val="3"/>
              </w:numPr>
              <w:pBdr/>
              <w:rPr>
                <w:color w:val="auto"/>
              </w:rPr>
            </w:pPr>
            <w:r>
              <w:rPr>
                <w:color w:val="auto"/>
              </w:rPr>
              <w:t>Provide senior information governance input into prevention, vulnerability, early intervention and public service reform programmes, ensuring privacy by design and default is embedded from the outset.</w:t>
            </w:r>
          </w:p>
          <w:p>
            <w:pPr>
              <w:pStyle w:val="ListParagraph"/>
              <w:numPr>
                <w:ilvl w:val="0"/>
                <w:numId w:val="3"/>
              </w:numPr>
              <w:pBdr/>
              <w:rPr>
                <w:color w:val="auto"/>
              </w:rPr>
            </w:pPr>
            <w:r>
              <w:rPr>
                <w:color w:val="auto"/>
              </w:rPr>
              <w:t>Work closely with Information Security colleagues to promote secure, resilient and proportionate approaches to data access, data exchange and information risk management.</w:t>
              <w:br/>
            </w:r>
          </w:p>
          <w:p>
            <w:pPr>
              <w:pStyle w:val="ListParagraph"/>
              <w:numPr>
                <w:ilvl w:val="0"/>
                <w:numId w:val="3"/>
              </w:numPr>
              <w:pBdr/>
              <w:rPr>
                <w:color w:val="auto"/>
              </w:rPr>
            </w:pPr>
            <w:r>
              <w:rPr>
                <w:color w:val="auto"/>
              </w:rPr>
              <w:t>Monitor compliance with relevant privacy and information governance requirements and support audit, assurance and continuous improvement activity relating to SAVVI and wider information-sharing work.</w:t>
              <w:br/>
            </w:r>
          </w:p>
          <w:p>
            <w:pPr>
              <w:pStyle w:val="ListParagraph"/>
              <w:numPr>
                <w:ilvl w:val="0"/>
                <w:numId w:val="3"/>
              </w:numPr>
              <w:pBdr/>
              <w:rPr>
                <w:color w:val="auto"/>
              </w:rPr>
            </w:pPr>
            <w:r>
              <w:rPr>
                <w:color w:val="auto"/>
              </w:rPr>
              <w:t>Provide high level technical review, subject matter expertise and peer review on privacy impact assessments and information-sharing documentation to support effective risk management.</w:t>
              <w:br/>
            </w:r>
          </w:p>
          <w:p>
            <w:pPr>
              <w:pStyle w:val="ListParagraph"/>
              <w:numPr>
                <w:ilvl w:val="0"/>
                <w:numId w:val="3"/>
              </w:numPr>
              <w:pBdr/>
              <w:rPr>
                <w:color w:val="auto"/>
              </w:rPr>
            </w:pPr>
            <w:r>
              <w:rPr>
                <w:color w:val="auto"/>
              </w:rPr>
              <w:t>Represent GMCA/TfGM and the SAVVI Team and the Information and Data Governance shared service at regional and national meetings, steering groups and standards forums relating to information governance, data sharing, SAVVI and public service reform.</w:t>
              <w:br/>
            </w:r>
          </w:p>
          <w:p>
            <w:pPr>
              <w:pStyle w:val="ListParagraph"/>
              <w:numPr>
                <w:ilvl w:val="0"/>
                <w:numId w:val="3"/>
              </w:numPr>
              <w:pBdr/>
              <w:rPr>
                <w:color w:val="auto"/>
              </w:rPr>
            </w:pPr>
            <w:r>
              <w:rPr>
                <w:color w:val="auto"/>
              </w:rPr>
              <w:t>Support the IG Shared Service to embed a resilient, flexible and improvement-focused information governance function that can respond to changing legal, policy, technology and partnership requirements.</w:t>
              <w:br/>
            </w:r>
          </w:p>
          <w:p>
            <w:pPr>
              <w:pStyle w:val="ListParagraph"/>
              <w:numPr>
                <w:ilvl w:val="0"/>
                <w:numId w:val="3"/>
              </w:numPr>
              <w:pBdr/>
              <w:rPr>
                <w:color w:val="auto"/>
              </w:rPr>
            </w:pPr>
            <w:r>
              <w:rPr>
                <w:color w:val="auto"/>
              </w:rPr>
              <w:t>Provide advice and guidance to colleagues at all levels, including on complex issues such as lawful data sharing, DPIAs, data subject rights, information incidents, transparency and confidentiality.</w:t>
              <w:br/>
            </w:r>
          </w:p>
          <w:p>
            <w:pPr>
              <w:pStyle w:val="ListParagraph"/>
              <w:numPr>
                <w:ilvl w:val="0"/>
                <w:numId w:val="3"/>
              </w:numPr>
              <w:pBdr/>
              <w:rPr>
                <w:color w:val="auto"/>
              </w:rPr>
            </w:pPr>
            <w:r>
              <w:rPr>
                <w:color w:val="auto"/>
              </w:rPr>
              <w:t>Work collaboratively across Greater Manchester and with key partner organisations to maximise performance, improve operational efficiency and enable safe, effective information sharing.</w:t>
              <w:br/>
            </w:r>
          </w:p>
          <w:p>
            <w:pPr>
              <w:pStyle w:val="ListParagraph"/>
              <w:numPr>
                <w:ilvl w:val="0"/>
                <w:numId w:val="3"/>
              </w:numPr>
              <w:pBdr/>
              <w:rPr>
                <w:color w:val="auto"/>
              </w:rPr>
            </w:pPr>
            <w:r>
              <w:rPr>
                <w:color w:val="auto"/>
              </w:rPr>
              <w:t>Support and, where required, manage team members or matrix resources involved in SAVVI and information-sharing delivery, providing quality assurance, professional guidance and development support.</w:t>
            </w:r>
          </w:p>
          <w:p>
            <w:pPr>
              <w:pStyle w:val="Normal"/>
              <w:pBdr/>
              <w:spacing w:before="0" w:after="240"/>
              <w:ind w:left="360" w:right="0" w:hanging="0"/>
              <w:jc w:val="both"/>
              <w:rPr>
                <w:rFonts w:ascii="Arial" w:hAnsi="Arial" w:cs="Arial"/>
                <w:b/>
                <w:b/>
                <w:sz w:val="22"/>
                <w:szCs w:val="22"/>
                <w:lang w:val="en-GB"/>
              </w:rPr>
            </w:pPr>
            <w:r>
              <w:rPr>
                <w:rFonts w:cs="Arial" w:ascii="Arial" w:hAnsi="Arial"/>
                <w:b/>
                <w:sz w:val="22"/>
                <w:szCs w:val="22"/>
                <w:lang w:val="en-GB"/>
              </w:rPr>
              <w:t>General</w:t>
            </w:r>
          </w:p>
          <w:p>
            <w:pPr>
              <w:pStyle w:val="Normal"/>
              <w:pBdr/>
              <w:jc w:val="both"/>
              <w:rPr>
                <w:rFonts w:ascii="Arial" w:hAnsi="Arial" w:cs="Arial"/>
                <w:b/>
                <w:b/>
                <w:sz w:val="22"/>
                <w:szCs w:val="22"/>
                <w:lang w:val="en-GB"/>
              </w:rPr>
            </w:pPr>
            <w:r>
              <w:rPr>
                <w:rFonts w:cs="Arial" w:ascii="Arial" w:hAnsi="Arial"/>
                <w:b/>
                <w:sz w:val="22"/>
                <w:szCs w:val="22"/>
                <w:lang w:val="en-GB"/>
              </w:rPr>
            </w:r>
          </w:p>
          <w:p>
            <w:pPr>
              <w:pStyle w:val="Default"/>
              <w:numPr>
                <w:ilvl w:val="0"/>
                <w:numId w:val="3"/>
              </w:numPr>
              <w:spacing w:before="0" w:after="240"/>
              <w:rPr>
                <w:rFonts w:ascii="Arial" w:hAnsi="Arial" w:cs="Arial"/>
                <w:color w:val="auto"/>
                <w:sz w:val="22"/>
                <w:szCs w:val="22"/>
                <w:lang w:val="en-US"/>
              </w:rPr>
            </w:pPr>
            <w:r>
              <w:rPr>
                <w:rFonts w:cs="Arial" w:ascii="Arial" w:hAnsi="Arial"/>
                <w:color w:val="auto"/>
                <w:sz w:val="22"/>
                <w:szCs w:val="22"/>
                <w:lang w:val="en-US"/>
              </w:rPr>
              <w:t>Contribute to project reports, presentations and workshops.</w:t>
            </w:r>
          </w:p>
          <w:p>
            <w:pPr>
              <w:pStyle w:val="ListParagraph"/>
              <w:numPr>
                <w:ilvl w:val="0"/>
                <w:numId w:val="3"/>
              </w:numPr>
              <w:pBdr/>
              <w:spacing w:before="0" w:after="240"/>
              <w:rPr>
                <w:color w:val="auto"/>
                <w:lang w:val="en-GB"/>
              </w:rPr>
            </w:pPr>
            <w:r>
              <w:rPr>
                <w:color w:val="auto"/>
                <w:lang w:val="en-GB"/>
              </w:rPr>
              <w:t>Promoting inclusivity and equity through across the shared service and through the services being delivered by the team.</w:t>
            </w:r>
          </w:p>
          <w:p>
            <w:pPr>
              <w:pStyle w:val="Default"/>
              <w:numPr>
                <w:ilvl w:val="0"/>
                <w:numId w:val="3"/>
              </w:numPr>
              <w:spacing w:before="0" w:after="240"/>
              <w:rPr>
                <w:rFonts w:ascii="Arial" w:hAnsi="Arial" w:cs="Arial"/>
                <w:color w:val="auto"/>
                <w:sz w:val="22"/>
                <w:szCs w:val="22"/>
                <w:lang w:val="en-US"/>
              </w:rPr>
            </w:pPr>
            <w:r>
              <w:rPr>
                <w:rFonts w:cs="Arial" w:ascii="Arial" w:hAnsi="Arial"/>
                <w:color w:val="auto"/>
                <w:sz w:val="22"/>
                <w:szCs w:val="22"/>
                <w:lang w:val="en-US"/>
              </w:rPr>
              <w:t>To support as part of the IG assurances, relevant policies and procedures.</w:t>
            </w:r>
          </w:p>
          <w:p>
            <w:pPr>
              <w:pStyle w:val="Default"/>
              <w:numPr>
                <w:ilvl w:val="0"/>
                <w:numId w:val="3"/>
              </w:numPr>
              <w:spacing w:before="0" w:after="240"/>
              <w:rPr>
                <w:rFonts w:ascii="Arial" w:hAnsi="Arial" w:cs="Arial"/>
                <w:color w:val="auto"/>
                <w:sz w:val="22"/>
                <w:szCs w:val="22"/>
                <w:lang w:val="en-US"/>
              </w:rPr>
            </w:pPr>
            <w:r>
              <w:rPr>
                <w:rFonts w:cs="Arial" w:ascii="Arial" w:hAnsi="Arial"/>
                <w:color w:val="auto"/>
                <w:sz w:val="22"/>
                <w:szCs w:val="22"/>
                <w:lang w:val="en-US"/>
              </w:rPr>
              <w:t>Deliver excellent customer service and effective client management, in order to understand, reflect and manage the expectations of customers and the reputation of the GMCA and TfGM.</w:t>
            </w:r>
          </w:p>
          <w:p>
            <w:pPr>
              <w:pStyle w:val="Default"/>
              <w:numPr>
                <w:ilvl w:val="0"/>
                <w:numId w:val="3"/>
              </w:numPr>
              <w:spacing w:before="0" w:after="240"/>
              <w:rPr>
                <w:rFonts w:ascii="Arial" w:hAnsi="Arial" w:cs="Arial"/>
                <w:color w:val="auto"/>
                <w:sz w:val="22"/>
                <w:szCs w:val="22"/>
                <w:lang w:val="en-US"/>
              </w:rPr>
            </w:pPr>
            <w:r>
              <w:rPr>
                <w:rFonts w:cs="Arial" w:ascii="Arial" w:hAnsi="Arial"/>
                <w:color w:val="auto"/>
                <w:sz w:val="22"/>
                <w:szCs w:val="22"/>
                <w:lang w:val="en-US"/>
              </w:rPr>
              <w:t>Foster and maintain positive relationships with key stakeholders to facilitate effective contract and relationship management and achieve the most appropriate and desirable outcomes for the organisation.</w:t>
            </w:r>
          </w:p>
          <w:p>
            <w:pPr>
              <w:pStyle w:val="Default"/>
              <w:numPr>
                <w:ilvl w:val="0"/>
                <w:numId w:val="3"/>
              </w:numPr>
              <w:spacing w:before="0" w:after="240"/>
              <w:rPr>
                <w:rFonts w:ascii="Arial" w:hAnsi="Arial" w:cs="Arial"/>
                <w:color w:val="auto"/>
                <w:sz w:val="22"/>
                <w:szCs w:val="22"/>
                <w:lang w:val="en-US"/>
              </w:rPr>
            </w:pPr>
            <w:r>
              <w:rPr>
                <w:rFonts w:cs="Arial" w:ascii="Arial" w:hAnsi="Arial"/>
                <w:color w:val="auto"/>
                <w:sz w:val="22"/>
                <w:szCs w:val="22"/>
                <w:lang w:val="en-US"/>
              </w:rPr>
              <w:t xml:space="preserve">Manage change effectively, working with colleagues in response to external drivers, resolving complex issues and ensure that GMCA and TfGM Information Governance remains fit for purpose now and in the future. </w:t>
            </w:r>
          </w:p>
          <w:p>
            <w:pPr>
              <w:pStyle w:val="Default"/>
              <w:numPr>
                <w:ilvl w:val="0"/>
                <w:numId w:val="3"/>
              </w:numPr>
              <w:spacing w:before="0" w:after="240"/>
              <w:rPr>
                <w:rFonts w:ascii="Arial" w:hAnsi="Arial" w:cs="Arial"/>
                <w:color w:val="auto"/>
                <w:sz w:val="22"/>
                <w:szCs w:val="22"/>
                <w:lang w:val="en-US"/>
              </w:rPr>
            </w:pPr>
            <w:r>
              <w:rPr>
                <w:rFonts w:cs="Arial" w:ascii="Arial" w:hAnsi="Arial"/>
                <w:color w:val="auto"/>
                <w:sz w:val="22"/>
                <w:szCs w:val="22"/>
                <w:lang w:val="en-US"/>
              </w:rPr>
              <w:t xml:space="preserve">Recognise and respond to the political environment and expectations, addressing any sensitivity and taking an appropriate view of service priorities and requirements. </w:t>
            </w:r>
          </w:p>
          <w:p>
            <w:pPr>
              <w:pStyle w:val="Default"/>
              <w:numPr>
                <w:ilvl w:val="0"/>
                <w:numId w:val="3"/>
              </w:numPr>
              <w:spacing w:before="0" w:after="240"/>
              <w:rPr>
                <w:rFonts w:ascii="Arial" w:hAnsi="Arial" w:cs="Arial"/>
                <w:color w:val="auto"/>
                <w:sz w:val="22"/>
                <w:szCs w:val="22"/>
                <w:lang w:val="en-US"/>
              </w:rPr>
            </w:pPr>
            <w:r>
              <w:rPr>
                <w:rFonts w:cs="Arial" w:ascii="Arial" w:hAnsi="Arial"/>
                <w:color w:val="auto"/>
                <w:sz w:val="22"/>
                <w:szCs w:val="22"/>
                <w:lang w:val="en-US"/>
              </w:rPr>
              <w:t xml:space="preserve">Develop IG mechanisms that enable employees at all levels to avoid duplication and other inefficiencies across GMCA and TfGM and GM in order to maximize the use of resources and achieve budget targets.  </w:t>
            </w:r>
          </w:p>
          <w:p>
            <w:pPr>
              <w:pStyle w:val="Default"/>
              <w:numPr>
                <w:ilvl w:val="0"/>
                <w:numId w:val="3"/>
              </w:numPr>
              <w:spacing w:before="0" w:after="240"/>
              <w:rPr>
                <w:rFonts w:ascii="Arial" w:hAnsi="Arial" w:cs="Arial"/>
                <w:color w:val="auto"/>
                <w:sz w:val="22"/>
                <w:szCs w:val="22"/>
                <w:lang w:val="en-US"/>
              </w:rPr>
            </w:pPr>
            <w:r>
              <w:rPr>
                <w:rFonts w:cs="Arial" w:ascii="Arial" w:hAnsi="Arial"/>
                <w:color w:val="auto"/>
                <w:sz w:val="22"/>
                <w:szCs w:val="22"/>
                <w:lang w:val="en-US"/>
              </w:rPr>
              <w:t>Contribute to the key aims and objectives of the organisation, both within the post holder’s specific remit, across the section and the GMCA and TfGM as a whole. Contribute to issues relating to Civic Resilience and Business Continuity, including representing the Service as required during an incident.</w:t>
            </w:r>
          </w:p>
          <w:p>
            <w:pPr>
              <w:pStyle w:val="Default"/>
              <w:numPr>
                <w:ilvl w:val="0"/>
                <w:numId w:val="3"/>
              </w:numPr>
              <w:spacing w:before="0" w:after="240"/>
              <w:rPr>
                <w:rFonts w:ascii="Arial" w:hAnsi="Arial" w:cs="Arial"/>
                <w:sz w:val="22"/>
                <w:szCs w:val="22"/>
              </w:rPr>
            </w:pPr>
            <w:r>
              <w:rPr>
                <w:rFonts w:cs="Arial" w:ascii="Arial" w:hAnsi="Arial"/>
                <w:sz w:val="22"/>
                <w:szCs w:val="22"/>
              </w:rPr>
              <w:t>Reviewing records containing sensitive health and vulnerability information.</w:t>
            </w:r>
          </w:p>
          <w:p>
            <w:pPr>
              <w:pStyle w:val="Default"/>
              <w:rPr>
                <w:rFonts w:ascii="Arial" w:hAnsi="Arial" w:cs="Arial"/>
                <w:color w:val="auto"/>
                <w:sz w:val="22"/>
                <w:szCs w:val="22"/>
              </w:rPr>
            </w:pPr>
            <w:r>
              <w:rPr>
                <w:rFonts w:cs="Arial" w:ascii="Arial" w:hAnsi="Arial"/>
                <w:color w:val="auto"/>
                <w:sz w:val="22"/>
                <w:szCs w:val="22"/>
              </w:rPr>
            </w:r>
          </w:p>
          <w:p>
            <w:pPr>
              <w:pStyle w:val="Normal"/>
              <w:rPr/>
            </w:pPr>
            <w:r>
              <w:rPr>
                <w:rFonts w:cs="Arial" w:ascii="Arial" w:hAnsi="Arial"/>
                <w:b/>
                <w:bCs/>
                <w:sz w:val="22"/>
                <w:szCs w:val="22"/>
              </w:rPr>
              <w:t xml:space="preserve">NB: </w:t>
            </w:r>
            <w:r>
              <w:rPr>
                <w:rFonts w:cs="Arial" w:ascii="Arial" w:hAnsi="Arial"/>
                <w:sz w:val="22"/>
                <w:szCs w:val="22"/>
              </w:rPr>
              <w:t>This list of duties and responsibilities is by no means exhaustive, and the post holder may be required to undertake other relevant and appropriate duties as required.</w:t>
            </w:r>
          </w:p>
          <w:p>
            <w:pPr>
              <w:pStyle w:val="Normal"/>
              <w:pBdr/>
              <w:jc w:val="both"/>
              <w:rPr>
                <w:rFonts w:ascii="Arial" w:hAnsi="Arial" w:cs="Arial"/>
                <w:sz w:val="22"/>
                <w:szCs w:val="22"/>
                <w:lang w:val="en-GB"/>
              </w:rPr>
            </w:pPr>
            <w:r>
              <w:rPr>
                <w:rFonts w:cs="Arial" w:ascii="Arial" w:hAnsi="Arial"/>
                <w:sz w:val="22"/>
                <w:szCs w:val="22"/>
                <w:lang w:val="en-GB"/>
              </w:rPr>
            </w:r>
          </w:p>
        </w:tc>
      </w:tr>
      <w:tr>
        <w:trPr>
          <w:trHeight w:val="739" w:hRule="atLeast"/>
        </w:trPr>
        <w:tc>
          <w:tcPr>
            <w:tcW w:w="10401" w:type="dxa"/>
            <w:tcBorders>
              <w:left w:val="single" w:sz="4" w:space="0" w:color="000000"/>
              <w:bottom w:val="single" w:sz="4" w:space="0" w:color="000000"/>
              <w:right w:val="single" w:sz="6" w:space="0" w:color="000000"/>
            </w:tcBorders>
            <w:shd w:fill="auto" w:val="clear"/>
            <w:vAlign w:val="center"/>
          </w:tcPr>
          <w:p>
            <w:pPr>
              <w:pStyle w:val="Normal"/>
              <w:pBdr/>
              <w:snapToGrid w:val="false"/>
              <w:jc w:val="both"/>
              <w:rPr>
                <w:rFonts w:ascii="Arial" w:hAnsi="Arial" w:cs="Arial"/>
                <w:sz w:val="22"/>
                <w:szCs w:val="22"/>
                <w:lang w:val="en-GB"/>
              </w:rPr>
            </w:pPr>
            <w:r>
              <w:rPr>
                <w:rFonts w:cs="Arial" w:ascii="Arial" w:hAnsi="Arial"/>
                <w:sz w:val="22"/>
                <w:szCs w:val="22"/>
                <w:lang w:val="en-GB"/>
              </w:rPr>
            </w:r>
          </w:p>
        </w:tc>
      </w:tr>
    </w:tbl>
    <w:p>
      <w:pPr>
        <w:pStyle w:val="Body"/>
        <w:ind w:left="-567" w:right="261" w:hanging="0"/>
        <w:rPr>
          <w:rFonts w:eastAsia="Calibri"/>
          <w:b/>
          <w:b/>
          <w:bCs/>
          <w:iCs/>
        </w:rPr>
      </w:pPr>
      <w:r>
        <w:rPr>
          <w:rFonts w:eastAsia="Calibri"/>
          <w:b/>
          <w:bCs/>
          <w:iCs/>
        </w:rPr>
      </w:r>
    </w:p>
    <w:p>
      <w:pPr>
        <w:pStyle w:val="Body"/>
        <w:ind w:left="-567" w:right="261" w:hanging="0"/>
        <w:rPr>
          <w:rFonts w:eastAsia="Calibri"/>
          <w:b/>
          <w:b/>
          <w:bCs/>
          <w:iCs/>
        </w:rPr>
      </w:pPr>
      <w:r>
        <w:rPr>
          <w:rFonts w:eastAsia="Calibri"/>
          <w:b/>
          <w:bCs/>
          <w:iCs/>
        </w:rPr>
      </w:r>
    </w:p>
    <w:tbl>
      <w:tblPr>
        <w:tblW w:w="10359" w:type="dxa"/>
        <w:jc w:val="center"/>
        <w:tblInd w:w="0" w:type="dxa"/>
        <w:tblCellMar>
          <w:top w:w="80" w:type="dxa"/>
          <w:left w:w="80" w:type="dxa"/>
          <w:bottom w:w="80" w:type="dxa"/>
          <w:right w:w="80" w:type="dxa"/>
        </w:tblCellMar>
      </w:tblPr>
      <w:tblGrid>
        <w:gridCol w:w="10359"/>
      </w:tblGrid>
      <w:tr>
        <w:trPr>
          <w:trHeight w:val="180" w:hRule="atLeast"/>
        </w:trPr>
        <w:tc>
          <w:tcPr>
            <w:tcW w:w="10359" w:type="dxa"/>
            <w:tcBorders>
              <w:top w:val="single" w:sz="4" w:space="0" w:color="000000"/>
              <w:left w:val="single" w:sz="4" w:space="0" w:color="000000"/>
              <w:bottom w:val="single" w:sz="4" w:space="0" w:color="000000"/>
              <w:right w:val="single" w:sz="4" w:space="0" w:color="000000"/>
            </w:tcBorders>
            <w:shd w:fill="000000" w:val="clear"/>
            <w:vAlign w:val="center"/>
          </w:tcPr>
          <w:p>
            <w:pPr>
              <w:pStyle w:val="Body"/>
              <w:ind w:left="18" w:right="261" w:hanging="0"/>
              <w:rPr>
                <w:rFonts w:eastAsia="Calibri"/>
                <w:b/>
                <w:b/>
                <w:bCs/>
                <w:color w:val="FFFFFF"/>
                <w:u w:val="none" w:color="FFFFFF"/>
              </w:rPr>
            </w:pPr>
            <w:r>
              <w:rPr>
                <w:rFonts w:eastAsia="Calibri"/>
                <w:b/>
                <w:bCs/>
                <w:color w:val="FFFFFF"/>
                <w:u w:val="none" w:color="FFFFFF"/>
              </w:rPr>
              <w:t>KNOWLEDGE, SKILLS AND EXPERIENCE</w:t>
            </w:r>
          </w:p>
        </w:tc>
      </w:tr>
      <w:tr>
        <w:trPr>
          <w:trHeight w:val="3467" w:hRule="atLeast"/>
        </w:trPr>
        <w:tc>
          <w:tcPr>
            <w:tcW w:w="10359" w:type="dxa"/>
            <w:tcBorders>
              <w:top w:val="single" w:sz="4" w:space="0" w:color="000000"/>
              <w:left w:val="single" w:sz="4" w:space="0" w:color="000000"/>
              <w:bottom w:val="single" w:sz="4" w:space="0" w:color="000000"/>
              <w:right w:val="single" w:sz="4" w:space="0" w:color="000000"/>
            </w:tcBorders>
            <w:shd w:fill="auto" w:val="clear"/>
            <w:tcMar>
              <w:left w:w="363" w:type="dxa"/>
            </w:tcMar>
            <w:vAlign w:val="center"/>
          </w:tcPr>
          <w:p>
            <w:pPr>
              <w:pStyle w:val="Normal"/>
              <w:widowControl w:val="false"/>
              <w:pBdr/>
              <w:spacing w:before="240" w:after="0"/>
              <w:rPr>
                <w:rFonts w:ascii="Arial" w:hAnsi="Arial" w:cs="Arial"/>
                <w:b/>
                <w:b/>
                <w:sz w:val="22"/>
                <w:szCs w:val="22"/>
              </w:rPr>
            </w:pPr>
            <w:r>
              <w:rPr>
                <w:rFonts w:cs="Arial" w:ascii="Arial" w:hAnsi="Arial"/>
                <w:b/>
                <w:sz w:val="22"/>
                <w:szCs w:val="22"/>
              </w:rPr>
              <w:t xml:space="preserve">Knowledge &amp; Experience </w:t>
            </w:r>
          </w:p>
          <w:p>
            <w:pPr>
              <w:pStyle w:val="ListParagraph"/>
              <w:numPr>
                <w:ilvl w:val="0"/>
                <w:numId w:val="4"/>
              </w:numPr>
              <w:pBdr/>
              <w:rPr/>
            </w:pPr>
            <w:r>
              <w:rPr/>
              <w:t>Recognised qualifications in information compliance disciplines, such as BCS Data Protection, Freedom of Information, CIPP/E, ISEB, CISSP or equivalent professional experience.</w:t>
            </w:r>
          </w:p>
          <w:p>
            <w:pPr>
              <w:pStyle w:val="ListParagraph"/>
              <w:numPr>
                <w:ilvl w:val="0"/>
                <w:numId w:val="4"/>
              </w:numPr>
              <w:pBdr/>
              <w:rPr/>
            </w:pPr>
            <w:r>
              <w:rPr/>
              <w:t>Significant experience of delivering information governance, data protection and information-sharing advice in a public sector or complex partnership setting.</w:t>
            </w:r>
          </w:p>
          <w:p>
            <w:pPr>
              <w:pStyle w:val="ListParagraph"/>
              <w:numPr>
                <w:ilvl w:val="0"/>
                <w:numId w:val="4"/>
              </w:numPr>
              <w:pBdr/>
              <w:rPr/>
            </w:pPr>
            <w:r>
              <w:rPr/>
              <w:t>Excellent working knowledge of UK GDPR, the Data Protection Act 2018, Freedom of Information legislation, Environmental Information Regulations, common law confidentiality and public sector information-sharing frameworks.</w:t>
            </w:r>
          </w:p>
          <w:p>
            <w:pPr>
              <w:pStyle w:val="ListParagraph"/>
              <w:numPr>
                <w:ilvl w:val="0"/>
                <w:numId w:val="4"/>
              </w:numPr>
              <w:pBdr/>
              <w:rPr/>
            </w:pPr>
            <w:r>
              <w:rPr/>
              <w:t>Experience of advising on the lawful, ethical and proportionate use of personal data, including assessing lawful basis, conditions for processing, transparency, necessity, proportionality and public benefit.</w:t>
            </w:r>
          </w:p>
          <w:p>
            <w:pPr>
              <w:pStyle w:val="ListParagraph"/>
              <w:numPr>
                <w:ilvl w:val="0"/>
                <w:numId w:val="4"/>
              </w:numPr>
              <w:pBdr/>
              <w:rPr/>
            </w:pPr>
            <w:r>
              <w:rPr/>
              <w:t>Experience of producing high quality information governance documentation, including DPIAs, Data Sharing Agreements, privacy notices, lawful basis assessments, policies, procedures and guidance.</w:t>
            </w:r>
          </w:p>
          <w:p>
            <w:pPr>
              <w:pStyle w:val="ListParagraph"/>
              <w:numPr>
                <w:ilvl w:val="0"/>
                <w:numId w:val="4"/>
              </w:numPr>
              <w:pBdr/>
              <w:rPr/>
            </w:pPr>
            <w:r>
              <w:rPr/>
              <w:t>Knowledge of data-informed decision making, prevention, early intervention and the responsible use of data to improve outcomes for people and communities.</w:t>
            </w:r>
          </w:p>
          <w:p>
            <w:pPr>
              <w:pStyle w:val="ListParagraph"/>
              <w:numPr>
                <w:ilvl w:val="0"/>
                <w:numId w:val="4"/>
              </w:numPr>
              <w:pBdr/>
              <w:rPr/>
            </w:pPr>
            <w:r>
              <w:rPr/>
              <w:t>Familiarity with data and digital transformation programmes, interoperability standards, information-sharing frameworks or the ability to quickly develop this knowledge.</w:t>
            </w:r>
          </w:p>
          <w:p>
            <w:pPr>
              <w:pStyle w:val="ListParagraph"/>
              <w:numPr>
                <w:ilvl w:val="0"/>
                <w:numId w:val="4"/>
              </w:numPr>
              <w:pBdr/>
              <w:rPr/>
            </w:pPr>
            <w:r>
              <w:rPr/>
              <w:t>Experience of working collaboratively with multidisciplinary teams, including legal, digital, data, policy, information security, service delivery, analysts and data protection officers.</w:t>
            </w:r>
          </w:p>
          <w:p>
            <w:pPr>
              <w:pStyle w:val="ListParagraph"/>
              <w:numPr>
                <w:ilvl w:val="0"/>
                <w:numId w:val="4"/>
              </w:numPr>
              <w:pBdr/>
              <w:rPr/>
            </w:pPr>
            <w:r>
              <w:rPr/>
              <w:t>Experience of working with and influencing senior partners at local, regional or national level.</w:t>
            </w:r>
          </w:p>
          <w:p>
            <w:pPr>
              <w:pStyle w:val="ListParagraph"/>
              <w:numPr>
                <w:ilvl w:val="0"/>
                <w:numId w:val="4"/>
              </w:numPr>
              <w:pBdr/>
              <w:rPr/>
            </w:pPr>
            <w:r>
              <w:rPr/>
              <w:t>Knowledge of and experience in managing multiple, complex projects and/or a diverse workload, achieving objectives to time and quality.</w:t>
            </w:r>
          </w:p>
          <w:p>
            <w:pPr>
              <w:pStyle w:val="ListParagraph"/>
              <w:numPr>
                <w:ilvl w:val="0"/>
                <w:numId w:val="4"/>
              </w:numPr>
              <w:pBdr/>
              <w:rPr/>
            </w:pPr>
            <w:r>
              <w:rPr/>
              <w:t>Experience of policy development, service improvement, monitoring compliance and supporting audit or assurance activity.</w:t>
            </w:r>
          </w:p>
          <w:p>
            <w:pPr>
              <w:pStyle w:val="ListParagraph"/>
              <w:numPr>
                <w:ilvl w:val="0"/>
                <w:numId w:val="4"/>
              </w:numPr>
              <w:pBdr/>
              <w:rPr/>
            </w:pPr>
            <w:r>
              <w:rPr/>
              <w:t>Awareness of the information governance landscape across Greater Manchester and nationally, including the opportunities and challenges of multi-agency data sharing.</w:t>
            </w:r>
          </w:p>
          <w:p>
            <w:pPr>
              <w:pStyle w:val="Normal"/>
              <w:widowControl w:val="false"/>
              <w:pBdr/>
              <w:spacing w:before="240" w:after="0"/>
              <w:rPr/>
            </w:pPr>
            <w:r>
              <w:rPr/>
            </w:r>
          </w:p>
          <w:p>
            <w:pPr>
              <w:pStyle w:val="Body"/>
              <w:rPr>
                <w:b/>
                <w:b/>
                <w:lang w:val="en-US"/>
              </w:rPr>
            </w:pPr>
            <w:r>
              <w:rPr>
                <w:b/>
                <w:lang w:val="en-US"/>
              </w:rPr>
              <w:t xml:space="preserve">Skills &amp; Behaviours </w:t>
            </w:r>
          </w:p>
          <w:p>
            <w:pPr>
              <w:pStyle w:val="Body"/>
              <w:rPr/>
            </w:pPr>
            <w:r>
              <w:rPr/>
            </w:r>
          </w:p>
          <w:p>
            <w:pPr>
              <w:pStyle w:val="ListParagraph"/>
              <w:numPr>
                <w:ilvl w:val="0"/>
                <w:numId w:val="4"/>
              </w:numPr>
              <w:pBdr/>
              <w:rPr/>
            </w:pPr>
            <w:r>
              <w:rPr/>
              <w:t>Ability to understand, interpret and apply complex data protection, information governance and public sector data-sharing requirements in practical delivery contexts.</w:t>
            </w:r>
          </w:p>
          <w:p>
            <w:pPr>
              <w:pStyle w:val="ListParagraph"/>
              <w:numPr>
                <w:ilvl w:val="0"/>
                <w:numId w:val="4"/>
              </w:numPr>
              <w:pBdr/>
              <w:rPr/>
            </w:pPr>
            <w:r>
              <w:rPr/>
              <w:t>Excellent relationship management and consulting skills, with the ability to work across organisational boundaries and build trusted partnerships.</w:t>
            </w:r>
          </w:p>
          <w:p>
            <w:pPr>
              <w:pStyle w:val="ListParagraph"/>
              <w:numPr>
                <w:ilvl w:val="0"/>
                <w:numId w:val="4"/>
              </w:numPr>
              <w:pBdr/>
              <w:rPr/>
            </w:pPr>
            <w:r>
              <w:rPr/>
              <w:t>Proven ability to interpret complex legal, ethical and technical issues and communicate them clearly to non-specialist audiences.</w:t>
            </w:r>
          </w:p>
          <w:p>
            <w:pPr>
              <w:pStyle w:val="ListParagraph"/>
              <w:numPr>
                <w:ilvl w:val="0"/>
                <w:numId w:val="4"/>
              </w:numPr>
              <w:pBdr/>
              <w:rPr/>
            </w:pPr>
            <w:r>
              <w:rPr/>
              <w:t>Strong analytical, problem-solving and risk assessment skills, with the ability to make balanced, proportionate and defensible recommendations.</w:t>
            </w:r>
          </w:p>
          <w:p>
            <w:pPr>
              <w:pStyle w:val="ListParagraph"/>
              <w:numPr>
                <w:ilvl w:val="0"/>
                <w:numId w:val="4"/>
              </w:numPr>
              <w:pBdr/>
              <w:rPr/>
            </w:pPr>
            <w:r>
              <w:rPr/>
              <w:t>Collaborative mindset, with the ability to mediate between differing perspectives and facilitate agreement between legal, governance, digital, data and service delivery teams.</w:t>
            </w:r>
          </w:p>
          <w:p>
            <w:pPr>
              <w:pStyle w:val="ListParagraph"/>
              <w:numPr>
                <w:ilvl w:val="0"/>
                <w:numId w:val="4"/>
              </w:numPr>
              <w:pBdr/>
              <w:rPr/>
            </w:pPr>
            <w:r>
              <w:rPr/>
              <w:t>Excellent writing skills and ability to produce clear reports, guidance, templates, case studies and assurance documentation for different audiences.</w:t>
            </w:r>
          </w:p>
          <w:p>
            <w:pPr>
              <w:pStyle w:val="ListParagraph"/>
              <w:numPr>
                <w:ilvl w:val="0"/>
                <w:numId w:val="4"/>
              </w:numPr>
              <w:pBdr/>
              <w:rPr/>
            </w:pPr>
            <w:r>
              <w:rPr/>
              <w:t>Very highly developed persuasive negotiating, influencing and coaching skills, including the ability to work effectively with senior leaders and external partners.</w:t>
            </w:r>
          </w:p>
          <w:p>
            <w:pPr>
              <w:pStyle w:val="ListParagraph"/>
              <w:numPr>
                <w:ilvl w:val="0"/>
                <w:numId w:val="4"/>
              </w:numPr>
              <w:pBdr/>
              <w:rPr/>
            </w:pPr>
            <w:r>
              <w:rPr/>
              <w:t>Ability to manage and deliver projects autonomously, with strong organisational and time management skills.</w:t>
            </w:r>
          </w:p>
          <w:p>
            <w:pPr>
              <w:pStyle w:val="ListParagraph"/>
              <w:numPr>
                <w:ilvl w:val="0"/>
                <w:numId w:val="4"/>
              </w:numPr>
              <w:pBdr/>
              <w:rPr/>
            </w:pPr>
            <w:r>
              <w:rPr/>
              <w:t>Commitment to social justice, public benefit, ethical innovation, inclusion and high standards of public service.</w:t>
            </w:r>
          </w:p>
          <w:p>
            <w:pPr>
              <w:pStyle w:val="ListParagraph"/>
              <w:numPr>
                <w:ilvl w:val="0"/>
                <w:numId w:val="4"/>
              </w:numPr>
              <w:pBdr/>
              <w:rPr/>
            </w:pPr>
            <w:r>
              <w:rPr/>
              <w:t>Ability to analyse information, identify implications and make complex issues understandable for others.</w:t>
            </w:r>
          </w:p>
          <w:p>
            <w:pPr>
              <w:pStyle w:val="ListParagraph"/>
              <w:numPr>
                <w:ilvl w:val="0"/>
                <w:numId w:val="4"/>
              </w:numPr>
              <w:pBdr/>
              <w:rPr/>
            </w:pPr>
            <w:r>
              <w:rPr/>
              <w:t>Self-directed and proactive working style, with the confidence to work independently while recognising when escalation is required.</w:t>
            </w:r>
          </w:p>
          <w:p>
            <w:pPr>
              <w:pStyle w:val="ListParagraph"/>
              <w:numPr>
                <w:ilvl w:val="0"/>
                <w:numId w:val="4"/>
              </w:numPr>
              <w:pBdr/>
              <w:rPr/>
            </w:pPr>
            <w:r>
              <w:rPr/>
              <w:t>Ability to recognise politically sensitive issues, corporate risks and reputational considerations and respond appropriately.</w:t>
            </w:r>
          </w:p>
          <w:p>
            <w:pPr>
              <w:pStyle w:val="ListParagraph"/>
              <w:numPr>
                <w:ilvl w:val="0"/>
                <w:numId w:val="4"/>
              </w:numPr>
              <w:pBdr/>
              <w:rPr/>
            </w:pPr>
            <w:r>
              <w:rPr/>
              <w:t>Personally champions change and supports colleagues, partners and stakeholders to adopt new approaches, standards and ways of working.</w:t>
            </w:r>
          </w:p>
          <w:p>
            <w:pPr>
              <w:pStyle w:val="ListParagraph"/>
              <w:numPr>
                <w:ilvl w:val="0"/>
                <w:numId w:val="4"/>
              </w:numPr>
              <w:pBdr/>
              <w:rPr/>
            </w:pPr>
            <w:r>
              <w:rPr/>
              <w:t>Competent ICT skills and ability to use standard Microsoft programmes and collaboration tools.</w:t>
            </w:r>
          </w:p>
          <w:p>
            <w:pPr>
              <w:pStyle w:val="ListParagraph"/>
              <w:numPr>
                <w:ilvl w:val="0"/>
                <w:numId w:val="4"/>
              </w:numPr>
              <w:pBdr/>
              <w:rPr/>
            </w:pPr>
            <w:r>
              <w:rPr/>
              <w:t>Willingness and ability to travel across Greater Manchester and, where required, nationally to meet the demands of the role.</w:t>
            </w:r>
          </w:p>
          <w:p>
            <w:pPr>
              <w:pStyle w:val="ListParagraph"/>
              <w:numPr>
                <w:ilvl w:val="0"/>
                <w:numId w:val="4"/>
              </w:numPr>
              <w:pBdr/>
              <w:rPr/>
            </w:pPr>
            <w:r>
              <w:rPr/>
              <w:t>Willingness to work flexibly as occasional evening and weekend working may be required.</w:t>
            </w:r>
          </w:p>
        </w:tc>
      </w:tr>
    </w:tbl>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r>
    </w:p>
    <w:p>
      <w:pPr>
        <w:pStyle w:val="Normal"/>
        <w:shd w:fill="FFFFFF" w:val="clear"/>
        <w:jc w:val="both"/>
        <w:rPr>
          <w:rFonts w:ascii="Arial" w:hAnsi="Arial" w:cs="Arial"/>
          <w:b/>
          <w:b/>
          <w:color w:val="595959"/>
          <w:sz w:val="22"/>
          <w:szCs w:val="22"/>
        </w:rPr>
      </w:pPr>
      <w:r>
        <w:rPr>
          <w:rFonts w:cs="Arial" w:ascii="Arial" w:hAnsi="Arial"/>
          <w:b/>
          <w:color w:val="595959"/>
          <w:sz w:val="22"/>
          <w:szCs w:val="22"/>
        </w:rPr>
        <w:t>Corporate Duties</w:t>
      </w:r>
    </w:p>
    <w:p>
      <w:pPr>
        <w:pStyle w:val="TextBody"/>
        <w:widowControl w:val="false"/>
        <w:tabs>
          <w:tab w:val="clear" w:pos="720"/>
          <w:tab w:val="left" w:pos="-720" w:leader="none"/>
        </w:tabs>
        <w:suppressAutoHyphens w:val="true"/>
        <w:rPr>
          <w:rFonts w:cs="Arial"/>
          <w:color w:val="595959"/>
          <w:sz w:val="22"/>
          <w:szCs w:val="22"/>
        </w:rPr>
      </w:pPr>
      <w:r>
        <w:rPr>
          <w:rFonts w:cs="Arial"/>
          <w:color w:val="595959"/>
          <w:sz w:val="22"/>
          <w:szCs w:val="22"/>
        </w:rPr>
      </w:r>
    </w:p>
    <w:p>
      <w:pPr>
        <w:pStyle w:val="TextBody"/>
        <w:widowControl w:val="false"/>
        <w:tabs>
          <w:tab w:val="clear" w:pos="720"/>
          <w:tab w:val="left" w:pos="-720" w:leader="none"/>
        </w:tabs>
        <w:suppressAutoHyphens w:val="true"/>
        <w:rPr>
          <w:rFonts w:cs="Arial"/>
          <w:color w:val="595959"/>
          <w:sz w:val="22"/>
          <w:szCs w:val="22"/>
        </w:rPr>
      </w:pPr>
      <w:r>
        <w:rPr>
          <w:rFonts w:cs="Arial"/>
          <w:color w:val="595959"/>
          <w:sz w:val="22"/>
          <w:szCs w:val="22"/>
        </w:rPr>
        <w:t>Avoid any behaviour which discriminates against your fellow employees, or potential employees on the grounds of their sex, sexual orientation, marital status, race, religion, creed, colour, nationality, ethnic origin or disability.</w:t>
      </w:r>
    </w:p>
    <w:p>
      <w:pPr>
        <w:pStyle w:val="TextBody"/>
        <w:widowControl w:val="false"/>
        <w:tabs>
          <w:tab w:val="clear" w:pos="720"/>
          <w:tab w:val="left" w:pos="-720" w:leader="none"/>
        </w:tabs>
        <w:suppressAutoHyphens w:val="true"/>
        <w:rPr>
          <w:rFonts w:cs="Arial"/>
          <w:color w:val="595959"/>
          <w:sz w:val="22"/>
          <w:szCs w:val="22"/>
        </w:rPr>
      </w:pPr>
      <w:r>
        <w:rPr>
          <w:rFonts w:cs="Arial"/>
          <w:color w:val="595959"/>
          <w:sz w:val="22"/>
          <w:szCs w:val="22"/>
        </w:rPr>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Safeguard at all times confidentiality of information relating to staff and pensioners.</w:t>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Refrain from smoking in any areas of Service premises.</w:t>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Behave in a manner that ensures the security of property and resources.</w:t>
      </w:r>
    </w:p>
    <w:p>
      <w:pPr>
        <w:pStyle w:val="Normal"/>
        <w:widowControl w:val="false"/>
        <w:tabs>
          <w:tab w:val="clear" w:pos="720"/>
          <w:tab w:val="left" w:pos="-720" w:leader="none"/>
        </w:tabs>
        <w:suppressAutoHyphens w:val="true"/>
        <w:jc w:val="both"/>
        <w:rPr>
          <w:rFonts w:ascii="Arial" w:hAnsi="Arial" w:cs="Arial"/>
          <w:color w:val="595959"/>
          <w:sz w:val="22"/>
          <w:szCs w:val="22"/>
        </w:rPr>
      </w:pPr>
      <w:r>
        <w:rPr>
          <w:rFonts w:cs="Arial" w:ascii="Arial" w:hAnsi="Arial"/>
          <w:color w:val="595959"/>
          <w:sz w:val="22"/>
          <w:szCs w:val="22"/>
        </w:rPr>
        <w:t>Abide by all relevant Service Policies and Procedures.</w:t>
      </w:r>
    </w:p>
    <w:p>
      <w:pPr>
        <w:pStyle w:val="ListParagraph"/>
        <w:ind w:left="0" w:right="0" w:hanging="0"/>
        <w:jc w:val="both"/>
        <w:rPr>
          <w:color w:val="595959"/>
        </w:rPr>
      </w:pPr>
      <w:r>
        <w:rPr>
          <w:color w:val="595959"/>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Records Management/ Data Protection - </w:t>
      </w:r>
      <w:r>
        <w:rPr>
          <w:rFonts w:cs="Arial" w:ascii="Arial" w:hAnsi="Arial"/>
          <w:color w:val="595959"/>
          <w:sz w:val="22"/>
          <w:szCs w:val="22"/>
        </w:rPr>
        <w:t>As an employee of the GMCA, you have a legal responsibility for all records (including employee health, financial, personal and administrative) that you gather or use as part of your work with the Service. The records may be paper, electronic, audio or videotapes. You must consult your manager if you have any doubt as to the correct management of the records with which you work.</w:t>
      </w:r>
    </w:p>
    <w:p>
      <w:pPr>
        <w:pStyle w:val="BodyTextIndent3"/>
        <w:tabs>
          <w:tab w:val="clear" w:pos="720"/>
          <w:tab w:val="left" w:pos="1134" w:leader="none"/>
        </w:tabs>
        <w:spacing w:before="0" w:after="0"/>
        <w:ind w:left="0" w:right="0" w:hanging="0"/>
        <w:contextualSpacing/>
        <w:jc w:val="both"/>
        <w:rPr>
          <w:rFonts w:ascii="Arial" w:hAnsi="Arial" w:cs="Arial"/>
          <w:color w:val="595959"/>
          <w:sz w:val="22"/>
          <w:szCs w:val="22"/>
        </w:rPr>
      </w:pPr>
      <w:r>
        <w:rPr>
          <w:rFonts w:cs="Arial" w:ascii="Arial" w:hAnsi="Arial"/>
          <w:color w:val="595959"/>
          <w:sz w:val="22"/>
          <w:szCs w:val="22"/>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Confidentiality and Information Security - </w:t>
      </w:r>
      <w:r>
        <w:rPr>
          <w:rFonts w:cs="Arial" w:ascii="Arial" w:hAnsi="Arial"/>
          <w:color w:val="595959"/>
          <w:sz w:val="22"/>
          <w:szCs w:val="22"/>
        </w:rPr>
        <w:t>As a GMCA employee you are required to uphold the confidentiality of all records held by the GMCA, whether employee records or GMCA information. This duty lasts indefinitely and will continue after you leave the GMCA employment. All employees must maintain confidentiality and abide by the Data Protection Act.</w:t>
      </w:r>
    </w:p>
    <w:p>
      <w:pPr>
        <w:pStyle w:val="Normal"/>
        <w:spacing w:before="0" w:after="0"/>
        <w:contextualSpacing/>
        <w:jc w:val="both"/>
        <w:rPr>
          <w:rFonts w:ascii="Arial" w:hAnsi="Arial" w:eastAsia="Arial" w:cs="Arial"/>
          <w:color w:val="595959"/>
          <w:sz w:val="22"/>
          <w:szCs w:val="22"/>
        </w:rPr>
      </w:pPr>
      <w:r>
        <w:rPr>
          <w:rFonts w:eastAsia="Arial" w:cs="Arial" w:ascii="Arial" w:hAnsi="Arial"/>
          <w:color w:val="595959"/>
          <w:sz w:val="22"/>
          <w:szCs w:val="22"/>
        </w:rPr>
        <w:t xml:space="preserve"> </w:t>
      </w:r>
    </w:p>
    <w:p>
      <w:pPr>
        <w:pStyle w:val="Normal"/>
        <w:spacing w:before="0" w:after="0"/>
        <w:contextualSpacing/>
        <w:jc w:val="both"/>
        <w:rPr/>
      </w:pPr>
      <w:r>
        <w:rPr>
          <w:rFonts w:cs="Arial" w:ascii="Arial" w:hAnsi="Arial"/>
          <w:b/>
          <w:color w:val="595959"/>
          <w:sz w:val="22"/>
          <w:szCs w:val="22"/>
        </w:rPr>
        <w:t xml:space="preserve">Data Quality - </w:t>
      </w:r>
      <w:r>
        <w:rPr>
          <w:rFonts w:cs="Arial" w:ascii="Arial" w:hAnsi="Arial"/>
          <w:color w:val="595959"/>
          <w:sz w:val="22"/>
          <w:szCs w:val="22"/>
        </w:rPr>
        <w:t>All staff are personally responsible</w:t>
      </w:r>
      <w:r>
        <w:rPr>
          <w:rFonts w:cs="Arial" w:ascii="Arial" w:hAnsi="Arial"/>
          <w:b/>
          <w:bCs/>
          <w:color w:val="595959"/>
          <w:sz w:val="22"/>
          <w:szCs w:val="22"/>
        </w:rPr>
        <w:t xml:space="preserve"> </w:t>
      </w:r>
      <w:r>
        <w:rPr>
          <w:rFonts w:cs="Arial" w:ascii="Arial" w:hAnsi="Arial"/>
          <w:color w:val="595959"/>
          <w:sz w:val="22"/>
          <w:szCs w:val="22"/>
        </w:rPr>
        <w:t>for the quality of data entered by themselves, or on their behalf, on GMCAs computerised systems or manual records (paper records) and must ensure that such data is entered accurately and, in a timely manner, to ensure high standards of data quality in accordance with Departmental protocols.</w:t>
      </w:r>
    </w:p>
    <w:p>
      <w:pPr>
        <w:pStyle w:val="Normal"/>
        <w:jc w:val="both"/>
        <w:rPr>
          <w:rFonts w:ascii="Arial" w:hAnsi="Arial" w:cs="Arial"/>
          <w:color w:val="595959"/>
          <w:sz w:val="22"/>
          <w:szCs w:val="22"/>
        </w:rPr>
      </w:pPr>
      <w:r>
        <w:rPr>
          <w:rFonts w:cs="Arial" w:ascii="Arial" w:hAnsi="Arial"/>
          <w:color w:val="595959"/>
          <w:sz w:val="22"/>
          <w:szCs w:val="22"/>
        </w:rPr>
        <w:t>  </w:t>
      </w:r>
    </w:p>
    <w:p>
      <w:pPr>
        <w:pStyle w:val="Normal"/>
        <w:jc w:val="both"/>
        <w:rPr>
          <w:rFonts w:ascii="Arial" w:hAnsi="Arial" w:cs="Arial"/>
          <w:color w:val="595959"/>
          <w:sz w:val="22"/>
          <w:szCs w:val="22"/>
        </w:rPr>
      </w:pPr>
      <w:r>
        <w:rPr>
          <w:rFonts w:cs="Arial" w:ascii="Arial" w:hAnsi="Arial"/>
          <w:color w:val="595959"/>
          <w:sz w:val="22"/>
          <w:szCs w:val="22"/>
        </w:rPr>
        <w:t xml:space="preserve">To ensure data is handled in a secure manner protecting the confidentiality of any personal data held in meeting the requirements of the Data Protection Act. </w:t>
      </w:r>
    </w:p>
    <w:p>
      <w:pPr>
        <w:pStyle w:val="Normal"/>
        <w:tabs>
          <w:tab w:val="clear" w:pos="720"/>
          <w:tab w:val="left" w:pos="1134" w:leader="none"/>
        </w:tabs>
        <w:spacing w:before="0" w:after="0"/>
        <w:contextualSpacing/>
        <w:jc w:val="both"/>
        <w:rPr>
          <w:rFonts w:ascii="Arial" w:hAnsi="Arial" w:cs="Arial"/>
          <w:color w:val="595959"/>
          <w:sz w:val="22"/>
          <w:szCs w:val="22"/>
        </w:rPr>
      </w:pPr>
      <w:r>
        <w:rPr>
          <w:rFonts w:cs="Arial" w:ascii="Arial" w:hAnsi="Arial"/>
          <w:color w:val="595959"/>
          <w:sz w:val="22"/>
          <w:szCs w:val="22"/>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Health and Safety - </w:t>
      </w:r>
      <w:r>
        <w:rPr>
          <w:rFonts w:cs="Arial" w:ascii="Arial" w:hAnsi="Arial"/>
          <w:color w:val="595959"/>
          <w:sz w:val="22"/>
          <w:szCs w:val="22"/>
        </w:rPr>
        <w:t>All employees of GMCA have a statutory duty of care for their own personal safety and that of others who may be affected by their acts or omissions. Employees are required to co-operate with management to enable GMCA to meet its own legal duties and to report any circumstances that may compromise the health, safety and welfare of those affected by the Service’s undertakings.</w:t>
      </w:r>
    </w:p>
    <w:p>
      <w:pPr>
        <w:pStyle w:val="Normal"/>
        <w:tabs>
          <w:tab w:val="clear" w:pos="720"/>
          <w:tab w:val="left" w:pos="1134" w:leader="none"/>
        </w:tabs>
        <w:spacing w:before="0" w:after="0"/>
        <w:contextualSpacing/>
        <w:jc w:val="both"/>
        <w:rPr>
          <w:rFonts w:ascii="Arial" w:hAnsi="Arial" w:cs="Arial"/>
          <w:color w:val="595959"/>
          <w:sz w:val="22"/>
          <w:szCs w:val="22"/>
        </w:rPr>
      </w:pPr>
      <w:r>
        <w:rPr>
          <w:rFonts w:cs="Arial" w:ascii="Arial" w:hAnsi="Arial"/>
          <w:color w:val="595959"/>
          <w:sz w:val="22"/>
          <w:szCs w:val="22"/>
        </w:rPr>
      </w:r>
    </w:p>
    <w:p>
      <w:pPr>
        <w:pStyle w:val="Normal"/>
        <w:tabs>
          <w:tab w:val="clear" w:pos="720"/>
          <w:tab w:val="left" w:pos="1134" w:leader="none"/>
        </w:tabs>
        <w:spacing w:before="0" w:after="0"/>
        <w:contextualSpacing/>
        <w:jc w:val="both"/>
        <w:rPr/>
      </w:pPr>
      <w:r>
        <w:rPr>
          <w:rFonts w:cs="Arial" w:ascii="Arial" w:hAnsi="Arial"/>
          <w:b/>
          <w:color w:val="595959"/>
          <w:sz w:val="22"/>
          <w:szCs w:val="22"/>
        </w:rPr>
        <w:t xml:space="preserve">Service Policies - </w:t>
      </w:r>
      <w:r>
        <w:rPr>
          <w:rFonts w:cs="Arial" w:ascii="Arial" w:hAnsi="Arial"/>
          <w:color w:val="595959"/>
          <w:sz w:val="22"/>
          <w:szCs w:val="22"/>
        </w:rPr>
        <w:t>All GMCA employees must observe and adhere to the provisions outlined in these policies.</w:t>
      </w:r>
    </w:p>
    <w:p>
      <w:pPr>
        <w:pStyle w:val="Normal"/>
        <w:spacing w:before="0" w:after="0"/>
        <w:contextualSpacing/>
        <w:jc w:val="both"/>
        <w:rPr>
          <w:rFonts w:ascii="Arial" w:hAnsi="Arial" w:cs="Arial"/>
          <w:color w:val="595959"/>
          <w:sz w:val="22"/>
          <w:szCs w:val="22"/>
        </w:rPr>
      </w:pPr>
      <w:r>
        <w:rPr>
          <w:rFonts w:cs="Arial" w:ascii="Arial" w:hAnsi="Arial"/>
          <w:color w:val="595959"/>
          <w:sz w:val="22"/>
          <w:szCs w:val="22"/>
        </w:rPr>
      </w:r>
    </w:p>
    <w:p>
      <w:pPr>
        <w:pStyle w:val="Body"/>
        <w:ind w:left="0" w:right="261" w:hanging="0"/>
        <w:rPr>
          <w:color w:val="595959"/>
          <w:lang w:val="en-US"/>
        </w:rPr>
      </w:pPr>
      <w:r>
        <w:rPr>
          <w:color w:val="595959"/>
          <w:lang w:val="en-US"/>
        </w:rPr>
        <w:t>E</w:t>
      </w:r>
      <w:r>
        <w:rPr>
          <w:color w:val="595959"/>
          <w:lang w:val="en-US"/>
        </w:rPr>
        <w:t>qual Opportunities - GMCA provides a range of services and employment opportunities for a diverse population. As a GMCA employee you are expected to treat all employees / partners / members of the public and work colleagues with dignity and respect irrespective of their background</w:t>
      </w:r>
      <w:r>
        <mc:AlternateContent>
          <mc:Choice Requires="wps">
            <w:drawing>
              <wp:anchor behindDoc="0" distT="72390" distB="72390" distL="72390" distR="72390" simplePos="0" locked="0" layoutInCell="1" allowOverlap="1" relativeHeight="31">
                <wp:simplePos x="0" y="0"/>
                <wp:positionH relativeFrom="column">
                  <wp:posOffset>0</wp:posOffset>
                </wp:positionH>
                <wp:positionV relativeFrom="paragraph">
                  <wp:align>top</wp:align>
                </wp:positionV>
                <wp:extent cx="919480" cy="365125"/>
                <wp:effectExtent l="0" t="0" r="0" b="0"/>
                <wp:wrapNone/>
                <wp:docPr id="2" name="Frame1"/>
                <a:graphic xmlns:a="http://schemas.openxmlformats.org/drawingml/2006/main">
                  <a:graphicData uri="http://schemas.microsoft.com/office/word/2010/wordprocessingShape">
                    <wps:wsp>
                      <wps:cNvSpPr txBox="1"/>
                      <wps:spPr>
                        <a:xfrm>
                          <a:off x="0" y="0"/>
                          <a:ext cx="919480" cy="365125"/>
                        </a:xfrm>
                        <a:prstGeom prst="rect"/>
                        <a:solidFill>
                          <a:srgbClr val="FFFFFF"/>
                        </a:solidFill>
                      </wps:spPr>
                      <wps:txbx>
                        <w:txbxContent>
                          <w:p>
                            <w:pPr>
                              <w:pStyle w:val="FrameContents"/>
                              <w:rPr/>
                            </w:pPr>
                            <w:r>
                              <w:rPr/>
                            </w:r>
                          </w:p>
                        </w:txbxContent>
                      </wps:txbx>
                      <wps:bodyPr anchor="t" lIns="635" tIns="191135" rIns="635" bIns="635">
                        <a:noAutofit/>
                      </wps:bodyPr>
                    </wps:wsp>
                  </a:graphicData>
                </a:graphic>
              </wp:anchor>
            </w:drawing>
          </mc:Choice>
          <mc:Fallback>
            <w:pict>
              <v:rect fillcolor="#FFFFFF" style="position:absolute;rotation:0;width:72.4pt;height:28.75pt;mso-wrap-distance-left:5.7pt;mso-wrap-distance-right:5.7pt;mso-wrap-distance-top:5.7pt;mso-wrap-distance-bottom:5.7pt;margin-top:5.7pt;mso-position-vertical:top;mso-position-vertical-relative:text;margin-left:0pt;mso-position-horizontal-relative:text">
                <v:textbox inset="0.000694444444444444in,0.209027777777778in,0.000694444444444444in,0.000694444444444444in">
                  <w:txbxContent>
                    <w:p>
                      <w:pPr>
                        <w:pStyle w:val="FrameContents"/>
                        <w:rPr/>
                      </w:pPr>
                      <w:r>
                        <w:rPr/>
                      </w:r>
                    </w:p>
                  </w:txbxContent>
                </v:textbox>
              </v:rect>
            </w:pict>
          </mc:Fallback>
        </mc:AlternateContent>
      </w:r>
      <w:r>
        <mc:AlternateContent>
          <mc:Choice Requires="wps">
            <w:drawing>
              <wp:anchor behindDoc="0" distT="72390" distB="72390" distL="72390" distR="72390" simplePos="0" locked="0" layoutInCell="1" allowOverlap="1" relativeHeight="32">
                <wp:simplePos x="0" y="0"/>
                <wp:positionH relativeFrom="column">
                  <wp:posOffset>0</wp:posOffset>
                </wp:positionH>
                <wp:positionV relativeFrom="paragraph">
                  <wp:align>top</wp:align>
                </wp:positionV>
                <wp:extent cx="919480" cy="365125"/>
                <wp:effectExtent l="0" t="0" r="0" b="0"/>
                <wp:wrapNone/>
                <wp:docPr id="3" name="Frame2"/>
                <a:graphic xmlns:a="http://schemas.openxmlformats.org/drawingml/2006/main">
                  <a:graphicData uri="http://schemas.microsoft.com/office/word/2010/wordprocessingShape">
                    <wps:wsp>
                      <wps:cNvSpPr txBox="1"/>
                      <wps:spPr>
                        <a:xfrm>
                          <a:off x="0" y="0"/>
                          <a:ext cx="919480" cy="365125"/>
                        </a:xfrm>
                        <a:prstGeom prst="rect"/>
                        <a:solidFill>
                          <a:srgbClr val="FFFFFF"/>
                        </a:solidFill>
                      </wps:spPr>
                      <wps:txbx>
                        <w:txbxContent>
                          <w:p>
                            <w:pPr>
                              <w:pStyle w:val="FrameContents"/>
                              <w:rPr/>
                            </w:pPr>
                            <w:r>
                              <w:rPr/>
                            </w:r>
                          </w:p>
                        </w:txbxContent>
                      </wps:txbx>
                      <wps:bodyPr anchor="t" lIns="635" tIns="635" rIns="635" bIns="191135">
                        <a:noAutofit/>
                      </wps:bodyPr>
                    </wps:wsp>
                  </a:graphicData>
                </a:graphic>
              </wp:anchor>
            </w:drawing>
          </mc:Choice>
          <mc:Fallback>
            <w:pict>
              <v:rect fillcolor="#FFFFFF" style="position:absolute;rotation:0;width:72.4pt;height:28.75pt;mso-wrap-distance-left:5.7pt;mso-wrap-distance-right:5.7pt;mso-wrap-distance-top:5.7pt;mso-wrap-distance-bottom:5.7pt;margin-top:5.7pt;mso-position-vertical:top;mso-position-vertical-relative:text;margin-left:0pt;mso-position-horizontal-relative:text">
                <v:textbox inset="0.000694444444444444in,0.000694444444444444in,0.000694444444444444in,0.209027777777778in">
                  <w:txbxContent>
                    <w:p>
                      <w:pPr>
                        <w:pStyle w:val="FrameContents"/>
                        <w:rPr/>
                      </w:pPr>
                      <w:r>
                        <w:rPr/>
                      </w:r>
                    </w:p>
                  </w:txbxContent>
                </v:textbox>
              </v:rect>
            </w:pict>
          </mc:Fallback>
        </mc:AlternateContent>
      </w:r>
    </w:p>
    <w:sectPr>
      <w:headerReference w:type="default" r:id="rId3"/>
      <w:headerReference w:type="first" r:id="rId4"/>
      <w:footerReference w:type="default" r:id="rId5"/>
      <w:footerReference w:type="first" r:id="rId6"/>
      <w:type w:val="nextPage"/>
      <w:pgSz w:w="11906" w:h="16838"/>
      <w:pgMar w:left="1440" w:right="1440" w:header="426" w:top="993" w:footer="144" w:bottom="851"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imes New Roman">
    <w:charset w:val="01"/>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 w:name="Verdana">
    <w:charset w:val="00"/>
    <w:family w:val="roman"/>
    <w:pitch w:val="variable"/>
  </w:font>
  <w:font w:name="Apto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mc:AlternateContent>
        <mc:Choice Requires="wps">
          <w:drawing>
            <wp:anchor behindDoc="1" distT="0" distB="0" distL="114935" distR="114935" simplePos="0" locked="0" layoutInCell="1" allowOverlap="1" relativeHeight="10">
              <wp:simplePos x="0" y="0"/>
              <wp:positionH relativeFrom="page">
                <wp:align>center</wp:align>
              </wp:positionH>
              <wp:positionV relativeFrom="page">
                <wp:align>bottom</wp:align>
              </wp:positionV>
              <wp:extent cx="920750" cy="527050"/>
              <wp:effectExtent l="0" t="0" r="0" b="0"/>
              <wp:wrapNone/>
              <wp:docPr id="8" name=""/>
              <a:graphic xmlns:a="http://schemas.openxmlformats.org/drawingml/2006/main">
                <a:graphicData uri="http://schemas.microsoft.com/office/word/2010/wordprocessingShape">
                  <wps:wsp>
                    <wps:cNvSpPr txBox="1"/>
                    <wps:spPr>
                      <a:xfrm>
                        <a:off x="0" y="0"/>
                        <a:ext cx="920160" cy="526320"/>
                      </a:xfrm>
                      <a:prstGeom prst="rect">
                        <a:avLst/>
                      </a:prstGeom>
                      <a:noFill/>
                      <a:ln>
                        <a:noFill/>
                      </a:ln>
                    </wps:spPr>
                    <wps:bodyPr/>
                  </wps:wsp>
                </a:graphicData>
              </a:graphic>
            </wp:anchor>
          </w:drawing>
        </mc:Choice>
        <mc:Fallback>
          <w:pict>
            <v:shape id="shape_0" stroked="f" style="position:absolute;margin-left:261.4pt;margin-top:800.4pt;width:72.4pt;height:41.4pt;mso-position-horizontal:center;mso-position-horizontal-relative:page;mso-position-vertical:bottom;mso-position-vertical-relative:page" type="shapetype_202">
              <v:textbox>
                <w:txbxContent>
                  <w:p>
                    <w:pPr>
                      <w:overflowPunct w:val="false"/>
                      <w:spacing w:lineRule="auto" w:line="240"/>
                      <w:rPr/>
                    </w:pPr>
                    <w:r>
                      <w:rPr>
                        <w:kern w:val="2"/>
                        <w:rFonts w:ascii="Liberation Serif" w:hAnsi="Liberation Serif" w:eastAsia="NSimSun" w:cs="Lucida Sans"/>
                        <w:lang w:eastAsia="zh-CN" w:bidi="hi-IN"/>
                      </w:rPr>
                    </w:r>
                  </w:p>
                </w:txbxContent>
              </v:textbox>
              <w10:wrap type="none"/>
              <v:fill o:detectmouseclick="t" on="false"/>
              <v:stroke color="#3465a4" joinstyle="round" endcap="flat"/>
            </v:shape>
          </w:pict>
        </mc:Fallback>
      </mc:AlternateContent>
    </w:r>
    <w:r>
      <w:rPr/>
      <w:instrText> PAGE </w:instrText>
    </w:r>
    <w:r>
      <w:rPr/>
      <w:fldChar w:fldCharType="separate"/>
    </w:r>
    <w:r>
      <w:rPr/>
      <w:t>7</w:t>
    </w:r>
    <w:r>
      <w:rPr/>
      <w:fldChar w:fldCharType="end"/>
    </w:r>
    <w:r>
      <mc:AlternateContent>
        <mc:Choice Requires="wps">
          <w:drawing>
            <wp:anchor behindDoc="1" distT="72390" distB="0" distL="0" distR="13335" simplePos="0" locked="0" layoutInCell="1" allowOverlap="1" relativeHeight="28">
              <wp:simplePos x="0" y="0"/>
              <wp:positionH relativeFrom="page">
                <wp:align>center</wp:align>
              </wp:positionH>
              <wp:positionV relativeFrom="page">
                <wp:align>bottom</wp:align>
              </wp:positionV>
              <wp:extent cx="920115" cy="336550"/>
              <wp:effectExtent l="0" t="0" r="0" b="0"/>
              <wp:wrapNone/>
              <wp:docPr id="9" name="Frame5"/>
              <a:graphic xmlns:a="http://schemas.openxmlformats.org/drawingml/2006/main">
                <a:graphicData uri="http://schemas.microsoft.com/office/word/2010/wordprocessingShape">
                  <wps:wsp>
                    <wps:cNvSpPr txBox="1"/>
                    <wps:spPr>
                      <a:xfrm>
                        <a:off x="0" y="0"/>
                        <a:ext cx="920115" cy="336550"/>
                      </a:xfrm>
                      <a:prstGeom prst="rect"/>
                      <a:solidFill>
                        <a:srgbClr val="FFFFFF"/>
                      </a:solidFill>
                    </wps:spPr>
                    <wps:txbx>
                      <w:txbxContent>
                        <w:p>
                          <w:pPr>
                            <w:pStyle w:val="FrameContents"/>
                            <w:rPr>
                              <w:rFonts w:ascii="Aptos" w:hAnsi="Aptos" w:eastAsia="Aptos" w:cs="Aptos"/>
                              <w:color w:val="000000"/>
                              <w:sz w:val="20"/>
                              <w:szCs w:val="20"/>
                            </w:rPr>
                          </w:pPr>
                          <w:r>
                            <w:rPr>
                              <w:rFonts w:eastAsia="Aptos" w:cs="Aptos" w:ascii="Aptos" w:hAnsi="Aptos"/>
                              <w:color w:val="000000"/>
                              <w:sz w:val="20"/>
                              <w:szCs w:val="20"/>
                            </w:rPr>
                            <w:t>Official Sensitive</w:t>
                          </w:r>
                        </w:p>
                      </w:txbxContent>
                    </wps:txbx>
                    <wps:bodyPr anchor="t" lIns="635" tIns="635" rIns="635" bIns="191135">
                      <a:noAutofit/>
                    </wps:bodyPr>
                  </wps:wsp>
                </a:graphicData>
              </a:graphic>
            </wp:anchor>
          </w:drawing>
        </mc:Choice>
        <mc:Fallback>
          <w:pict>
            <v:rect fillcolor="#FFFFFF" style="position:absolute;rotation:0;width:72.45pt;height:26.5pt;mso-wrap-distance-left:0pt;mso-wrap-distance-right:1.05pt;mso-wrap-distance-top:5.7pt;mso-wrap-distance-bottom:0pt;margin-top:815.4pt;mso-position-vertical:bottom;mso-position-vertical-relative:page;margin-left:261.45pt;mso-position-horizontal:center;mso-position-horizontal-relative:page">
              <v:textbox inset="0.000694444444444444in,0.000694444444444444in,0.000694444444444444in,0.209027777777778in">
                <w:txbxContent>
                  <w:p>
                    <w:pPr>
                      <w:pStyle w:val="FrameContents"/>
                      <w:rPr>
                        <w:rFonts w:ascii="Aptos" w:hAnsi="Aptos" w:eastAsia="Aptos" w:cs="Aptos"/>
                        <w:color w:val="000000"/>
                        <w:sz w:val="20"/>
                        <w:szCs w:val="20"/>
                      </w:rPr>
                    </w:pPr>
                    <w:r>
                      <w:rPr>
                        <w:rFonts w:eastAsia="Aptos" w:cs="Aptos" w:ascii="Aptos" w:hAnsi="Aptos"/>
                        <w:color w:val="000000"/>
                        <w:sz w:val="20"/>
                        <w:szCs w:val="20"/>
                      </w:rPr>
                      <w:t>Official Sensitive</w:t>
                    </w:r>
                  </w:p>
                </w:txbxContent>
              </v:textbox>
            </v:rect>
          </w:pict>
        </mc:Fallback>
      </mc:AlternateContent>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mc:AlternateContent>
        <mc:Choice Requires="wps">
          <w:drawing>
            <wp:anchor behindDoc="1" distT="0" distB="0" distL="114935" distR="114935" simplePos="0" locked="0" layoutInCell="1" allowOverlap="1" relativeHeight="3">
              <wp:simplePos x="0" y="0"/>
              <wp:positionH relativeFrom="page">
                <wp:align>center</wp:align>
              </wp:positionH>
              <wp:positionV relativeFrom="page">
                <wp:align>bottom</wp:align>
              </wp:positionV>
              <wp:extent cx="920750" cy="527050"/>
              <wp:effectExtent l="0" t="0" r="0" b="0"/>
              <wp:wrapNone/>
              <wp:docPr id="10" name=""/>
              <a:graphic xmlns:a="http://schemas.openxmlformats.org/drawingml/2006/main">
                <a:graphicData uri="http://schemas.microsoft.com/office/word/2010/wordprocessingShape">
                  <wps:wsp>
                    <wps:cNvSpPr txBox="1"/>
                    <wps:spPr>
                      <a:xfrm>
                        <a:off x="0" y="0"/>
                        <a:ext cx="920160" cy="526320"/>
                      </a:xfrm>
                      <a:prstGeom prst="rect">
                        <a:avLst/>
                      </a:prstGeom>
                      <a:noFill/>
                      <a:ln>
                        <a:noFill/>
                      </a:ln>
                    </wps:spPr>
                    <wps:bodyPr/>
                  </wps:wsp>
                </a:graphicData>
              </a:graphic>
            </wp:anchor>
          </w:drawing>
        </mc:Choice>
        <mc:Fallback>
          <w:pict>
            <v:shape id="shape_0" stroked="f" style="position:absolute;margin-left:261.4pt;margin-top:800.4pt;width:72.4pt;height:41.4pt;mso-position-horizontal:center;mso-position-horizontal-relative:page;mso-position-vertical:bottom;mso-position-vertical-relative:page" type="shapetype_202">
              <v:textbox>
                <w:txbxContent>
                  <w:p>
                    <w:pPr>
                      <w:overflowPunct w:val="false"/>
                      <w:spacing w:lineRule="auto" w:line="240"/>
                      <w:rPr/>
                    </w:pPr>
                    <w:r>
                      <w:rPr>
                        <w:kern w:val="2"/>
                        <w:rFonts w:ascii="Liberation Serif" w:hAnsi="Liberation Serif" w:eastAsia="NSimSun" w:cs="Lucida Sans"/>
                        <w:lang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0" distL="0" distR="13335" simplePos="0" locked="0" layoutInCell="1" allowOverlap="1" relativeHeight="30">
              <wp:simplePos x="0" y="0"/>
              <wp:positionH relativeFrom="page">
                <wp:align>center</wp:align>
              </wp:positionH>
              <wp:positionV relativeFrom="page">
                <wp:align>bottom</wp:align>
              </wp:positionV>
              <wp:extent cx="920115" cy="336550"/>
              <wp:effectExtent l="0" t="0" r="0" b="0"/>
              <wp:wrapNone/>
              <wp:docPr id="11" name="Frame3"/>
              <a:graphic xmlns:a="http://schemas.openxmlformats.org/drawingml/2006/main">
                <a:graphicData uri="http://schemas.microsoft.com/office/word/2010/wordprocessingShape">
                  <wps:wsp>
                    <wps:cNvSpPr txBox="1"/>
                    <wps:spPr>
                      <a:xfrm>
                        <a:off x="0" y="0"/>
                        <a:ext cx="920115" cy="336550"/>
                      </a:xfrm>
                      <a:prstGeom prst="rect"/>
                      <a:solidFill>
                        <a:srgbClr val="FFFFFF"/>
                      </a:solidFill>
                    </wps:spPr>
                    <wps:txbx>
                      <w:txbxContent>
                        <w:p>
                          <w:pPr>
                            <w:pStyle w:val="FrameContents"/>
                            <w:rPr>
                              <w:rFonts w:ascii="Aptos" w:hAnsi="Aptos" w:eastAsia="Aptos" w:cs="Aptos"/>
                              <w:color w:val="000000"/>
                              <w:sz w:val="20"/>
                              <w:szCs w:val="20"/>
                            </w:rPr>
                          </w:pPr>
                          <w:r>
                            <w:rPr>
                              <w:rFonts w:eastAsia="Aptos" w:cs="Aptos" w:ascii="Aptos" w:hAnsi="Aptos"/>
                              <w:color w:val="000000"/>
                              <w:sz w:val="20"/>
                              <w:szCs w:val="20"/>
                            </w:rPr>
                            <w:t>Official Sensitive</w:t>
                          </w:r>
                        </w:p>
                      </w:txbxContent>
                    </wps:txbx>
                    <wps:bodyPr anchor="t" lIns="635" tIns="635" rIns="635" bIns="191135">
                      <a:noAutofit/>
                    </wps:bodyPr>
                  </wps:wsp>
                </a:graphicData>
              </a:graphic>
            </wp:anchor>
          </w:drawing>
        </mc:Choice>
        <mc:Fallback>
          <w:pict>
            <v:rect fillcolor="#FFFFFF" style="position:absolute;rotation:0;width:72.45pt;height:26.5pt;mso-wrap-distance-left:0pt;mso-wrap-distance-right:1.05pt;mso-wrap-distance-top:5.7pt;mso-wrap-distance-bottom:0pt;margin-top:815.4pt;mso-position-vertical:bottom;mso-position-vertical-relative:page;margin-left:261.45pt;mso-position-horizontal:center;mso-position-horizontal-relative:page">
              <v:textbox inset="0.000694444444444444in,0.000694444444444444in,0.000694444444444444in,0.209027777777778in">
                <w:txbxContent>
                  <w:p>
                    <w:pPr>
                      <w:pStyle w:val="FrameContents"/>
                      <w:rPr>
                        <w:rFonts w:ascii="Aptos" w:hAnsi="Aptos" w:eastAsia="Aptos" w:cs="Aptos"/>
                        <w:color w:val="000000"/>
                        <w:sz w:val="20"/>
                        <w:szCs w:val="20"/>
                      </w:rPr>
                    </w:pPr>
                    <w:r>
                      <w:rPr>
                        <w:rFonts w:eastAsia="Aptos" w:cs="Aptos" w:ascii="Aptos" w:hAnsi="Aptos"/>
                        <w:color w:val="000000"/>
                        <w:sz w:val="20"/>
                        <w:szCs w:val="20"/>
                      </w:rPr>
                      <w:t>Official Sensitive</w:t>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114935" distR="114935" simplePos="0" locked="0" layoutInCell="1" allowOverlap="1" relativeHeight="16">
              <wp:simplePos x="0" y="0"/>
              <wp:positionH relativeFrom="page">
                <wp:align>center</wp:align>
              </wp:positionH>
              <wp:positionV relativeFrom="page">
                <wp:align>top</wp:align>
              </wp:positionV>
              <wp:extent cx="920750" cy="527050"/>
              <wp:effectExtent l="0" t="0" r="0" b="0"/>
              <wp:wrapNone/>
              <wp:docPr id="4" name=""/>
              <a:graphic xmlns:a="http://schemas.openxmlformats.org/drawingml/2006/main">
                <a:graphicData uri="http://schemas.microsoft.com/office/word/2010/wordprocessingShape">
                  <wps:wsp>
                    <wps:cNvSpPr txBox="1"/>
                    <wps:spPr>
                      <a:xfrm>
                        <a:off x="0" y="0"/>
                        <a:ext cx="920160" cy="52632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261.4pt;margin-top:0pt;width:72.4pt;height:41.4pt;mso-position-horizontal:center;mso-position-horizontal-relative:page;mso-position-vertical:top;mso-position-vertical-relative:page" type="shapetype_202">
              <v:textbox>
                <w:txbxContent>
                  <w:p>
                    <w:pPr>
                      <w:overflowPunct w:val="false"/>
                      <w:spacing w:lineRule="auto" w:line="240"/>
                      <w:rPr/>
                    </w:pPr>
                    <w:r>
                      <w:rPr>
                        <w:kern w:val="2"/>
                        <w:rFonts w:ascii="Liberation Serif" w:hAnsi="Liberation Serif" w:eastAsia="NSimSun" w:cs="Lucida Sans"/>
                        <w:lang w:eastAsia="zh-CN" w:bidi="hi-IN"/>
                      </w:rPr>
                    </w:r>
                  </w:p>
                </w:txbxContent>
              </v:textbox>
              <w10:wrap type="none"/>
              <v:fill o:detectmouseclick="t" on="false"/>
              <v:stroke color="#3465a4" joinstyle="round" endcap="flat"/>
            </v:shape>
          </w:pict>
        </mc:Fallback>
      </mc:AlternateContent>
    </w:r>
    <w:r>
      <mc:AlternateContent>
        <mc:Choice Requires="wps">
          <w:drawing>
            <wp:anchor behindDoc="1" distT="0" distB="72390" distL="0" distR="13335" simplePos="0" locked="0" layoutInCell="1" allowOverlap="1" relativeHeight="22">
              <wp:simplePos x="0" y="0"/>
              <wp:positionH relativeFrom="page">
                <wp:align>center</wp:align>
              </wp:positionH>
              <wp:positionV relativeFrom="page">
                <wp:align>top</wp:align>
              </wp:positionV>
              <wp:extent cx="920115" cy="336550"/>
              <wp:effectExtent l="0" t="0" r="0" b="0"/>
              <wp:wrapNone/>
              <wp:docPr id="5" name="Frame6"/>
              <a:graphic xmlns:a="http://schemas.openxmlformats.org/drawingml/2006/main">
                <a:graphicData uri="http://schemas.microsoft.com/office/word/2010/wordprocessingShape">
                  <wps:wsp>
                    <wps:cNvSpPr txBox="1"/>
                    <wps:spPr>
                      <a:xfrm>
                        <a:off x="0" y="0"/>
                        <a:ext cx="920115" cy="336550"/>
                      </a:xfrm>
                      <a:prstGeom prst="rect"/>
                      <a:solidFill>
                        <a:srgbClr val="FFFFFF">
                          <a:alpha val="0"/>
                        </a:srgbClr>
                      </a:solidFill>
                    </wps:spPr>
                    <wps:txbx>
                      <w:txbxContent>
                        <w:p>
                          <w:pPr>
                            <w:pStyle w:val="FrameContents"/>
                            <w:rPr>
                              <w:rFonts w:ascii="Aptos" w:hAnsi="Aptos" w:eastAsia="Aptos" w:cs="Aptos"/>
                              <w:color w:val="000000"/>
                              <w:sz w:val="20"/>
                              <w:szCs w:val="20"/>
                            </w:rPr>
                          </w:pPr>
                          <w:r>
                            <w:rPr>
                              <w:rFonts w:eastAsia="Aptos" w:cs="Aptos" w:ascii="Aptos" w:hAnsi="Aptos"/>
                              <w:color w:val="000000"/>
                              <w:sz w:val="20"/>
                              <w:szCs w:val="20"/>
                            </w:rPr>
                            <w:t>Official Sensitive</w:t>
                          </w:r>
                        </w:p>
                      </w:txbxContent>
                    </wps:txbx>
                    <wps:bodyPr anchor="t" lIns="635" tIns="191135" rIns="635" bIns="635">
                      <a:noAutofit/>
                    </wps:bodyPr>
                  </wps:wsp>
                </a:graphicData>
              </a:graphic>
            </wp:anchor>
          </w:drawing>
        </mc:Choice>
        <mc:Fallback>
          <w:pict>
            <v:rect fillcolor="#FFFFFF" style="position:absolute;rotation:0;width:72.45pt;height:26.5pt;mso-wrap-distance-left:0pt;mso-wrap-distance-right:1.05pt;mso-wrap-distance-top:0pt;mso-wrap-distance-bottom:5.7pt;margin-top:0pt;mso-position-vertical:top;mso-position-vertical-relative:page;margin-left:261.45pt;mso-position-horizontal:center;mso-position-horizontal-relative:page">
              <v:fill opacity="0f"/>
              <v:textbox inset="0.000694444444444444in,0.209027777777778in,0.000694444444444444in,0.000694444444444444in">
                <w:txbxContent>
                  <w:p>
                    <w:pPr>
                      <w:pStyle w:val="FrameContents"/>
                      <w:rPr>
                        <w:rFonts w:ascii="Aptos" w:hAnsi="Aptos" w:eastAsia="Aptos" w:cs="Aptos"/>
                        <w:color w:val="000000"/>
                        <w:sz w:val="20"/>
                        <w:szCs w:val="20"/>
                      </w:rPr>
                    </w:pPr>
                    <w:r>
                      <w:rPr>
                        <w:rFonts w:eastAsia="Aptos" w:cs="Aptos" w:ascii="Aptos" w:hAnsi="Aptos"/>
                        <w:color w:val="000000"/>
                        <w:sz w:val="20"/>
                        <w:szCs w:val="20"/>
                      </w:rPr>
                      <w:t>Official Sensitive</w:t>
                    </w:r>
                  </w:p>
                </w:txbxContent>
              </v:textbox>
            </v:rect>
          </w:pict>
        </mc:Fallback>
      </mc:AlternateContent>
    </w:r>
  </w:p>
  <w:p>
    <w:pPr>
      <w:pStyle w:val="Header"/>
      <w:rPr/>
    </w:pPr>
    <w:r>
      <w:rPr/>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114935" distR="114935" simplePos="0" locked="0" layoutInCell="1" allowOverlap="1" relativeHeight="4">
              <wp:simplePos x="0" y="0"/>
              <wp:positionH relativeFrom="page">
                <wp:align>center</wp:align>
              </wp:positionH>
              <wp:positionV relativeFrom="page">
                <wp:align>top</wp:align>
              </wp:positionV>
              <wp:extent cx="920750" cy="527050"/>
              <wp:effectExtent l="0" t="0" r="0" b="0"/>
              <wp:wrapNone/>
              <wp:docPr id="6" name=""/>
              <a:graphic xmlns:a="http://schemas.openxmlformats.org/drawingml/2006/main">
                <a:graphicData uri="http://schemas.microsoft.com/office/word/2010/wordprocessingShape">
                  <wps:wsp>
                    <wps:cNvSpPr txBox="1"/>
                    <wps:spPr>
                      <a:xfrm>
                        <a:off x="0" y="0"/>
                        <a:ext cx="920160" cy="526320"/>
                      </a:xfrm>
                      <a:prstGeom prst="rect">
                        <a:avLst/>
                      </a:prstGeom>
                      <a:noFill/>
                      <a:ln>
                        <a:noFill/>
                      </a:ln>
                    </wps:spPr>
                    <wps:bodyPr/>
                  </wps:wsp>
                </a:graphicData>
              </a:graphic>
            </wp:anchor>
          </w:drawing>
        </mc:Choice>
        <mc:Fallback>
          <w:pict>
            <v:shape id="shape_0" stroked="f" style="position:absolute;margin-left:261.4pt;margin-top:0pt;width:72.4pt;height:41.4pt;mso-position-horizontal:center;mso-position-horizontal-relative:page;mso-position-vertical:top;mso-position-vertical-relative:page" type="shapetype_202">
              <v:textbox>
                <w:txbxContent>
                  <w:p>
                    <w:pPr>
                      <w:overflowPunct w:val="false"/>
                      <w:spacing w:lineRule="auto" w:line="240"/>
                      <w:rPr/>
                    </w:pPr>
                    <w:r>
                      <w:rPr>
                        <w:kern w:val="2"/>
                        <w:rFonts w:ascii="Liberation Serif" w:hAnsi="Liberation Serif" w:eastAsia="NSimSun" w:cs="Lucida Sans"/>
                        <w:lang w:eastAsia="zh-CN" w:bidi="hi-IN"/>
                      </w:rPr>
                    </w:r>
                  </w:p>
                </w:txbxContent>
              </v:textbox>
              <w10:wrap type="none"/>
              <v:fill o:detectmouseclick="t" on="false"/>
              <v:stroke color="#3465a4" joinstyle="round" endcap="flat"/>
            </v:shape>
          </w:pict>
        </mc:Fallback>
      </mc:AlternateContent>
    </w:r>
    <w:r>
      <mc:AlternateContent>
        <mc:Choice Requires="wps">
          <w:drawing>
            <wp:anchor behindDoc="1" distT="0" distB="72390" distL="0" distR="13335" simplePos="0" locked="0" layoutInCell="1" allowOverlap="1" relativeHeight="29">
              <wp:simplePos x="0" y="0"/>
              <wp:positionH relativeFrom="page">
                <wp:align>center</wp:align>
              </wp:positionH>
              <wp:positionV relativeFrom="page">
                <wp:align>top</wp:align>
              </wp:positionV>
              <wp:extent cx="920115" cy="336550"/>
              <wp:effectExtent l="0" t="0" r="0" b="0"/>
              <wp:wrapNone/>
              <wp:docPr id="7" name="Frame4"/>
              <a:graphic xmlns:a="http://schemas.openxmlformats.org/drawingml/2006/main">
                <a:graphicData uri="http://schemas.microsoft.com/office/word/2010/wordprocessingShape">
                  <wps:wsp>
                    <wps:cNvSpPr txBox="1"/>
                    <wps:spPr>
                      <a:xfrm>
                        <a:off x="0" y="0"/>
                        <a:ext cx="920115" cy="336550"/>
                      </a:xfrm>
                      <a:prstGeom prst="rect"/>
                      <a:solidFill>
                        <a:srgbClr val="FFFFFF">
                          <a:alpha val="0"/>
                        </a:srgbClr>
                      </a:solidFill>
                    </wps:spPr>
                    <wps:txbx>
                      <w:txbxContent>
                        <w:p>
                          <w:pPr>
                            <w:pStyle w:val="FrameContents"/>
                            <w:rPr>
                              <w:rFonts w:ascii="Aptos" w:hAnsi="Aptos" w:eastAsia="Aptos" w:cs="Aptos"/>
                              <w:color w:val="000000"/>
                              <w:sz w:val="20"/>
                              <w:szCs w:val="20"/>
                            </w:rPr>
                          </w:pPr>
                          <w:r>
                            <w:rPr>
                              <w:rFonts w:eastAsia="Aptos" w:cs="Aptos" w:ascii="Aptos" w:hAnsi="Aptos"/>
                              <w:color w:val="000000"/>
                              <w:sz w:val="20"/>
                              <w:szCs w:val="20"/>
                            </w:rPr>
                            <w:t>Official Sensitive</w:t>
                          </w:r>
                        </w:p>
                      </w:txbxContent>
                    </wps:txbx>
                    <wps:bodyPr anchor="t" lIns="635" tIns="191135" rIns="635" bIns="635">
                      <a:noAutofit/>
                    </wps:bodyPr>
                  </wps:wsp>
                </a:graphicData>
              </a:graphic>
            </wp:anchor>
          </w:drawing>
        </mc:Choice>
        <mc:Fallback>
          <w:pict>
            <v:rect fillcolor="#FFFFFF" style="position:absolute;rotation:0;width:72.45pt;height:26.5pt;mso-wrap-distance-left:0pt;mso-wrap-distance-right:1.05pt;mso-wrap-distance-top:0pt;mso-wrap-distance-bottom:5.7pt;margin-top:0pt;mso-position-vertical:top;mso-position-vertical-relative:page;margin-left:261.45pt;mso-position-horizontal:center;mso-position-horizontal-relative:page">
              <v:fill opacity="0f"/>
              <v:textbox inset="0.000694444444444444in,0.209027777777778in,0.000694444444444444in,0.000694444444444444in">
                <w:txbxContent>
                  <w:p>
                    <w:pPr>
                      <w:pStyle w:val="FrameContents"/>
                      <w:rPr>
                        <w:rFonts w:ascii="Aptos" w:hAnsi="Aptos" w:eastAsia="Aptos" w:cs="Aptos"/>
                        <w:color w:val="000000"/>
                        <w:sz w:val="20"/>
                        <w:szCs w:val="20"/>
                      </w:rPr>
                    </w:pPr>
                    <w:r>
                      <w:rPr>
                        <w:rFonts w:eastAsia="Aptos" w:cs="Aptos" w:ascii="Aptos" w:hAnsi="Aptos"/>
                        <w:color w:val="000000"/>
                        <w:sz w:val="20"/>
                        <w:szCs w:val="20"/>
                      </w:rPr>
                      <w:t>Official Sensitive</w:t>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1024" w:hanging="360"/>
      </w:pPr>
      <w:rPr>
        <w:rFonts w:ascii="Symbol" w:hAnsi="Symbol" w:cs="Symbol" w:hint="default"/>
        <w:rFonts w:cs="Symbol"/>
      </w:rPr>
    </w:lvl>
    <w:lvl w:ilvl="1">
      <w:start w:val="1"/>
      <w:numFmt w:val="bullet"/>
      <w:lvlText w:val="o"/>
      <w:lvlJc w:val="left"/>
      <w:pPr>
        <w:ind w:left="1744" w:hanging="360"/>
      </w:pPr>
      <w:rPr>
        <w:rFonts w:ascii="Courier New" w:hAnsi="Courier New" w:cs="Courier New" w:hint="default"/>
        <w:rFonts w:cs="Courier New"/>
      </w:rPr>
    </w:lvl>
    <w:lvl w:ilvl="2">
      <w:start w:val="1"/>
      <w:numFmt w:val="bullet"/>
      <w:lvlText w:val=""/>
      <w:lvlJc w:val="left"/>
      <w:pPr>
        <w:ind w:left="2464" w:hanging="360"/>
      </w:pPr>
      <w:rPr>
        <w:rFonts w:ascii="Wingdings" w:hAnsi="Wingdings" w:cs="Wingdings" w:hint="default"/>
        <w:rFonts w:cs="Wingdings"/>
      </w:rPr>
    </w:lvl>
    <w:lvl w:ilvl="3">
      <w:start w:val="1"/>
      <w:numFmt w:val="bullet"/>
      <w:lvlText w:val=""/>
      <w:lvlJc w:val="left"/>
      <w:pPr>
        <w:ind w:left="3184" w:hanging="360"/>
      </w:pPr>
      <w:rPr>
        <w:rFonts w:ascii="Symbol" w:hAnsi="Symbol" w:cs="Symbol" w:hint="default"/>
        <w:rFonts w:cs="Symbol"/>
      </w:rPr>
    </w:lvl>
    <w:lvl w:ilvl="4">
      <w:start w:val="1"/>
      <w:numFmt w:val="bullet"/>
      <w:lvlText w:val="o"/>
      <w:lvlJc w:val="left"/>
      <w:pPr>
        <w:ind w:left="3904" w:hanging="360"/>
      </w:pPr>
      <w:rPr>
        <w:rFonts w:ascii="Courier New" w:hAnsi="Courier New" w:cs="Courier New" w:hint="default"/>
        <w:rFonts w:cs="Courier New"/>
      </w:rPr>
    </w:lvl>
    <w:lvl w:ilvl="5">
      <w:start w:val="1"/>
      <w:numFmt w:val="bullet"/>
      <w:lvlText w:val=""/>
      <w:lvlJc w:val="left"/>
      <w:pPr>
        <w:ind w:left="4624" w:hanging="360"/>
      </w:pPr>
      <w:rPr>
        <w:rFonts w:ascii="Wingdings" w:hAnsi="Wingdings" w:cs="Wingdings" w:hint="default"/>
        <w:rFonts w:cs="Wingdings"/>
      </w:rPr>
    </w:lvl>
    <w:lvl w:ilvl="6">
      <w:start w:val="1"/>
      <w:numFmt w:val="bullet"/>
      <w:lvlText w:val=""/>
      <w:lvlJc w:val="left"/>
      <w:pPr>
        <w:ind w:left="5344" w:hanging="360"/>
      </w:pPr>
      <w:rPr>
        <w:rFonts w:ascii="Symbol" w:hAnsi="Symbol" w:cs="Symbol" w:hint="default"/>
        <w:rFonts w:cs="Symbol"/>
      </w:rPr>
    </w:lvl>
    <w:lvl w:ilvl="7">
      <w:start w:val="1"/>
      <w:numFmt w:val="bullet"/>
      <w:lvlText w:val="o"/>
      <w:lvlJc w:val="left"/>
      <w:pPr>
        <w:ind w:left="6064" w:hanging="360"/>
      </w:pPr>
      <w:rPr>
        <w:rFonts w:ascii="Courier New" w:hAnsi="Courier New" w:cs="Courier New" w:hint="default"/>
        <w:rFonts w:cs="Courier New"/>
      </w:rPr>
    </w:lvl>
    <w:lvl w:ilvl="8">
      <w:start w:val="1"/>
      <w:numFmt w:val="bullet"/>
      <w:lvlText w:val=""/>
      <w:lvlJc w:val="left"/>
      <w:pPr>
        <w:ind w:left="6784"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
      <w:lvlJc w:val="left"/>
      <w:pPr>
        <w:ind w:left="1800" w:hanging="720"/>
      </w:pPr>
      <w:rPr>
        <w:rFonts w:ascii="Times New Roman" w:hAnsi="Times New Roman" w:cs="Times New Roman" w:hint="default"/>
        <w:rFonts w:cs="Times New Roman"/>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pBdr/>
      <w:suppressAutoHyphens w:val="true"/>
      <w:bidi w:val="0"/>
      <w:spacing w:lineRule="auto" w:line="240" w:before="0" w:after="0"/>
      <w:jc w:val="left"/>
    </w:pPr>
    <w:rPr>
      <w:rFonts w:ascii="Times New Roman" w:hAnsi="Times New Roman" w:eastAsia="Arial Unicode MS" w:cs="Times New Roman"/>
      <w:color w:val="auto"/>
      <w:kern w:val="0"/>
      <w:sz w:val="24"/>
      <w:szCs w:val="24"/>
      <w:lang w:val="en-US"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mbria" w:hAnsi="Cambria" w:eastAsia="ＭＳ ゴシック" w:cs="Times New Roman"/>
      <w:b/>
      <w:bCs/>
      <w:color w:val="365F91"/>
      <w:sz w:val="28"/>
      <w:szCs w:val="28"/>
    </w:rPr>
  </w:style>
  <w:style w:type="paragraph" w:styleId="Heading2">
    <w:name w:val="Heading 2"/>
    <w:basedOn w:val="Normal"/>
    <w:next w:val="Normal"/>
    <w:qFormat/>
    <w:pPr>
      <w:keepNext w:val="true"/>
      <w:keepLines/>
      <w:numPr>
        <w:ilvl w:val="1"/>
        <w:numId w:val="1"/>
      </w:numPr>
      <w:spacing w:before="200" w:after="0"/>
      <w:outlineLvl w:val="1"/>
    </w:pPr>
    <w:rPr>
      <w:rFonts w:ascii="Cambria" w:hAnsi="Cambria" w:eastAsia="ＭＳ ゴシック" w:cs="Times New Roman"/>
      <w:b/>
      <w:bCs/>
      <w:color w:val="4F81BD"/>
      <w:sz w:val="26"/>
      <w:szCs w:val="26"/>
    </w:rPr>
  </w:style>
  <w:style w:type="paragraph" w:styleId="Heading3">
    <w:name w:val="Heading 3"/>
    <w:next w:val="Body"/>
    <w:qFormat/>
    <w:pPr>
      <w:keepNext w:val="true"/>
      <w:widowControl/>
      <w:numPr>
        <w:ilvl w:val="2"/>
        <w:numId w:val="1"/>
      </w:numPr>
      <w:pBdr/>
      <w:suppressAutoHyphens w:val="true"/>
      <w:bidi w:val="0"/>
      <w:spacing w:lineRule="auto" w:line="240" w:before="0" w:after="0"/>
      <w:jc w:val="left"/>
      <w:outlineLvl w:val="2"/>
    </w:pPr>
    <w:rPr>
      <w:rFonts w:ascii="Arial" w:hAnsi="Arial" w:eastAsia="Arial" w:cs="Arial"/>
      <w:b/>
      <w:bCs/>
      <w:color w:val="FFFFFF"/>
      <w:kern w:val="0"/>
      <w:sz w:val="24"/>
      <w:szCs w:val="24"/>
      <w:u w:val="none" w:color="FFFFFF"/>
      <w:lang w:val="en-US"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Times New Roman" w:hAnsi="Times New Roman" w:cs="Times New Roman"/>
    </w:rPr>
  </w:style>
  <w:style w:type="character" w:styleId="WW8Num2z2">
    <w:name w:val="WW8Num2z2"/>
    <w:qFormat/>
    <w:rPr>
      <w:rFonts w:ascii="Wingdings" w:hAnsi="Wingdings" w:cs="Wingdings"/>
    </w:rPr>
  </w:style>
  <w:style w:type="character" w:styleId="WW8Num2z4">
    <w:name w:val="WW8Num2z4"/>
    <w:qFormat/>
    <w:rPr>
      <w:rFonts w:ascii="Courier New" w:hAnsi="Courier New" w:cs="Courier New"/>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ing3Char">
    <w:name w:val="Heading 3 Char"/>
    <w:basedOn w:val="DefaultParagraphFont"/>
    <w:qFormat/>
    <w:rPr>
      <w:rFonts w:ascii="Arial" w:hAnsi="Arial" w:eastAsia="Arial" w:cs="Arial"/>
      <w:b/>
      <w:bCs/>
      <w:color w:val="FFFFFF"/>
      <w:sz w:val="24"/>
      <w:szCs w:val="24"/>
      <w:u w:val="none" w:color="FFFFFF"/>
      <w:lang w:val="en-US"/>
    </w:rPr>
  </w:style>
  <w:style w:type="character" w:styleId="HeaderChar">
    <w:name w:val="Header Char"/>
    <w:basedOn w:val="DefaultParagraphFont"/>
    <w:qFormat/>
    <w:rPr>
      <w:rFonts w:ascii="Arial" w:hAnsi="Arial" w:eastAsia="Arial" w:cs="Arial"/>
      <w:color w:val="000000"/>
      <w:u w:val="none" w:color="000000"/>
      <w:lang w:val="en-US"/>
    </w:rPr>
  </w:style>
  <w:style w:type="character" w:styleId="FooterChar">
    <w:name w:val="Footer Char"/>
    <w:basedOn w:val="DefaultParagraphFont"/>
    <w:qFormat/>
    <w:rPr>
      <w:rFonts w:ascii="Arial" w:hAnsi="Arial" w:eastAsia="Arial" w:cs="Arial"/>
      <w:color w:val="000000"/>
      <w:u w:val="none" w:color="000000"/>
      <w:lang w:val="en-US"/>
    </w:rPr>
  </w:style>
  <w:style w:type="character" w:styleId="Heading1Char">
    <w:name w:val="Heading 1 Char"/>
    <w:basedOn w:val="DefaultParagraphFont"/>
    <w:qFormat/>
    <w:rPr>
      <w:rFonts w:ascii="Cambria" w:hAnsi="Cambria" w:eastAsia="ＭＳ ゴシック" w:cs="Times New Roman"/>
      <w:b/>
      <w:bCs/>
      <w:color w:val="365F91"/>
      <w:sz w:val="28"/>
      <w:szCs w:val="28"/>
      <w:lang w:val="en-US"/>
    </w:rPr>
  </w:style>
  <w:style w:type="character" w:styleId="Heading2Char">
    <w:name w:val="Heading 2 Char"/>
    <w:basedOn w:val="DefaultParagraphFont"/>
    <w:qFormat/>
    <w:rPr>
      <w:rFonts w:ascii="Cambria" w:hAnsi="Cambria" w:eastAsia="ＭＳ ゴシック" w:cs="Times New Roman"/>
      <w:b/>
      <w:bCs/>
      <w:color w:val="4F81BD"/>
      <w:sz w:val="26"/>
      <w:szCs w:val="26"/>
      <w:lang w:val="en-US"/>
    </w:rPr>
  </w:style>
  <w:style w:type="character" w:styleId="BalloonTextChar">
    <w:name w:val="Balloon Text Char"/>
    <w:basedOn w:val="DefaultParagraphFont"/>
    <w:qFormat/>
    <w:rPr>
      <w:rFonts w:ascii="Tahoma" w:hAnsi="Tahoma" w:eastAsia="Arial Unicode MS" w:cs="Tahoma"/>
      <w:sz w:val="16"/>
      <w:szCs w:val="16"/>
      <w:lang w:val="en-US"/>
    </w:rPr>
  </w:style>
  <w:style w:type="character" w:styleId="PlainTextChar">
    <w:name w:val="Plain Text Char"/>
    <w:basedOn w:val="DefaultParagraphFont"/>
    <w:qFormat/>
    <w:rPr>
      <w:rFonts w:ascii="Courier New" w:hAnsi="Courier New" w:eastAsia="Times New Roman" w:cs="Times New Roman"/>
      <w:sz w:val="20"/>
      <w:szCs w:val="20"/>
    </w:rPr>
  </w:style>
  <w:style w:type="character" w:styleId="BodyTextChar">
    <w:name w:val="Body Text Char"/>
    <w:basedOn w:val="DefaultParagraphFont"/>
    <w:qFormat/>
    <w:rPr>
      <w:rFonts w:ascii="Arial" w:hAnsi="Arial" w:eastAsia="Times New Roman" w:cs="Times New Roman"/>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Arial Unicode MS" w:cs="Times New Roman"/>
      <w:sz w:val="20"/>
      <w:szCs w:val="20"/>
      <w:lang w:val="en-US"/>
    </w:rPr>
  </w:style>
  <w:style w:type="character" w:styleId="CommentSubjectChar">
    <w:name w:val="Comment Subject Char"/>
    <w:basedOn w:val="CommentTextChar"/>
    <w:qFormat/>
    <w:rPr>
      <w:rFonts w:ascii="Times New Roman" w:hAnsi="Times New Roman" w:eastAsia="Arial Unicode MS" w:cs="Times New Roman"/>
      <w:b/>
      <w:bCs/>
      <w:sz w:val="20"/>
      <w:szCs w:val="20"/>
      <w:lang w:val="en-US"/>
    </w:rPr>
  </w:style>
  <w:style w:type="character" w:styleId="BodyTextIndent3Char">
    <w:name w:val="Body Text Indent 3 Char"/>
    <w:basedOn w:val="DefaultParagraphFont"/>
    <w:qFormat/>
    <w:rPr>
      <w:rFonts w:ascii="Times New Roman" w:hAnsi="Times New Roman" w:eastAsia="Arial Unicode MS" w:cs="Times New Roman"/>
      <w:sz w:val="16"/>
      <w:szCs w:val="16"/>
      <w:lang w:val="en-US"/>
    </w:rPr>
  </w:style>
  <w:style w:type="character" w:styleId="Normaltextrun">
    <w:name w:val="normaltextrun"/>
    <w:basedOn w:val="DefaultParagraphFont"/>
    <w:qFormat/>
    <w:rPr/>
  </w:style>
  <w:style w:type="character" w:styleId="Eop">
    <w:name w:val="eop"/>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pBdr/>
      <w:snapToGrid w:val="false"/>
    </w:pPr>
    <w:rPr>
      <w:rFonts w:ascii="Arial" w:hAnsi="Arial" w:eastAsia="Times New Roman" w:cs="Arial"/>
      <w:szCs w:val="20"/>
      <w:lang w:val="en-G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pPr>
      <w:widowControl/>
      <w:pBdr/>
      <w:tabs>
        <w:tab w:val="clear" w:pos="720"/>
        <w:tab w:val="center" w:pos="4153" w:leader="none"/>
        <w:tab w:val="right" w:pos="8306" w:leader="none"/>
      </w:tabs>
      <w:suppressAutoHyphens w:val="true"/>
      <w:bidi w:val="0"/>
      <w:spacing w:lineRule="auto" w:line="240" w:before="0" w:after="0"/>
      <w:jc w:val="left"/>
    </w:pPr>
    <w:rPr>
      <w:rFonts w:ascii="Arial" w:hAnsi="Arial" w:eastAsia="Arial" w:cs="Arial"/>
      <w:color w:val="000000"/>
      <w:kern w:val="0"/>
      <w:sz w:val="24"/>
      <w:szCs w:val="22"/>
      <w:u w:val="none" w:color="000000"/>
      <w:lang w:val="en-US" w:eastAsia="en-US" w:bidi="ar-SA"/>
    </w:rPr>
  </w:style>
  <w:style w:type="paragraph" w:styleId="Footer">
    <w:name w:val="Footer"/>
    <w:pPr>
      <w:widowControl/>
      <w:pBdr/>
      <w:tabs>
        <w:tab w:val="clear" w:pos="720"/>
        <w:tab w:val="center" w:pos="4153" w:leader="none"/>
        <w:tab w:val="right" w:pos="8306" w:leader="none"/>
      </w:tabs>
      <w:suppressAutoHyphens w:val="true"/>
      <w:bidi w:val="0"/>
      <w:spacing w:lineRule="auto" w:line="240" w:before="0" w:after="0"/>
      <w:jc w:val="left"/>
    </w:pPr>
    <w:rPr>
      <w:rFonts w:ascii="Arial" w:hAnsi="Arial" w:eastAsia="Arial" w:cs="Arial"/>
      <w:color w:val="000000"/>
      <w:kern w:val="0"/>
      <w:sz w:val="24"/>
      <w:szCs w:val="22"/>
      <w:u w:val="none" w:color="000000"/>
      <w:lang w:val="en-US" w:eastAsia="en-US" w:bidi="ar-SA"/>
    </w:rPr>
  </w:style>
  <w:style w:type="paragraph" w:styleId="Body">
    <w:name w:val="Body"/>
    <w:qFormat/>
    <w:pPr>
      <w:widowControl/>
      <w:pBdr/>
      <w:suppressAutoHyphens w:val="true"/>
      <w:bidi w:val="0"/>
      <w:spacing w:lineRule="auto" w:line="240" w:before="0" w:after="0"/>
      <w:jc w:val="left"/>
    </w:pPr>
    <w:rPr>
      <w:rFonts w:ascii="Arial" w:hAnsi="Arial" w:eastAsia="Arial" w:cs="Arial"/>
      <w:color w:val="000000"/>
      <w:kern w:val="0"/>
      <w:sz w:val="24"/>
      <w:szCs w:val="22"/>
      <w:u w:val="none" w:color="000000"/>
      <w:lang w:val="en-GB" w:eastAsia="en-US" w:bidi="ar-SA"/>
    </w:rPr>
  </w:style>
  <w:style w:type="paragraph" w:styleId="ListParagraph">
    <w:name w:val="List Paragraph"/>
    <w:qFormat/>
    <w:pPr>
      <w:widowControl/>
      <w:pBdr/>
      <w:suppressAutoHyphens w:val="true"/>
      <w:bidi w:val="0"/>
      <w:spacing w:lineRule="auto" w:line="240" w:before="0" w:after="0"/>
      <w:ind w:left="720" w:right="0" w:hanging="0"/>
      <w:jc w:val="left"/>
    </w:pPr>
    <w:rPr>
      <w:rFonts w:ascii="Arial" w:hAnsi="Arial" w:eastAsia="Arial" w:cs="Arial"/>
      <w:color w:val="000000"/>
      <w:kern w:val="0"/>
      <w:sz w:val="24"/>
      <w:szCs w:val="22"/>
      <w:u w:val="none" w:color="000000"/>
      <w:lang w:val="en-US" w:eastAsia="en-US" w:bidi="ar-SA"/>
    </w:rPr>
  </w:style>
  <w:style w:type="paragraph" w:styleId="BalloonText">
    <w:name w:val="Balloon Text"/>
    <w:basedOn w:val="Normal"/>
    <w:qFormat/>
    <w:pPr/>
    <w:rPr>
      <w:rFonts w:ascii="Tahoma" w:hAnsi="Tahoma" w:cs="Tahoma"/>
      <w:sz w:val="16"/>
      <w:szCs w:val="16"/>
    </w:rPr>
  </w:style>
  <w:style w:type="paragraph" w:styleId="Default">
    <w:name w:val="Default"/>
    <w:qFormat/>
    <w:pPr>
      <w:widowControl/>
      <w:suppressAutoHyphens w:val="true"/>
      <w:bidi w:val="0"/>
      <w:spacing w:lineRule="auto" w:line="240" w:before="0" w:after="0"/>
      <w:jc w:val="left"/>
    </w:pPr>
    <w:rPr>
      <w:rFonts w:ascii="Verdana" w:hAnsi="Verdana" w:eastAsia="Times New Roman" w:cs="Verdana"/>
      <w:color w:val="000000"/>
      <w:kern w:val="0"/>
      <w:sz w:val="24"/>
      <w:szCs w:val="24"/>
      <w:lang w:val="en-GB" w:eastAsia="en-GB" w:bidi="ar-SA"/>
    </w:rPr>
  </w:style>
  <w:style w:type="paragraph" w:styleId="PlainText">
    <w:name w:val="Plain Text"/>
    <w:basedOn w:val="Normal"/>
    <w:qFormat/>
    <w:pPr>
      <w:pBdr/>
    </w:pPr>
    <w:rPr>
      <w:rFonts w:ascii="Courier New" w:hAnsi="Courier New" w:eastAsia="Times New Roman" w:cs="Courier New"/>
      <w:sz w:val="20"/>
      <w:szCs w:val="20"/>
      <w:lang w:val="en-GB"/>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BodyTextIndent3">
    <w:name w:val="Body Text Indent 3"/>
    <w:basedOn w:val="Normal"/>
    <w:qFormat/>
    <w:pPr>
      <w:spacing w:before="0" w:after="120"/>
      <w:ind w:left="283" w:right="0" w:hanging="0"/>
    </w:pPr>
    <w:rPr>
      <w:sz w:val="16"/>
      <w:szCs w:val="16"/>
    </w:rPr>
  </w:style>
  <w:style w:type="paragraph" w:styleId="Revision">
    <w:name w:val="Revision"/>
    <w:qFormat/>
    <w:pPr>
      <w:widowControl/>
      <w:suppressAutoHyphens w:val="true"/>
      <w:bidi w:val="0"/>
      <w:spacing w:lineRule="auto" w:line="240" w:before="0" w:after="0"/>
      <w:jc w:val="left"/>
    </w:pPr>
    <w:rPr>
      <w:rFonts w:ascii="Times New Roman" w:hAnsi="Times New Roman" w:eastAsia="Arial Unicode MS" w:cs="Times New Roman"/>
      <w:color w:val="auto"/>
      <w:kern w:val="0"/>
      <w:sz w:val="24"/>
      <w:szCs w:val="24"/>
      <w:lang w:val="en-US" w:eastAsia="en-US"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