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0" w:right="-761" w:hanging="709"/>
        <w:jc w:val="center"/>
        <w:rPr>
          <w:rFonts w:eastAsia="Calibri"/>
          <w:b/>
          <w:b/>
          <w:bCs/>
          <w:iCs/>
        </w:rPr>
      </w:pPr>
      <w:r>
        <w:rPr/>
        <w:drawing>
          <wp:inline distT="0" distB="0" distL="0" distR="0">
            <wp:extent cx="6330950" cy="5346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161" r="-15" b="-161"/>
                    <a:stretch>
                      <a:fillRect/>
                    </a:stretch>
                  </pic:blipFill>
                  <pic:spPr bwMode="auto">
                    <a:xfrm>
                      <a:off x="0" y="0"/>
                      <a:ext cx="6330950" cy="534670"/>
                    </a:xfrm>
                    <a:prstGeom prst="rect">
                      <a:avLst/>
                    </a:prstGeom>
                  </pic:spPr>
                </pic:pic>
              </a:graphicData>
            </a:graphic>
          </wp:inline>
        </w:drawing>
      </w:r>
    </w:p>
    <w:p>
      <w:pPr>
        <w:pStyle w:val="Body"/>
        <w:ind w:left="0" w:right="261" w:hanging="0"/>
        <w:jc w:val="center"/>
        <w:rPr>
          <w:rFonts w:eastAsia="Calibri"/>
          <w:b/>
          <w:b/>
          <w:bCs/>
          <w:iCs/>
        </w:rPr>
      </w:pPr>
      <w:r>
        <w:rPr>
          <w:rFonts w:eastAsia="Calibri"/>
          <w:b/>
          <w:bCs/>
          <w:iCs/>
        </w:rPr>
      </w:r>
    </w:p>
    <w:p>
      <w:pPr>
        <w:pStyle w:val="Body"/>
        <w:ind w:left="0" w:right="261" w:hanging="0"/>
        <w:jc w:val="center"/>
        <w:rPr>
          <w:b/>
          <w:b/>
          <w:sz w:val="36"/>
          <w:szCs w:val="36"/>
        </w:rPr>
      </w:pPr>
      <w:r>
        <w:rPr>
          <w:b/>
          <w:sz w:val="36"/>
          <w:szCs w:val="36"/>
        </w:rPr>
        <w:t xml:space="preserve">Incident Command Trainer </w:t>
      </w:r>
    </w:p>
    <w:p>
      <w:pPr>
        <w:pStyle w:val="Body"/>
        <w:ind w:left="0" w:right="261" w:hanging="0"/>
        <w:jc w:val="center"/>
        <w:rPr>
          <w:b/>
          <w:b/>
          <w:bCs/>
          <w:iCs/>
          <w:sz w:val="28"/>
          <w:szCs w:val="28"/>
        </w:rPr>
      </w:pPr>
      <w:r>
        <w:rPr>
          <w:b/>
          <w:bCs/>
          <w:iCs/>
          <w:sz w:val="28"/>
          <w:szCs w:val="28"/>
        </w:rPr>
        <w:t>Greater Manchester Combined Authority</w:t>
      </w:r>
    </w:p>
    <w:p>
      <w:pPr>
        <w:pStyle w:val="Body"/>
        <w:ind w:left="0" w:right="261" w:hanging="0"/>
        <w:rPr>
          <w:b/>
          <w:b/>
          <w:bCs/>
          <w:iCs/>
          <w:sz w:val="28"/>
          <w:szCs w:val="28"/>
        </w:rPr>
      </w:pPr>
      <w:r>
        <w:rPr>
          <w:b/>
          <w:bCs/>
          <w:iCs/>
          <w:sz w:val="28"/>
          <w:szCs w:val="28"/>
        </w:rPr>
      </w:r>
    </w:p>
    <w:p>
      <w:pPr>
        <w:pStyle w:val="Body"/>
        <w:ind w:left="0" w:right="261" w:hanging="0"/>
        <w:jc w:val="center"/>
        <w:rPr>
          <w:b/>
          <w:b/>
          <w:bCs/>
          <w:iCs/>
          <w:sz w:val="28"/>
          <w:szCs w:val="28"/>
        </w:rPr>
      </w:pPr>
      <w:r>
        <w:rPr>
          <w:b/>
          <w:bCs/>
          <w:iCs/>
          <w:sz w:val="28"/>
          <w:szCs w:val="28"/>
        </w:rPr>
        <w:t>Role Profile</w:t>
      </w:r>
    </w:p>
    <w:p>
      <w:pPr>
        <w:pStyle w:val="Body"/>
        <w:ind w:left="0" w:right="261" w:hanging="0"/>
        <w:jc w:val="both"/>
        <w:rPr>
          <w:rFonts w:eastAsia="Calibri"/>
          <w:b/>
          <w:b/>
          <w:bCs/>
          <w:iCs/>
        </w:rPr>
      </w:pPr>
      <w:r>
        <w:rPr>
          <w:rFonts w:eastAsia="Calibri"/>
          <w:b/>
          <w:bCs/>
          <w:iCs/>
        </w:rPr>
      </w:r>
    </w:p>
    <w:p>
      <w:pPr>
        <w:pStyle w:val="Body"/>
        <w:ind w:left="0" w:right="261" w:hanging="0"/>
        <w:jc w:val="both"/>
        <w:rPr>
          <w:rFonts w:eastAsia="Calibri"/>
          <w:b/>
          <w:b/>
          <w:bCs/>
          <w:iCs/>
        </w:rPr>
      </w:pPr>
      <w:r>
        <w:rPr>
          <w:rFonts w:eastAsia="Calibri"/>
          <w:b/>
          <w:bCs/>
          <w:iCs/>
        </w:rPr>
      </w:r>
    </w:p>
    <w:tbl>
      <w:tblPr>
        <w:tblW w:w="10366" w:type="dxa"/>
        <w:jc w:val="left"/>
        <w:tblInd w:w="-611" w:type="dxa"/>
        <w:tblCellMar>
          <w:top w:w="0" w:type="dxa"/>
          <w:left w:w="108" w:type="dxa"/>
          <w:bottom w:w="0" w:type="dxa"/>
          <w:right w:w="108" w:type="dxa"/>
        </w:tblCellMar>
      </w:tblPr>
      <w:tblGrid>
        <w:gridCol w:w="2127"/>
        <w:gridCol w:w="3091"/>
        <w:gridCol w:w="2310"/>
        <w:gridCol w:w="2838"/>
      </w:tblGrid>
      <w:tr>
        <w:trPr/>
        <w:tc>
          <w:tcPr>
            <w:tcW w:w="2127"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color w:val="auto"/>
              </w:rPr>
            </w:pPr>
            <w:r>
              <w:rPr>
                <w:rFonts w:eastAsia="Calibri"/>
                <w:b/>
                <w:bCs/>
                <w:iCs/>
                <w:color w:val="auto"/>
              </w:rPr>
              <w:t>Job Title:</w:t>
            </w:r>
          </w:p>
        </w:tc>
        <w:tc>
          <w:tcPr>
            <w:tcW w:w="3091"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Cs/>
                <w:iCs/>
                <w:color w:val="auto"/>
              </w:rPr>
            </w:pPr>
            <w:r>
              <w:rPr>
                <w:rFonts w:eastAsia="Calibri"/>
                <w:bCs/>
                <w:iCs/>
                <w:color w:val="auto"/>
              </w:rPr>
              <w:t xml:space="preserve">Incident Command Trainer </w:t>
            </w:r>
          </w:p>
        </w:tc>
        <w:tc>
          <w:tcPr>
            <w:tcW w:w="2310"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color w:val="auto"/>
              </w:rPr>
            </w:pPr>
            <w:r>
              <w:rPr>
                <w:rFonts w:eastAsia="Calibri"/>
                <w:b/>
                <w:bCs/>
                <w:iCs/>
                <w:color w:val="auto"/>
              </w:rPr>
              <w:t>Date:</w:t>
            </w:r>
          </w:p>
        </w:tc>
        <w:tc>
          <w:tcPr>
            <w:tcW w:w="2838"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spacing w:before="120" w:after="120"/>
              <w:ind w:left="0" w:right="261" w:hanging="0"/>
              <w:rPr>
                <w:rFonts w:eastAsia="Calibri"/>
                <w:bCs/>
                <w:iCs/>
                <w:color w:val="auto"/>
              </w:rPr>
            </w:pPr>
            <w:r>
              <w:rPr>
                <w:rFonts w:eastAsia="Calibri"/>
                <w:bCs/>
                <w:iCs/>
                <w:color w:val="auto"/>
              </w:rPr>
              <w:t>May 2023</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color w:val="auto"/>
              </w:rPr>
            </w:pPr>
            <w:r>
              <w:rPr>
                <w:rFonts w:eastAsia="Calibri"/>
                <w:b/>
                <w:bCs/>
                <w:iCs/>
                <w:color w:val="auto"/>
              </w:rPr>
              <w:t>Reporting Line:</w:t>
            </w:r>
          </w:p>
        </w:tc>
        <w:tc>
          <w:tcPr>
            <w:tcW w:w="3091"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Cs/>
                <w:iCs/>
                <w:color w:val="auto"/>
              </w:rPr>
            </w:pPr>
            <w:r>
              <w:rPr>
                <w:rFonts w:eastAsia="Calibri"/>
                <w:bCs/>
                <w:iCs/>
                <w:color w:val="auto"/>
              </w:rPr>
              <w:t>Incident Command Training Officer</w:t>
            </w:r>
          </w:p>
        </w:tc>
        <w:tc>
          <w:tcPr>
            <w:tcW w:w="2310"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color w:val="auto"/>
              </w:rPr>
            </w:pPr>
            <w:r>
              <w:rPr>
                <w:rFonts w:eastAsia="Calibri"/>
                <w:b/>
                <w:bCs/>
                <w:iCs/>
                <w:color w:val="auto"/>
              </w:rPr>
              <w:t>Salary:</w:t>
            </w:r>
          </w:p>
        </w:tc>
        <w:tc>
          <w:tcPr>
            <w:tcW w:w="2838"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spacing w:before="120" w:after="120"/>
              <w:ind w:left="0" w:right="261" w:hanging="0"/>
              <w:rPr>
                <w:rFonts w:eastAsia="Calibri"/>
                <w:bCs/>
                <w:iCs/>
                <w:color w:val="auto"/>
              </w:rPr>
            </w:pPr>
            <w:r>
              <w:rPr>
                <w:rFonts w:eastAsia="Calibri"/>
                <w:bCs/>
                <w:iCs/>
                <w:color w:val="auto"/>
              </w:rPr>
              <w:t xml:space="preserve">WMB </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color w:val="auto"/>
              </w:rPr>
            </w:pPr>
            <w:r>
              <w:rPr>
                <w:rFonts w:eastAsia="Calibri"/>
                <w:b/>
                <w:bCs/>
                <w:iCs/>
                <w:color w:val="auto"/>
              </w:rPr>
              <w:t>Team:</w:t>
            </w:r>
          </w:p>
        </w:tc>
        <w:tc>
          <w:tcPr>
            <w:tcW w:w="3091"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Cs/>
                <w:iCs/>
                <w:color w:val="auto"/>
              </w:rPr>
            </w:pPr>
            <w:r>
              <w:rPr>
                <w:rFonts w:eastAsia="Calibri"/>
                <w:bCs/>
                <w:iCs/>
                <w:color w:val="auto"/>
              </w:rPr>
              <w:t>Training Delivery Team</w:t>
            </w:r>
          </w:p>
        </w:tc>
        <w:tc>
          <w:tcPr>
            <w:tcW w:w="2310" w:type="dxa"/>
            <w:tcBorders>
              <w:top w:val="single" w:sz="4" w:space="0" w:color="000000"/>
              <w:left w:val="single" w:sz="4" w:space="0" w:color="000000"/>
              <w:bottom w:val="single" w:sz="4" w:space="0" w:color="000000"/>
            </w:tcBorders>
            <w:shd w:fill="auto" w:val="clear"/>
            <w:vAlign w:val="center"/>
          </w:tcPr>
          <w:p>
            <w:pPr>
              <w:pStyle w:val="Body"/>
              <w:spacing w:before="120" w:after="120"/>
              <w:ind w:left="0" w:right="261" w:hanging="0"/>
              <w:rPr>
                <w:rFonts w:eastAsia="Calibri"/>
                <w:b/>
                <w:b/>
                <w:bCs/>
                <w:iCs/>
                <w:color w:val="auto"/>
              </w:rPr>
            </w:pPr>
            <w:r>
              <w:rPr>
                <w:rFonts w:eastAsia="Calibri"/>
                <w:b/>
                <w:bCs/>
                <w:iCs/>
                <w:color w:val="auto"/>
              </w:rPr>
              <w:t>Business Area:</w:t>
            </w:r>
          </w:p>
        </w:tc>
        <w:tc>
          <w:tcPr>
            <w:tcW w:w="2838"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spacing w:before="120" w:after="120"/>
              <w:ind w:left="0" w:right="261" w:hanging="0"/>
              <w:rPr>
                <w:rFonts w:eastAsia="Calibri"/>
                <w:bCs/>
                <w:iCs/>
                <w:color w:val="auto"/>
              </w:rPr>
            </w:pPr>
            <w:r>
              <w:rPr>
                <w:rFonts w:eastAsia="Calibri"/>
                <w:bCs/>
                <w:iCs/>
                <w:color w:val="auto"/>
              </w:rPr>
              <w:t>Service Delivery</w:t>
            </w:r>
          </w:p>
        </w:tc>
      </w:tr>
    </w:tbl>
    <w:p>
      <w:pPr>
        <w:pStyle w:val="Body"/>
        <w:ind w:left="0" w:right="261" w:hanging="0"/>
        <w:jc w:val="both"/>
        <w:rPr>
          <w:rFonts w:eastAsia="Calibri"/>
          <w:b/>
          <w:b/>
          <w:bCs/>
          <w:iCs/>
        </w:rPr>
      </w:pPr>
      <w:r>
        <w:rPr>
          <w:rFonts w:eastAsia="Calibri"/>
          <w:b/>
          <w:bCs/>
          <w:iCs/>
        </w:rPr>
      </w:r>
    </w:p>
    <w:tbl>
      <w:tblPr>
        <w:tblW w:w="10386" w:type="dxa"/>
        <w:jc w:val="center"/>
        <w:tblInd w:w="0" w:type="dxa"/>
        <w:tblCellMar>
          <w:top w:w="80" w:type="dxa"/>
          <w:left w:w="80" w:type="dxa"/>
          <w:bottom w:w="80" w:type="dxa"/>
          <w:right w:w="80" w:type="dxa"/>
        </w:tblCellMar>
      </w:tblPr>
      <w:tblGrid>
        <w:gridCol w:w="10386"/>
      </w:tblGrid>
      <w:tr>
        <w:trPr>
          <w:trHeight w:val="180" w:hRule="atLeast"/>
        </w:trPr>
        <w:tc>
          <w:tcPr>
            <w:tcW w:w="10386" w:type="dxa"/>
            <w:tcBorders>
              <w:top w:val="single" w:sz="6" w:space="0" w:color="000000"/>
              <w:left w:val="single" w:sz="6" w:space="0" w:color="0000FF"/>
              <w:right w:val="single" w:sz="6" w:space="0" w:color="0000FF"/>
            </w:tcBorders>
            <w:shd w:fill="000000" w:val="clear"/>
            <w:vAlign w:val="center"/>
          </w:tcPr>
          <w:p>
            <w:pPr>
              <w:pStyle w:val="Heading3"/>
              <w:ind w:left="0" w:right="261" w:hanging="0"/>
              <w:rPr>
                <w:rFonts w:eastAsia="Calibri"/>
                <w:sz w:val="22"/>
                <w:szCs w:val="22"/>
                <w:lang w:val="en-GB"/>
              </w:rPr>
            </w:pPr>
            <w:r>
              <w:rPr>
                <w:rFonts w:eastAsia="Calibri"/>
                <w:sz w:val="22"/>
                <w:szCs w:val="22"/>
                <w:lang w:val="en-GB"/>
              </w:rPr>
              <w:t>JOB PURPOSE</w:t>
            </w:r>
          </w:p>
        </w:tc>
      </w:tr>
      <w:tr>
        <w:trPr>
          <w:trHeight w:val="793" w:hRule="atLeast"/>
        </w:trPr>
        <w:tc>
          <w:tcPr>
            <w:tcW w:w="10386" w:type="dxa"/>
            <w:tcBorders>
              <w:left w:val="single" w:sz="6" w:space="0" w:color="000000"/>
              <w:bottom w:val="single" w:sz="4" w:space="0" w:color="000000"/>
              <w:right w:val="single" w:sz="6" w:space="0" w:color="000000"/>
            </w:tcBorders>
            <w:shd w:fill="auto" w:val="clear"/>
            <w:vAlign w:val="center"/>
          </w:tcPr>
          <w:p>
            <w:pPr>
              <w:pStyle w:val="Normal"/>
              <w:jc w:val="both"/>
              <w:rPr>
                <w:rFonts w:ascii="Arial" w:hAnsi="Arial" w:cs="Arial"/>
                <w:sz w:val="22"/>
              </w:rPr>
            </w:pPr>
            <w:r>
              <w:rPr>
                <w:rFonts w:cs="Arial" w:ascii="Arial" w:hAnsi="Arial"/>
                <w:sz w:val="22"/>
              </w:rPr>
              <w:t>The purpose of the role is to deliver training and develop training programmes, to assess competence and provide development plans aimed primarily but not exclusively at GMFRS operational staff</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To assist in maintaining the competence of operational staff at a levels to ensures they can operate safely and competently at operational incidents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szCs w:val="22"/>
              </w:rPr>
            </w:pPr>
            <w:r>
              <w:rPr>
                <w:rFonts w:cs="Arial" w:ascii="Arial" w:hAnsi="Arial"/>
                <w:sz w:val="22"/>
                <w:szCs w:val="22"/>
              </w:rPr>
              <w:t>Review the effectiveness of incident command development simulations to ensure that it meets the needs of the learner and supports them in career progression, developing independence and achieving identified qualifications.</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rPr>
              <w:t>To provide quality assurance of the training and development programmes delivered</w:t>
            </w:r>
            <w:r>
              <w:rPr>
                <w:rFonts w:cs="Arial" w:ascii="Arial" w:hAnsi="Arial"/>
                <w:sz w:val="22"/>
                <w:szCs w:val="22"/>
              </w:rPr>
              <w:t>.</w:t>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76" w:type="dxa"/>
        <w:jc w:val="center"/>
        <w:tblInd w:w="0" w:type="dxa"/>
        <w:tblCellMar>
          <w:top w:w="80" w:type="dxa"/>
          <w:left w:w="80" w:type="dxa"/>
          <w:bottom w:w="80" w:type="dxa"/>
          <w:right w:w="80" w:type="dxa"/>
        </w:tblCellMar>
      </w:tblPr>
      <w:tblGrid>
        <w:gridCol w:w="10376"/>
      </w:tblGrid>
      <w:tr>
        <w:trPr>
          <w:trHeight w:val="180" w:hRule="atLeast"/>
        </w:trPr>
        <w:tc>
          <w:tcPr>
            <w:tcW w:w="10376"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0" w:right="261" w:hanging="0"/>
              <w:rPr>
                <w:b/>
                <w:b/>
                <w:bCs/>
                <w:color w:val="FFFFFF"/>
                <w:u w:val="none" w:color="FFFFFF"/>
              </w:rPr>
            </w:pPr>
            <w:r>
              <w:rPr>
                <w:b/>
                <w:bCs/>
                <w:color w:val="FFFFFF"/>
                <w:u w:val="none" w:color="FFFFFF"/>
              </w:rPr>
              <w:t>KEY RELATIONSHIPS</w:t>
            </w:r>
          </w:p>
        </w:tc>
      </w:tr>
      <w:tr>
        <w:trPr>
          <w:trHeight w:val="1201" w:hRule="atLeast"/>
        </w:trPr>
        <w:tc>
          <w:tcPr>
            <w:tcW w:w="10376"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snapToGrid w:val="false"/>
              <w:ind w:left="0" w:right="261" w:hanging="0"/>
              <w:rPr>
                <w:lang w:val="en-GB"/>
              </w:rPr>
            </w:pPr>
            <w:r>
              <w:rPr>
                <w:lang w:val="en-GB"/>
              </w:rPr>
            </w:r>
          </w:p>
          <w:p>
            <w:pPr>
              <w:pStyle w:val="ListParagraph"/>
              <w:numPr>
                <w:ilvl w:val="0"/>
                <w:numId w:val="2"/>
              </w:numPr>
              <w:ind w:left="458" w:right="261" w:hanging="360"/>
              <w:rPr>
                <w:lang w:val="en-GB"/>
              </w:rPr>
            </w:pPr>
            <w:r>
              <w:rPr>
                <w:lang w:val="en-GB"/>
              </w:rPr>
              <w:t>Operational Training Delivery Manager</w:t>
            </w:r>
          </w:p>
          <w:p>
            <w:pPr>
              <w:pStyle w:val="ListParagraph"/>
              <w:numPr>
                <w:ilvl w:val="0"/>
                <w:numId w:val="2"/>
              </w:numPr>
              <w:ind w:left="458" w:right="261" w:hanging="360"/>
              <w:rPr>
                <w:lang w:val="en-GB"/>
              </w:rPr>
            </w:pPr>
            <w:r>
              <w:rPr>
                <w:lang w:val="en-GB"/>
              </w:rPr>
              <w:t>Incident command Training Lead</w:t>
            </w:r>
          </w:p>
          <w:p>
            <w:pPr>
              <w:pStyle w:val="ListParagraph"/>
              <w:numPr>
                <w:ilvl w:val="0"/>
                <w:numId w:val="2"/>
              </w:numPr>
              <w:ind w:left="458" w:right="261" w:hanging="360"/>
              <w:rPr>
                <w:lang w:val="en-GB"/>
              </w:rPr>
            </w:pPr>
            <w:r>
              <w:rPr>
                <w:lang w:val="en-GB"/>
              </w:rPr>
              <w:t>Training Development Manager</w:t>
            </w:r>
          </w:p>
          <w:p>
            <w:pPr>
              <w:pStyle w:val="ListParagraph"/>
              <w:numPr>
                <w:ilvl w:val="0"/>
                <w:numId w:val="2"/>
              </w:numPr>
              <w:ind w:left="458" w:right="261" w:hanging="360"/>
              <w:rPr>
                <w:lang w:val="en-GB"/>
              </w:rPr>
            </w:pPr>
            <w:r>
              <w:rPr>
                <w:lang w:val="en-GB"/>
              </w:rPr>
              <w:t>Learning Resource &amp; Operational Information manager (OIT) – policy and guidance in regards to subject area.</w:t>
            </w:r>
          </w:p>
          <w:p>
            <w:pPr>
              <w:pStyle w:val="ListParagraph"/>
              <w:numPr>
                <w:ilvl w:val="0"/>
                <w:numId w:val="2"/>
              </w:numPr>
              <w:ind w:left="458" w:right="261" w:hanging="360"/>
              <w:rPr>
                <w:lang w:val="en-GB"/>
              </w:rPr>
            </w:pPr>
            <w:r>
              <w:rPr>
                <w:lang w:val="en-GB"/>
              </w:rPr>
              <w:t>Educational &amp; Professional Development Manager</w:t>
            </w:r>
          </w:p>
          <w:p>
            <w:pPr>
              <w:pStyle w:val="ListParagraph"/>
              <w:numPr>
                <w:ilvl w:val="0"/>
                <w:numId w:val="2"/>
              </w:numPr>
              <w:ind w:left="458" w:right="261" w:hanging="360"/>
              <w:rPr>
                <w:lang w:val="en-GB"/>
              </w:rPr>
            </w:pPr>
            <w:r>
              <w:rPr>
                <w:lang w:val="en-GB"/>
              </w:rPr>
              <w:t>Training Leads across the Training function</w:t>
            </w:r>
          </w:p>
          <w:p>
            <w:pPr>
              <w:pStyle w:val="ListParagraph"/>
              <w:numPr>
                <w:ilvl w:val="0"/>
                <w:numId w:val="2"/>
              </w:numPr>
              <w:ind w:left="458" w:right="261" w:hanging="360"/>
              <w:rPr>
                <w:lang w:val="en-GB"/>
              </w:rPr>
            </w:pPr>
            <w:r>
              <w:rPr>
                <w:lang w:val="en-GB"/>
              </w:rPr>
              <w:t>All Training Officers</w:t>
            </w:r>
          </w:p>
          <w:p>
            <w:pPr>
              <w:pStyle w:val="ListParagraph"/>
              <w:numPr>
                <w:ilvl w:val="0"/>
                <w:numId w:val="2"/>
              </w:numPr>
              <w:ind w:left="458" w:right="261" w:hanging="360"/>
              <w:rPr>
                <w:lang w:val="en-GB"/>
              </w:rPr>
            </w:pPr>
            <w:r>
              <w:rPr>
                <w:lang w:val="en-GB"/>
              </w:rPr>
              <w:t>Workplace development team Leader</w:t>
            </w:r>
          </w:p>
          <w:p>
            <w:pPr>
              <w:pStyle w:val="ListParagraph"/>
              <w:numPr>
                <w:ilvl w:val="0"/>
                <w:numId w:val="2"/>
              </w:numPr>
              <w:ind w:left="458" w:right="261" w:hanging="360"/>
              <w:rPr>
                <w:lang w:val="en-GB"/>
              </w:rPr>
            </w:pPr>
            <w:r>
              <w:rPr>
                <w:lang w:val="en-GB"/>
              </w:rPr>
              <w:t xml:space="preserve">Training Reference Holders </w:t>
            </w:r>
          </w:p>
          <w:p>
            <w:pPr>
              <w:pStyle w:val="ListParagraph"/>
              <w:numPr>
                <w:ilvl w:val="0"/>
                <w:numId w:val="2"/>
              </w:numPr>
              <w:ind w:left="458" w:right="261" w:hanging="360"/>
              <w:rPr>
                <w:lang w:val="en-GB"/>
              </w:rPr>
            </w:pPr>
            <w:r>
              <w:rPr>
                <w:lang w:val="en-GB"/>
              </w:rPr>
              <w:t>Crew Managers</w:t>
            </w:r>
          </w:p>
          <w:p>
            <w:pPr>
              <w:pStyle w:val="ListParagraph"/>
              <w:numPr>
                <w:ilvl w:val="0"/>
                <w:numId w:val="2"/>
              </w:numPr>
              <w:ind w:left="458" w:right="261" w:hanging="360"/>
              <w:rPr>
                <w:lang w:val="en-GB"/>
              </w:rPr>
            </w:pPr>
            <w:r>
              <w:rPr>
                <w:lang w:val="en-GB"/>
              </w:rPr>
              <w:t xml:space="preserve">Watch managers   </w:t>
            </w:r>
          </w:p>
          <w:p>
            <w:pPr>
              <w:pStyle w:val="ListParagraph"/>
              <w:ind w:left="360" w:right="261" w:hanging="0"/>
              <w:rPr>
                <w:lang w:val="en-GB"/>
              </w:rPr>
            </w:pPr>
            <w:r>
              <w:rPr>
                <w:lang w:val="en-GB"/>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416" w:type="dxa"/>
        <w:jc w:val="center"/>
        <w:tblInd w:w="0" w:type="dxa"/>
        <w:tblCellMar>
          <w:top w:w="80" w:type="dxa"/>
          <w:left w:w="80" w:type="dxa"/>
          <w:bottom w:w="80" w:type="dxa"/>
          <w:right w:w="80" w:type="dxa"/>
        </w:tblCellMar>
      </w:tblPr>
      <w:tblGrid>
        <w:gridCol w:w="10416"/>
      </w:tblGrid>
      <w:tr>
        <w:trPr>
          <w:trHeight w:val="479" w:hRule="atLeast"/>
        </w:trPr>
        <w:tc>
          <w:tcPr>
            <w:tcW w:w="10416" w:type="dxa"/>
            <w:tcBorders>
              <w:top w:val="single" w:sz="6" w:space="0" w:color="000000"/>
              <w:left w:val="single" w:sz="6" w:space="0" w:color="000000"/>
              <w:right w:val="single" w:sz="6" w:space="0" w:color="000000"/>
            </w:tcBorders>
            <w:shd w:fill="000000" w:val="clear"/>
            <w:vAlign w:val="center"/>
          </w:tcPr>
          <w:p>
            <w:pPr>
              <w:pStyle w:val="Body"/>
              <w:ind w:left="0" w:right="261" w:hanging="0"/>
              <w:rPr>
                <w:rFonts w:eastAsia="Calibri"/>
                <w:b/>
                <w:b/>
                <w:bCs/>
                <w:color w:val="FFFFFF"/>
                <w:u w:val="none" w:color="FFFFFF"/>
              </w:rPr>
            </w:pPr>
            <w:r>
              <w:rPr>
                <w:rFonts w:eastAsia="Calibri"/>
                <w:b/>
                <w:bCs/>
                <w:color w:val="FFFFFF"/>
                <w:u w:val="none" w:color="FFFFFF"/>
              </w:rPr>
              <w:t xml:space="preserve">KEY RESPONSIBILITIES </w:t>
            </w:r>
          </w:p>
        </w:tc>
      </w:tr>
      <w:tr>
        <w:trPr>
          <w:trHeight w:val="739" w:hRule="atLeast"/>
        </w:trPr>
        <w:tc>
          <w:tcPr>
            <w:tcW w:w="10416" w:type="dxa"/>
            <w:tcBorders>
              <w:left w:val="single" w:sz="4" w:space="0" w:color="000000"/>
              <w:right w:val="single" w:sz="6" w:space="0" w:color="000000"/>
            </w:tcBorders>
            <w:shd w:fill="auto" w:val="clear"/>
            <w:vAlign w:val="center"/>
          </w:tcPr>
          <w:p>
            <w:pPr>
              <w:pStyle w:val="Normal"/>
              <w:numPr>
                <w:ilvl w:val="0"/>
                <w:numId w:val="3"/>
              </w:numPr>
              <w:jc w:val="both"/>
              <w:rPr>
                <w:rFonts w:ascii="Arial" w:hAnsi="Arial" w:cs="Arial"/>
                <w:sz w:val="22"/>
              </w:rPr>
            </w:pPr>
            <w:r>
              <w:rPr>
                <w:rFonts w:cs="Arial" w:ascii="Arial" w:hAnsi="Arial"/>
                <w:sz w:val="22"/>
              </w:rPr>
              <w:t xml:space="preserve">Maintain high levels of technical knowledge, skills and understanding in the subject matter areas to be taught </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Maintain high levels of competence in training delivery methods</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Risk assess training venues and delivery methods prior to commencement of training programmes</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Deliver Operational Business support corporate Training and Development programmes to GMFRS operational staff</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Provide objective assessments of competence for operational staff</w:t>
            </w:r>
          </w:p>
          <w:p>
            <w:pPr>
              <w:pStyle w:val="ListParagraph"/>
              <w:rPr/>
            </w:pPr>
            <w:r>
              <w:rPr/>
            </w:r>
          </w:p>
          <w:p>
            <w:pPr>
              <w:pStyle w:val="ListParagraph"/>
              <w:numPr>
                <w:ilvl w:val="0"/>
                <w:numId w:val="3"/>
              </w:numPr>
              <w:rPr>
                <w:color w:val="auto"/>
              </w:rPr>
            </w:pPr>
            <w:r>
              <w:rPr>
                <w:color w:val="auto"/>
              </w:rPr>
              <w:t>Ensure evaluation of training and development activity in terms of effectiveness to provide quality assurance information and completion of appropriate audits.</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 xml:space="preserve">Identify development requirements for operational staff </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Deliver training and development programmes to other students as required</w:t>
            </w:r>
          </w:p>
          <w:p>
            <w:pPr>
              <w:pStyle w:val="Normal"/>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Provide objective assessments of competence for other Corporate Trainers via a peer review process</w:t>
            </w:r>
          </w:p>
          <w:p>
            <w:pPr>
              <w:pStyle w:val="ListParagraph"/>
              <w:rPr/>
            </w:pPr>
            <w:r>
              <w:rPr/>
            </w:r>
          </w:p>
          <w:p>
            <w:pPr>
              <w:pStyle w:val="ListParagraph"/>
              <w:numPr>
                <w:ilvl w:val="0"/>
                <w:numId w:val="3"/>
              </w:numPr>
              <w:rPr>
                <w:rFonts w:eastAsia="Arial Unicode MS" w:cs="Times New Roman"/>
                <w:color w:val="auto"/>
                <w:szCs w:val="24"/>
              </w:rPr>
            </w:pPr>
            <w:r>
              <w:rPr>
                <w:rFonts w:eastAsia="Arial Unicode MS" w:cs="Times New Roman"/>
                <w:color w:val="auto"/>
                <w:szCs w:val="24"/>
              </w:rPr>
              <w:t xml:space="preserve">Provide practical support for other trainers and functional managers within the Operational Business support (Training) deputise at regional/national meeting as and when required. </w:t>
            </w:r>
          </w:p>
          <w:p>
            <w:pPr>
              <w:pStyle w:val="ListParagraph"/>
              <w:rPr/>
            </w:pPr>
            <w:r>
              <w:rPr/>
            </w:r>
          </w:p>
          <w:p>
            <w:pPr>
              <w:pStyle w:val="ListParagraph"/>
              <w:numPr>
                <w:ilvl w:val="0"/>
                <w:numId w:val="3"/>
              </w:numPr>
              <w:rPr>
                <w:rFonts w:eastAsia="Arial Unicode MS" w:cs="Times New Roman"/>
                <w:color w:val="auto"/>
                <w:szCs w:val="24"/>
              </w:rPr>
            </w:pPr>
            <w:r>
              <w:rPr>
                <w:rFonts w:eastAsia="Arial Unicode MS" w:cs="Times New Roman"/>
                <w:color w:val="auto"/>
                <w:szCs w:val="24"/>
              </w:rPr>
              <w:t>Assist with the monitoring and evaluation of the short, medium and long term effectiveness of operational training and development to provide assurance that it is of appropriate quality</w:t>
            </w:r>
          </w:p>
          <w:p>
            <w:pPr>
              <w:pStyle w:val="ListParagraph"/>
              <w:rPr/>
            </w:pPr>
            <w:r>
              <w:rPr/>
            </w:r>
          </w:p>
          <w:p>
            <w:pPr>
              <w:pStyle w:val="Normal"/>
              <w:numPr>
                <w:ilvl w:val="0"/>
                <w:numId w:val="3"/>
              </w:numPr>
              <w:jc w:val="both"/>
              <w:rPr>
                <w:rFonts w:ascii="Arial" w:hAnsi="Arial" w:cs="Arial"/>
                <w:sz w:val="22"/>
              </w:rPr>
            </w:pPr>
            <w:r>
              <w:rPr>
                <w:rFonts w:cs="Arial" w:ascii="Arial" w:hAnsi="Arial"/>
                <w:sz w:val="22"/>
              </w:rPr>
              <w:t xml:space="preserve">Undertake primary and secondary Incident command assessments during in role supervisory and gateway assessments aligned to level of qualification held in role </w:t>
            </w:r>
          </w:p>
          <w:p>
            <w:pPr>
              <w:pStyle w:val="ListParagraph"/>
              <w:rPr/>
            </w:pPr>
            <w:r>
              <w:rPr/>
            </w:r>
          </w:p>
          <w:p>
            <w:pPr>
              <w:pStyle w:val="Normal"/>
              <w:numPr>
                <w:ilvl w:val="0"/>
                <w:numId w:val="3"/>
              </w:numPr>
              <w:jc w:val="both"/>
              <w:rPr>
                <w:rFonts w:ascii="Arial" w:hAnsi="Arial" w:cs="Arial"/>
                <w:sz w:val="22"/>
              </w:rPr>
            </w:pPr>
            <w:r>
              <w:rPr>
                <w:rFonts w:cs="Arial" w:ascii="Arial" w:hAnsi="Arial"/>
                <w:sz w:val="22"/>
              </w:rPr>
              <w:t>Provide and prepare development plans to support staff to achieve required standards following any identified gaps in learning following assessments.</w:t>
            </w:r>
          </w:p>
          <w:p>
            <w:pPr>
              <w:pStyle w:val="ListParagraph"/>
              <w:rPr/>
            </w:pPr>
            <w:r>
              <w:rPr/>
            </w:r>
          </w:p>
          <w:p>
            <w:pPr>
              <w:pStyle w:val="Normal"/>
              <w:numPr>
                <w:ilvl w:val="0"/>
                <w:numId w:val="3"/>
              </w:numPr>
              <w:jc w:val="both"/>
              <w:rPr/>
            </w:pPr>
            <w:r>
              <w:rPr>
                <w:rFonts w:eastAsia="Arial" w:cs="Arial" w:ascii="Arial" w:hAnsi="Arial"/>
                <w:sz w:val="22"/>
              </w:rPr>
              <w:t xml:space="preserve"> </w:t>
            </w:r>
            <w:r>
              <w:rPr>
                <w:rFonts w:cs="Arial" w:ascii="Arial" w:hAnsi="Arial"/>
                <w:sz w:val="22"/>
              </w:rPr>
              <w:t xml:space="preserve">To contribute to the wider departmental duties including, facilitating standardisation, curriculum development contributing to the growth and development of programmes of study and reflecting on own practise to review and implement ways in which the learning experience could be improved. </w:t>
            </w:r>
          </w:p>
          <w:p>
            <w:pPr>
              <w:pStyle w:val="Normal"/>
              <w:rPr/>
            </w:pPr>
            <w:r>
              <w:rPr/>
            </w:r>
          </w:p>
          <w:p>
            <w:pPr>
              <w:pStyle w:val="Normal"/>
              <w:ind w:left="720" w:right="0" w:firstLine="60"/>
              <w:jc w:val="both"/>
              <w:rPr>
                <w:rFonts w:ascii="Arial" w:hAnsi="Arial" w:cs="Arial"/>
                <w:sz w:val="22"/>
              </w:rPr>
            </w:pPr>
            <w:r>
              <w:rPr>
                <w:rFonts w:cs="Arial" w:ascii="Arial" w:hAnsi="Arial"/>
                <w:sz w:val="22"/>
              </w:rPr>
            </w:r>
          </w:p>
          <w:p>
            <w:pPr>
              <w:pStyle w:val="Normal"/>
              <w:jc w:val="both"/>
              <w:rPr>
                <w:rFonts w:ascii="Arial" w:hAnsi="Arial" w:cs="Arial"/>
                <w:b/>
                <w:b/>
                <w:sz w:val="22"/>
                <w:szCs w:val="22"/>
                <w:lang w:val="en-GB"/>
              </w:rPr>
            </w:pPr>
            <w:r>
              <w:rPr>
                <w:rFonts w:cs="Arial" w:ascii="Arial" w:hAnsi="Arial"/>
                <w:b/>
                <w:sz w:val="22"/>
                <w:szCs w:val="22"/>
                <w:lang w:val="en-GB"/>
              </w:rPr>
              <w:t xml:space="preserve">General Responsibilities </w:t>
            </w:r>
          </w:p>
          <w:p>
            <w:pPr>
              <w:pStyle w:val="Normal"/>
              <w:jc w:val="both"/>
              <w:rPr>
                <w:rFonts w:ascii="Arial" w:hAnsi="Arial" w:cs="Arial"/>
                <w:color w:val="00B0F0"/>
                <w:sz w:val="22"/>
                <w:szCs w:val="22"/>
                <w:lang w:val="en-GB"/>
              </w:rPr>
            </w:pPr>
            <w:r>
              <w:rPr>
                <w:rFonts w:cs="Arial" w:ascii="Arial" w:hAnsi="Arial"/>
                <w:color w:val="00B0F0"/>
                <w:sz w:val="22"/>
                <w:szCs w:val="22"/>
                <w:lang w:val="en-GB"/>
              </w:rPr>
            </w:r>
          </w:p>
          <w:p>
            <w:pPr>
              <w:pStyle w:val="Default"/>
              <w:numPr>
                <w:ilvl w:val="0"/>
                <w:numId w:val="3"/>
              </w:numPr>
              <w:rPr>
                <w:rFonts w:ascii="Arial" w:hAnsi="Arial" w:cs="Arial"/>
                <w:sz w:val="22"/>
                <w:szCs w:val="22"/>
              </w:rPr>
            </w:pPr>
            <w:r>
              <w:rPr>
                <w:rFonts w:cs="Arial" w:ascii="Arial" w:hAnsi="Arial"/>
                <w:sz w:val="22"/>
                <w:szCs w:val="22"/>
              </w:rPr>
              <w:t>Adhere to all organisational policies and procedures.</w:t>
            </w:r>
          </w:p>
          <w:p>
            <w:pPr>
              <w:pStyle w:val="Default"/>
              <w:ind w:left="478" w:right="0" w:hanging="0"/>
              <w:rPr>
                <w:rFonts w:ascii="Arial" w:hAnsi="Arial" w:cs="Arial"/>
                <w:sz w:val="22"/>
                <w:szCs w:val="22"/>
              </w:rPr>
            </w:pPr>
            <w:r>
              <w:rPr>
                <w:rFonts w:cs="Arial" w:ascii="Arial" w:hAnsi="Arial"/>
                <w:sz w:val="22"/>
                <w:szCs w:val="22"/>
              </w:rPr>
            </w:r>
          </w:p>
          <w:p>
            <w:pPr>
              <w:pStyle w:val="Default"/>
              <w:numPr>
                <w:ilvl w:val="0"/>
                <w:numId w:val="3"/>
              </w:numPr>
              <w:rPr>
                <w:rFonts w:ascii="Arial" w:hAnsi="Arial" w:cs="Arial"/>
                <w:sz w:val="22"/>
                <w:szCs w:val="22"/>
              </w:rPr>
            </w:pPr>
            <w:r>
              <w:rPr>
                <w:rFonts w:cs="Arial" w:ascii="Arial" w:hAnsi="Arial"/>
                <w:sz w:val="22"/>
                <w:szCs w:val="22"/>
              </w:rPr>
              <w:t>To develop work plans in line with the delivery of the departmental strategy and core objectives.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Contribute to the development of policies and guidance relevant to your area of expertise.</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To draft and deliver reports and presentations on behalf of the wider team.</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To manage own workload, work autonomously, prioritise work, manage time effectively and work flexibly with demanding workloads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To represent the team, delivery against team KPIs and contribute to the delivery of broader Directorate Objectives.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Maintain safe working practises to meet the requirements of Greater Manchester Fire and Rescue Services’ Health and Safety and Safeguarding policies and procedures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Demonstrate a commitment to a learning culture and be a developing and practising professional, keeping specialist academic, and work based knowledge up to date.</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Work collaboratively with the training team to achieve agreed outcomes and objectives and contribute to departmental duties.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Participate in continual professional development, attending relevant training events as required and cascading any key learning to colleagues.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Contribute to the quality improvement and measuring the impact of the service by providing data and information.</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To be accountable for ensuring your team is compliant with its statutory duties under legislation in the relevant field e.g., Employment Act, Equality Act, General Data Protection Regulations etc.</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Make sure the team understands how their work contributes to and delivers organisational priorities and encourage constructive working relationships with others to achieve our aims.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Manage quality in the team, and use various sources of feedback and evidence to understand performance and manage risk , using different problem-solving techniques to generate solutions that improve our service.</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Develop and review plans to make the best use of resources, challenge any misuse of resources and encourage staff to be flexible in their approach and empower them to contribute and influence decisions.</w:t>
            </w:r>
          </w:p>
          <w:p>
            <w:pPr>
              <w:pStyle w:val="Normal"/>
              <w:rPr/>
            </w:pPr>
            <w:r>
              <w:rPr/>
            </w:r>
          </w:p>
          <w:p>
            <w:pPr>
              <w:pStyle w:val="Default"/>
              <w:ind w:left="768" w:right="0" w:hanging="0"/>
              <w:rPr>
                <w:rFonts w:ascii="Arial" w:hAnsi="Arial" w:cs="Arial"/>
                <w:sz w:val="22"/>
                <w:szCs w:val="22"/>
              </w:rPr>
            </w:pPr>
            <w:r>
              <w:rPr>
                <w:rFonts w:cs="Arial" w:ascii="Arial" w:hAnsi="Arial"/>
                <w:sz w:val="22"/>
                <w:szCs w:val="22"/>
              </w:rPr>
            </w:r>
          </w:p>
          <w:p>
            <w:pPr>
              <w:pStyle w:val="Normal"/>
              <w:rPr>
                <w:rFonts w:ascii="Arial" w:hAnsi="Arial" w:cs="Arial"/>
                <w:b/>
                <w:b/>
                <w:sz w:val="22"/>
                <w:lang w:val="en-GB"/>
              </w:rPr>
            </w:pPr>
            <w:r>
              <w:rPr>
                <w:rFonts w:cs="Arial" w:ascii="Arial" w:hAnsi="Arial"/>
                <w:b/>
                <w:sz w:val="22"/>
                <w:lang w:val="en-GB"/>
              </w:rPr>
              <w:t>NB: This list of duties and responsibilities is by no means exhaustive, and the post holder may be required to undertake other relevant and appropriate duties as required.</w:t>
            </w:r>
          </w:p>
        </w:tc>
      </w:tr>
      <w:tr>
        <w:trPr>
          <w:trHeight w:val="739" w:hRule="atLeast"/>
        </w:trPr>
        <w:tc>
          <w:tcPr>
            <w:tcW w:w="10416" w:type="dxa"/>
            <w:tcBorders>
              <w:left w:val="single" w:sz="4" w:space="0" w:color="000000"/>
              <w:bottom w:val="single" w:sz="4" w:space="0" w:color="000000"/>
              <w:right w:val="single" w:sz="6" w:space="0" w:color="000000"/>
            </w:tcBorders>
            <w:shd w:fill="auto" w:val="clear"/>
            <w:vAlign w:val="center"/>
          </w:tcPr>
          <w:p>
            <w:pPr>
              <w:pStyle w:val="Normal"/>
              <w:snapToGrid w:val="false"/>
              <w:jc w:val="both"/>
              <w:rPr>
                <w:rFonts w:ascii="Arial" w:hAnsi="Arial" w:cs="Arial"/>
                <w:sz w:val="22"/>
                <w:szCs w:val="22"/>
                <w:lang w:val="en-GB"/>
              </w:rPr>
            </w:pPr>
            <w:r>
              <w:rPr>
                <w:rFonts w:cs="Arial" w:ascii="Arial" w:hAnsi="Arial"/>
                <w:sz w:val="22"/>
                <w:szCs w:val="22"/>
                <w:lang w:val="en-GB"/>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69" w:type="dxa"/>
        <w:jc w:val="center"/>
        <w:tblInd w:w="0" w:type="dxa"/>
        <w:tblCellMar>
          <w:top w:w="80" w:type="dxa"/>
          <w:left w:w="80" w:type="dxa"/>
          <w:bottom w:w="80" w:type="dxa"/>
          <w:right w:w="80" w:type="dxa"/>
        </w:tblCellMar>
      </w:tblPr>
      <w:tblGrid>
        <w:gridCol w:w="10369"/>
      </w:tblGrid>
      <w:tr>
        <w:trPr>
          <w:trHeight w:val="180" w:hRule="atLeast"/>
        </w:trPr>
        <w:tc>
          <w:tcPr>
            <w:tcW w:w="10369"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18" w:right="261" w:hanging="0"/>
              <w:rPr>
                <w:rFonts w:eastAsia="Calibri"/>
                <w:b/>
                <w:b/>
                <w:bCs/>
                <w:color w:val="FFFFFF"/>
                <w:u w:val="none" w:color="FFFFFF"/>
              </w:rPr>
            </w:pPr>
            <w:r>
              <w:rPr>
                <w:rFonts w:eastAsia="Calibri"/>
                <w:b/>
                <w:bCs/>
                <w:color w:val="FFFFFF"/>
                <w:u w:val="none" w:color="FFFFFF"/>
              </w:rPr>
              <w:t>KNOWLEDGE, SKILLS AND EXPERIENCE</w:t>
            </w:r>
          </w:p>
        </w:tc>
      </w:tr>
      <w:tr>
        <w:trPr>
          <w:trHeight w:val="3467" w:hRule="atLeast"/>
        </w:trPr>
        <w:tc>
          <w:tcPr>
            <w:tcW w:w="10369"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widowControl w:val="false"/>
              <w:spacing w:lineRule="auto" w:line="276" w:before="240" w:after="0"/>
              <w:rPr>
                <w:rFonts w:ascii="Arial" w:hAnsi="Arial" w:cs="Arial"/>
                <w:b/>
                <w:b/>
                <w:sz w:val="22"/>
              </w:rPr>
            </w:pPr>
            <w:r>
              <w:rPr>
                <w:rFonts w:cs="Arial" w:ascii="Arial" w:hAnsi="Arial"/>
                <w:b/>
                <w:sz w:val="22"/>
              </w:rPr>
              <w:t>Qualifications</w:t>
            </w:r>
          </w:p>
          <w:p>
            <w:pPr>
              <w:pStyle w:val="Normal"/>
              <w:widowControl w:val="false"/>
              <w:spacing w:lineRule="auto" w:line="276"/>
              <w:ind w:left="360" w:right="0" w:hanging="0"/>
              <w:rPr>
                <w:rFonts w:ascii="Arial" w:hAnsi="Arial" w:cs="Arial"/>
                <w:sz w:val="22"/>
                <w:szCs w:val="22"/>
                <w:lang w:val="en-GB"/>
              </w:rPr>
            </w:pPr>
            <w:r>
              <w:rPr>
                <w:rFonts w:cs="Arial" w:ascii="Arial" w:hAnsi="Arial"/>
                <w:sz w:val="22"/>
                <w:szCs w:val="22"/>
                <w:lang w:val="en-GB"/>
              </w:rPr>
            </w:r>
          </w:p>
          <w:p>
            <w:pPr>
              <w:pStyle w:val="NoSpacing"/>
              <w:numPr>
                <w:ilvl w:val="0"/>
                <w:numId w:val="4"/>
              </w:numPr>
              <w:spacing w:lineRule="auto" w:line="276"/>
              <w:rPr>
                <w:rFonts w:ascii="Arial" w:hAnsi="Arial" w:cs="Arial"/>
                <w:sz w:val="22"/>
                <w:szCs w:val="22"/>
              </w:rPr>
            </w:pPr>
            <w:r>
              <w:rPr>
                <w:rFonts w:cs="Arial" w:ascii="Arial" w:hAnsi="Arial"/>
                <w:sz w:val="22"/>
                <w:szCs w:val="22"/>
              </w:rPr>
              <w:t xml:space="preserve">Level 3 Award in Education and Training or equivalent </w:t>
            </w:r>
          </w:p>
          <w:p>
            <w:pPr>
              <w:pStyle w:val="NoSpacing"/>
              <w:numPr>
                <w:ilvl w:val="0"/>
                <w:numId w:val="4"/>
              </w:numPr>
              <w:spacing w:lineRule="auto" w:line="276"/>
              <w:rPr>
                <w:rFonts w:ascii="Arial" w:hAnsi="Arial" w:cs="Arial"/>
                <w:sz w:val="22"/>
                <w:szCs w:val="22"/>
              </w:rPr>
            </w:pPr>
            <w:r>
              <w:rPr>
                <w:rFonts w:cs="Arial" w:ascii="Arial" w:hAnsi="Arial"/>
                <w:sz w:val="22"/>
                <w:szCs w:val="22"/>
              </w:rPr>
              <w:t>Level 3 Certificate in Assessing Vocational Achievement or Competence in the Work Environment, or equivalent</w:t>
            </w:r>
          </w:p>
          <w:p>
            <w:pPr>
              <w:pStyle w:val="NoSpacing"/>
              <w:numPr>
                <w:ilvl w:val="0"/>
                <w:numId w:val="4"/>
              </w:numPr>
              <w:spacing w:lineRule="auto" w:line="276"/>
              <w:rPr>
                <w:rFonts w:ascii="Arial" w:hAnsi="Arial" w:cs="Arial"/>
                <w:sz w:val="22"/>
                <w:szCs w:val="22"/>
              </w:rPr>
            </w:pPr>
            <w:r>
              <w:rPr>
                <w:rFonts w:cs="Arial" w:ascii="Arial" w:hAnsi="Arial"/>
                <w:sz w:val="22"/>
                <w:szCs w:val="22"/>
              </w:rPr>
              <w:t>ILM Level 3 Award in Coaching and mentoring or equivalent</w:t>
            </w:r>
          </w:p>
          <w:p>
            <w:pPr>
              <w:pStyle w:val="NoSpacing"/>
              <w:numPr>
                <w:ilvl w:val="0"/>
                <w:numId w:val="4"/>
              </w:numPr>
              <w:spacing w:lineRule="auto" w:line="276"/>
              <w:rPr/>
            </w:pPr>
            <w:r>
              <w:rPr>
                <w:rFonts w:cs="Arial" w:ascii="Arial" w:hAnsi="Arial"/>
                <w:sz w:val="22"/>
                <w:szCs w:val="22"/>
              </w:rPr>
              <w:t xml:space="preserve">IOSH Managing Safely certification </w:t>
            </w:r>
            <w:r>
              <w:rPr>
                <w:rFonts w:cs="Arial" w:ascii="Arial" w:hAnsi="Arial"/>
                <w:i/>
                <w:sz w:val="22"/>
                <w:szCs w:val="22"/>
              </w:rPr>
              <w:t>(desirable)</w:t>
            </w:r>
          </w:p>
          <w:p>
            <w:pPr>
              <w:pStyle w:val="ListParagraph"/>
              <w:numPr>
                <w:ilvl w:val="0"/>
                <w:numId w:val="4"/>
              </w:numPr>
              <w:spacing w:lineRule="auto" w:line="276"/>
              <w:rPr>
                <w:rFonts w:eastAsia="Arial Unicode MS"/>
                <w:color w:val="auto"/>
              </w:rPr>
            </w:pPr>
            <w:r>
              <w:rPr>
                <w:rFonts w:eastAsia="Arial Unicode MS"/>
                <w:color w:val="auto"/>
              </w:rPr>
              <w:t xml:space="preserve">ICL level 1 </w:t>
            </w:r>
          </w:p>
          <w:p>
            <w:pPr>
              <w:pStyle w:val="Normal"/>
              <w:widowControl w:val="false"/>
              <w:spacing w:lineRule="auto" w:line="276" w:before="240" w:after="0"/>
              <w:rPr>
                <w:rFonts w:ascii="Arial" w:hAnsi="Arial" w:cs="Arial"/>
                <w:b/>
                <w:b/>
                <w:sz w:val="22"/>
                <w:szCs w:val="22"/>
              </w:rPr>
            </w:pPr>
            <w:r>
              <w:rPr>
                <w:rFonts w:cs="Arial" w:ascii="Arial" w:hAnsi="Arial"/>
                <w:b/>
                <w:sz w:val="22"/>
                <w:szCs w:val="22"/>
              </w:rPr>
            </w:r>
          </w:p>
          <w:p>
            <w:pPr>
              <w:pStyle w:val="Normal"/>
              <w:widowControl w:val="false"/>
              <w:spacing w:lineRule="auto" w:line="276" w:before="240" w:after="0"/>
              <w:rPr>
                <w:rFonts w:ascii="Arial" w:hAnsi="Arial" w:cs="Arial"/>
                <w:b/>
                <w:b/>
                <w:sz w:val="22"/>
                <w:szCs w:val="22"/>
              </w:rPr>
            </w:pPr>
            <w:r>
              <w:rPr>
                <w:rFonts w:cs="Arial" w:ascii="Arial" w:hAnsi="Arial"/>
                <w:b/>
                <w:sz w:val="22"/>
                <w:szCs w:val="22"/>
              </w:rPr>
              <w:t>Experience</w:t>
            </w:r>
          </w:p>
          <w:p>
            <w:pPr>
              <w:pStyle w:val="NoSpacing"/>
              <w:spacing w:lineRule="auto" w:line="276"/>
              <w:ind w:left="720" w:right="0" w:hanging="0"/>
              <w:rPr>
                <w:rFonts w:ascii="Arial" w:hAnsi="Arial" w:cs="Arial"/>
                <w:sz w:val="22"/>
              </w:rPr>
            </w:pPr>
            <w:r>
              <w:rPr>
                <w:rFonts w:cs="Arial" w:ascii="Arial" w:hAnsi="Arial"/>
                <w:sz w:val="22"/>
              </w:rPr>
            </w:r>
          </w:p>
          <w:p>
            <w:pPr>
              <w:pStyle w:val="NoSpacing"/>
              <w:numPr>
                <w:ilvl w:val="0"/>
                <w:numId w:val="4"/>
              </w:numPr>
              <w:spacing w:lineRule="auto" w:line="276"/>
              <w:rPr>
                <w:rFonts w:ascii="Arial" w:hAnsi="Arial" w:cs="Arial"/>
                <w:sz w:val="22"/>
              </w:rPr>
            </w:pPr>
            <w:r>
              <w:rPr>
                <w:rFonts w:cs="Arial" w:ascii="Arial" w:hAnsi="Arial"/>
                <w:sz w:val="22"/>
              </w:rPr>
              <w:t>Competent Watch Manager experience</w:t>
            </w:r>
          </w:p>
          <w:p>
            <w:pPr>
              <w:pStyle w:val="NoSpacing"/>
              <w:numPr>
                <w:ilvl w:val="0"/>
                <w:numId w:val="4"/>
              </w:numPr>
              <w:spacing w:lineRule="auto" w:line="276"/>
              <w:rPr>
                <w:rFonts w:ascii="Arial" w:hAnsi="Arial" w:cs="Arial"/>
                <w:sz w:val="22"/>
              </w:rPr>
            </w:pPr>
            <w:r>
              <w:rPr>
                <w:rFonts w:cs="Arial" w:ascii="Arial" w:hAnsi="Arial"/>
                <w:sz w:val="22"/>
              </w:rPr>
              <w:t>Experience of providing guidance and support to learners in the development of skills, confidence and knowledge</w:t>
            </w:r>
          </w:p>
          <w:p>
            <w:pPr>
              <w:pStyle w:val="ListParagraph"/>
              <w:widowControl w:val="false"/>
              <w:numPr>
                <w:ilvl w:val="0"/>
                <w:numId w:val="4"/>
              </w:numPr>
              <w:spacing w:lineRule="auto" w:line="276"/>
              <w:rPr/>
            </w:pPr>
            <w:r>
              <w:rPr>
                <w:color w:val="auto"/>
              </w:rPr>
              <w:t xml:space="preserve">Experience of </w:t>
            </w:r>
            <w:r>
              <w:rPr/>
              <w:t>assessing and teaching learners with Neurodiverse needs such as Dyslexia, Dyspraxia and Dyscalculia</w:t>
            </w:r>
          </w:p>
          <w:p>
            <w:pPr>
              <w:pStyle w:val="NoSpacing"/>
              <w:numPr>
                <w:ilvl w:val="0"/>
                <w:numId w:val="4"/>
              </w:numPr>
              <w:spacing w:lineRule="auto" w:line="276"/>
              <w:rPr>
                <w:rFonts w:ascii="Arial" w:hAnsi="Arial" w:cs="Arial"/>
                <w:sz w:val="22"/>
              </w:rPr>
            </w:pPr>
            <w:r>
              <w:rPr>
                <w:rFonts w:cs="Arial" w:ascii="Arial" w:hAnsi="Arial"/>
                <w:sz w:val="22"/>
              </w:rPr>
              <w:t>Experience of integrating high quality assessment practices in different environments to inform decisions</w:t>
            </w:r>
          </w:p>
          <w:p>
            <w:pPr>
              <w:pStyle w:val="NoSpacing"/>
              <w:numPr>
                <w:ilvl w:val="0"/>
                <w:numId w:val="4"/>
              </w:numPr>
              <w:spacing w:lineRule="auto" w:line="276"/>
              <w:rPr>
                <w:rFonts w:ascii="Arial" w:hAnsi="Arial" w:cs="Arial"/>
                <w:sz w:val="22"/>
              </w:rPr>
            </w:pPr>
            <w:r>
              <w:rPr>
                <w:rFonts w:cs="Arial" w:ascii="Arial" w:hAnsi="Arial"/>
                <w:sz w:val="22"/>
              </w:rPr>
              <w:t>Knowledge and experience of Safeguarding policy and procedures</w:t>
            </w:r>
          </w:p>
          <w:p>
            <w:pPr>
              <w:pStyle w:val="NoSpacing"/>
              <w:numPr>
                <w:ilvl w:val="0"/>
                <w:numId w:val="4"/>
              </w:numPr>
              <w:spacing w:lineRule="auto" w:line="276"/>
              <w:rPr>
                <w:rFonts w:ascii="Arial" w:hAnsi="Arial" w:cs="Arial"/>
                <w:sz w:val="22"/>
              </w:rPr>
            </w:pPr>
            <w:r>
              <w:rPr>
                <w:rFonts w:cs="Arial" w:ascii="Arial" w:hAnsi="Arial"/>
                <w:sz w:val="22"/>
              </w:rPr>
              <w:t>Experience of developing inclusive and challenging support strategies</w:t>
            </w:r>
          </w:p>
          <w:p>
            <w:pPr>
              <w:pStyle w:val="NoSpacing"/>
              <w:numPr>
                <w:ilvl w:val="0"/>
                <w:numId w:val="4"/>
              </w:numPr>
              <w:spacing w:lineRule="auto" w:line="276"/>
              <w:rPr>
                <w:rFonts w:ascii="Arial" w:hAnsi="Arial" w:cs="Arial"/>
                <w:sz w:val="22"/>
              </w:rPr>
            </w:pPr>
            <w:r>
              <w:rPr>
                <w:rFonts w:cs="Arial" w:ascii="Arial" w:hAnsi="Arial"/>
                <w:sz w:val="22"/>
              </w:rPr>
              <w:t>Experience of engaging and supporting learners to apply skills in the workplace</w:t>
            </w:r>
          </w:p>
          <w:p>
            <w:pPr>
              <w:pStyle w:val="NoSpacing"/>
              <w:numPr>
                <w:ilvl w:val="0"/>
                <w:numId w:val="4"/>
              </w:numPr>
              <w:spacing w:lineRule="auto" w:line="276"/>
              <w:rPr/>
            </w:pPr>
            <w:r>
              <w:rPr>
                <w:rFonts w:cs="Arial" w:ascii="Arial" w:hAnsi="Arial"/>
                <w:sz w:val="22"/>
              </w:rPr>
              <w:t>Experience of supporting individual’s to meet agreed objectives and milestones</w:t>
            </w:r>
            <w:r>
              <w:rPr>
                <w:rFonts w:cs="Arial" w:ascii="Arial" w:hAnsi="Arial"/>
                <w:sz w:val="22"/>
                <w:lang w:val="en-GB"/>
              </w:rPr>
              <w:t xml:space="preserve"> </w:t>
            </w:r>
          </w:p>
          <w:p>
            <w:pPr>
              <w:pStyle w:val="Normal"/>
              <w:widowControl w:val="false"/>
              <w:spacing w:lineRule="auto" w:line="276" w:before="240" w:after="0"/>
              <w:rPr>
                <w:rFonts w:ascii="Arial" w:hAnsi="Arial" w:cs="Arial"/>
                <w:b/>
                <w:b/>
                <w:sz w:val="22"/>
                <w:szCs w:val="22"/>
              </w:rPr>
            </w:pPr>
            <w:r>
              <w:rPr>
                <w:rFonts w:cs="Arial" w:ascii="Arial" w:hAnsi="Arial"/>
                <w:b/>
                <w:sz w:val="22"/>
                <w:szCs w:val="22"/>
              </w:rPr>
              <w:t xml:space="preserve">Knowledge &amp; Skills </w:t>
            </w:r>
          </w:p>
          <w:p>
            <w:pPr>
              <w:pStyle w:val="NoSpacing"/>
              <w:spacing w:lineRule="auto" w:line="276"/>
              <w:ind w:left="720" w:right="0" w:hanging="0"/>
              <w:rPr>
                <w:rFonts w:ascii="Arial" w:hAnsi="Arial" w:cs="Arial"/>
                <w:sz w:val="22"/>
                <w:szCs w:val="22"/>
              </w:rPr>
            </w:pPr>
            <w:r>
              <w:rPr>
                <w:rFonts w:cs="Arial" w:ascii="Arial" w:hAnsi="Arial"/>
                <w:sz w:val="22"/>
                <w:szCs w:val="22"/>
              </w:rPr>
            </w:r>
          </w:p>
          <w:p>
            <w:pPr>
              <w:pStyle w:val="ListParagraph"/>
              <w:numPr>
                <w:ilvl w:val="0"/>
                <w:numId w:val="5"/>
              </w:numPr>
              <w:spacing w:lineRule="auto" w:line="276" w:before="0" w:after="160"/>
              <w:contextualSpacing/>
              <w:rPr/>
            </w:pPr>
            <w:r>
              <w:rPr/>
              <w:t>Be familiar with the Ofsted Education Inspection Framework and understand the implications of the associated inspection process.</w:t>
            </w:r>
          </w:p>
          <w:p>
            <w:pPr>
              <w:pStyle w:val="ListParagraph"/>
              <w:numPr>
                <w:ilvl w:val="0"/>
                <w:numId w:val="5"/>
              </w:numPr>
              <w:spacing w:lineRule="auto" w:line="276" w:before="0" w:after="160"/>
              <w:contextualSpacing/>
              <w:rPr/>
            </w:pPr>
            <w:r>
              <w:rPr/>
              <w:t>Recognise the value of Her Majesty's Inspectorate of Constabulary and Fire &amp; Rescue Services (HMICFRS) and the associated inspection process.</w:t>
            </w:r>
          </w:p>
          <w:p>
            <w:pPr>
              <w:pStyle w:val="ListParagraph"/>
              <w:numPr>
                <w:ilvl w:val="0"/>
                <w:numId w:val="5"/>
              </w:numPr>
              <w:spacing w:lineRule="auto" w:line="276" w:before="0" w:after="160"/>
              <w:contextualSpacing/>
              <w:rPr/>
            </w:pPr>
            <w:r>
              <w:rPr/>
              <w:t>Understand the wider ways of working across the entire directorate and how your team fits into works alongside others to achieve shared objectives.</w:t>
            </w:r>
          </w:p>
          <w:p>
            <w:pPr>
              <w:pStyle w:val="ListParagraph"/>
              <w:numPr>
                <w:ilvl w:val="0"/>
                <w:numId w:val="5"/>
              </w:numPr>
              <w:spacing w:lineRule="auto" w:line="276" w:before="0" w:after="160"/>
              <w:contextualSpacing/>
              <w:rPr/>
            </w:pPr>
            <w:r>
              <w:rPr/>
              <w:t>Maintain a working knowledge of pathways throughout the organisation.</w:t>
            </w:r>
          </w:p>
          <w:p>
            <w:pPr>
              <w:pStyle w:val="ListParagraph"/>
              <w:numPr>
                <w:ilvl w:val="0"/>
                <w:numId w:val="5"/>
              </w:numPr>
              <w:spacing w:lineRule="auto" w:line="276" w:before="0" w:after="160"/>
              <w:contextualSpacing/>
              <w:rPr/>
            </w:pPr>
            <w:r>
              <w:rPr/>
              <w:t xml:space="preserve">Understand the principles of good report writing and regularly use excel and word. </w:t>
            </w:r>
          </w:p>
          <w:p>
            <w:pPr>
              <w:pStyle w:val="ListParagraph"/>
              <w:numPr>
                <w:ilvl w:val="0"/>
                <w:numId w:val="5"/>
              </w:numPr>
              <w:spacing w:lineRule="auto" w:line="276" w:before="0" w:after="160"/>
              <w:contextualSpacing/>
              <w:rPr/>
            </w:pPr>
            <w:r>
              <w:rPr/>
              <w:t>Appreciate the importance of diversity in learning and seek to consider individual leaner needs and understand the impact of neurodiverse needs such as Dyslexia, Dyspraxia and Dyscalculia.</w:t>
            </w:r>
          </w:p>
          <w:p>
            <w:pPr>
              <w:pStyle w:val="ListParagraph"/>
              <w:numPr>
                <w:ilvl w:val="0"/>
                <w:numId w:val="5"/>
              </w:numPr>
              <w:spacing w:lineRule="auto" w:line="276" w:before="0" w:after="160"/>
              <w:contextualSpacing/>
              <w:rPr/>
            </w:pPr>
            <w:r>
              <w:rPr/>
              <w:t>Understand the importance of strong leadership and management skills and both recognise and challenge inappropriate behaviour.</w:t>
            </w:r>
          </w:p>
          <w:p>
            <w:pPr>
              <w:pStyle w:val="ListParagraph"/>
              <w:numPr>
                <w:ilvl w:val="0"/>
                <w:numId w:val="5"/>
              </w:numPr>
              <w:spacing w:lineRule="auto" w:line="276" w:before="0" w:after="160"/>
              <w:contextualSpacing/>
              <w:rPr/>
            </w:pPr>
            <w:r>
              <w:rPr/>
              <w:t>Appreciate the need to work flexibly and creatively as part of an effective team to develop constructive solutions that support the organisational change.</w:t>
            </w:r>
          </w:p>
          <w:p>
            <w:pPr>
              <w:pStyle w:val="ListParagraph"/>
              <w:numPr>
                <w:ilvl w:val="0"/>
                <w:numId w:val="5"/>
              </w:numPr>
              <w:spacing w:lineRule="auto" w:line="276" w:before="0" w:after="160"/>
              <w:contextualSpacing/>
              <w:rPr/>
            </w:pPr>
            <w:r>
              <w:rPr/>
              <w:t>Demonstrate effective organisational skills and the ability to implement new systems of working and have a proven ability of meeting tight deadlines.</w:t>
            </w:r>
          </w:p>
          <w:p>
            <w:pPr>
              <w:pStyle w:val="ListParagraph"/>
              <w:numPr>
                <w:ilvl w:val="0"/>
                <w:numId w:val="5"/>
              </w:numPr>
              <w:spacing w:lineRule="auto" w:line="276" w:before="0" w:after="160"/>
              <w:contextualSpacing/>
              <w:rPr/>
            </w:pPr>
            <w:r>
              <w:rPr/>
              <w:t>Maintain a working knowledge of organisational ICT systems and the necessary administration skills to maintain records and information.</w:t>
            </w:r>
          </w:p>
          <w:p>
            <w:pPr>
              <w:pStyle w:val="NoSpacing"/>
              <w:spacing w:lineRule="auto" w:line="276"/>
              <w:rPr>
                <w:rFonts w:ascii="Arial" w:hAnsi="Arial" w:cs="Arial"/>
                <w:b/>
                <w:b/>
                <w:sz w:val="22"/>
                <w:szCs w:val="22"/>
              </w:rPr>
            </w:pPr>
            <w:r>
              <w:rPr>
                <w:rFonts w:cs="Arial" w:ascii="Arial" w:hAnsi="Arial"/>
                <w:b/>
                <w:sz w:val="22"/>
                <w:szCs w:val="22"/>
              </w:rPr>
              <w:t>Behaviours</w:t>
            </w:r>
          </w:p>
          <w:p>
            <w:pPr>
              <w:pStyle w:val="NoSpacing"/>
              <w:spacing w:lineRule="auto" w:line="276"/>
              <w:rPr>
                <w:rFonts w:ascii="Arial" w:hAnsi="Arial" w:cs="Arial"/>
                <w:b/>
                <w:b/>
                <w:sz w:val="22"/>
                <w:szCs w:val="22"/>
              </w:rPr>
            </w:pPr>
            <w:r>
              <w:rPr>
                <w:rFonts w:cs="Arial" w:ascii="Arial" w:hAnsi="Arial"/>
                <w:b/>
                <w:sz w:val="22"/>
                <w:szCs w:val="22"/>
              </w:rPr>
            </w:r>
          </w:p>
          <w:p>
            <w:pPr>
              <w:pStyle w:val="ListParagraph"/>
              <w:numPr>
                <w:ilvl w:val="0"/>
                <w:numId w:val="5"/>
              </w:numPr>
              <w:spacing w:lineRule="auto" w:line="276" w:before="0" w:after="160"/>
              <w:contextualSpacing/>
              <w:rPr/>
            </w:pPr>
            <w:r>
              <w:rPr/>
              <w:t>Take responsibility for inclusion, encourage different points of view and communicate responsibly with sensitivity and respect for others.</w:t>
            </w:r>
          </w:p>
          <w:p>
            <w:pPr>
              <w:pStyle w:val="ListParagraph"/>
              <w:numPr>
                <w:ilvl w:val="0"/>
                <w:numId w:val="5"/>
              </w:numPr>
              <w:spacing w:lineRule="auto" w:line="276" w:before="0" w:after="160"/>
              <w:contextualSpacing/>
              <w:rPr/>
            </w:pPr>
            <w:r>
              <w:rPr/>
              <w:t>Commit to creating a safe learning environment, encourage others to admit to and learn from their mistakes, and celebrate their successes.</w:t>
            </w:r>
          </w:p>
          <w:p>
            <w:pPr>
              <w:pStyle w:val="ListParagraph"/>
              <w:numPr>
                <w:ilvl w:val="0"/>
                <w:numId w:val="5"/>
              </w:numPr>
              <w:spacing w:lineRule="auto" w:line="276" w:before="0" w:after="160"/>
              <w:contextualSpacing/>
              <w:rPr/>
            </w:pPr>
            <w:r>
              <w:rPr/>
              <w:t>Take a proactive approach to dealing with difficult or sensitive situations, influencing others to reach an acceptable solution and look after colleagues, look for behaviours that show someone might be struggling and ensure there is support available.</w:t>
            </w:r>
          </w:p>
          <w:p>
            <w:pPr>
              <w:pStyle w:val="ListParagraph"/>
              <w:numPr>
                <w:ilvl w:val="0"/>
                <w:numId w:val="5"/>
              </w:numPr>
              <w:spacing w:lineRule="auto" w:line="276" w:before="0" w:after="160"/>
              <w:contextualSpacing/>
              <w:rPr/>
            </w:pPr>
            <w:r>
              <w:rPr/>
              <w:t>Take responsibility for team effectiveness which focusses on improving outcomes and work with the team to establish a clear sense of purpose and set expectations to achieve the shared goal.</w:t>
            </w:r>
          </w:p>
          <w:p>
            <w:pPr>
              <w:pStyle w:val="ListParagraph"/>
              <w:numPr>
                <w:ilvl w:val="0"/>
                <w:numId w:val="5"/>
              </w:numPr>
              <w:spacing w:lineRule="auto" w:line="276" w:before="0" w:after="160"/>
              <w:contextualSpacing/>
              <w:rPr/>
            </w:pPr>
            <w:r>
              <w:rPr/>
              <w:t xml:space="preserve">Encourage all the people in the team to speak and share their views, looking for opportunities to support others through appraisal and coaching. </w:t>
            </w:r>
          </w:p>
          <w:p>
            <w:pPr>
              <w:pStyle w:val="ListParagraph"/>
              <w:numPr>
                <w:ilvl w:val="0"/>
                <w:numId w:val="5"/>
              </w:numPr>
              <w:spacing w:lineRule="auto" w:line="276" w:before="0" w:after="160"/>
              <w:contextualSpacing/>
              <w:rPr/>
            </w:pPr>
            <w:r>
              <w:rPr/>
              <w:t xml:space="preserve">Incorporate flexibility in leadership approaches, appropriate to the individual and situation, to ensure people give their best and use debriefing and other learning from the organisation to help the team develop. </w:t>
            </w:r>
          </w:p>
          <w:p>
            <w:pPr>
              <w:pStyle w:val="ListParagraph"/>
              <w:numPr>
                <w:ilvl w:val="0"/>
                <w:numId w:val="5"/>
              </w:numPr>
              <w:spacing w:lineRule="auto" w:line="276" w:before="0" w:after="160"/>
              <w:contextualSpacing/>
              <w:rPr/>
            </w:pPr>
            <w:r>
              <w:rPr/>
              <w:t>Maintain an outcome focused approach and make decisions based on better service outcomes using evidence-based decisions that consider the risks, including financial and resource impacts.</w:t>
            </w:r>
          </w:p>
          <w:p>
            <w:pPr>
              <w:pStyle w:val="ListParagraph"/>
              <w:numPr>
                <w:ilvl w:val="0"/>
                <w:numId w:val="5"/>
              </w:numPr>
              <w:spacing w:lineRule="auto" w:line="276" w:before="0" w:after="160"/>
              <w:contextualSpacing/>
              <w:rPr/>
            </w:pPr>
            <w:r>
              <w:rPr/>
              <w:t>Promote continuous improvement for the team and the organisation, creating conditions where team members are empowered to suggest and implement new ways of working.</w:t>
            </w:r>
          </w:p>
          <w:p>
            <w:pPr>
              <w:pStyle w:val="ListParagraph"/>
              <w:numPr>
                <w:ilvl w:val="0"/>
                <w:numId w:val="5"/>
              </w:numPr>
              <w:spacing w:lineRule="auto" w:line="276" w:before="0" w:after="160"/>
              <w:contextualSpacing/>
              <w:rPr/>
            </w:pPr>
            <w:r>
              <w:rPr/>
              <w:t>Take time to understand how change will impact work and how to contribute to success, evaluating how things are working and how change is being embedded.</w:t>
            </w:r>
          </w:p>
          <w:p>
            <w:pPr>
              <w:pStyle w:val="ListParagraph"/>
              <w:numPr>
                <w:ilvl w:val="0"/>
                <w:numId w:val="5"/>
              </w:numPr>
              <w:spacing w:lineRule="auto" w:line="276" w:before="0" w:after="160"/>
              <w:contextualSpacing/>
              <w:rPr/>
            </w:pPr>
            <w:r>
              <w:rPr/>
              <w:t>Set up communication processes to ensure that people in the team have access to accurate information, clarifying information where needed.</w:t>
            </w:r>
          </w:p>
          <w:p>
            <w:pPr>
              <w:pStyle w:val="NoSpacing"/>
              <w:spacing w:lineRule="auto" w:line="276"/>
              <w:rPr>
                <w:rFonts w:ascii="Arial" w:hAnsi="Arial" w:cs="Arial"/>
                <w:b/>
                <w:b/>
                <w:sz w:val="22"/>
                <w:szCs w:val="22"/>
              </w:rPr>
            </w:pPr>
            <w:r>
              <w:rPr>
                <w:rFonts w:cs="Arial" w:ascii="Arial" w:hAnsi="Arial"/>
                <w:b/>
                <w:sz w:val="22"/>
                <w:szCs w:val="22"/>
              </w:rPr>
              <w:t xml:space="preserve">Additional </w:t>
            </w:r>
          </w:p>
          <w:p>
            <w:pPr>
              <w:pStyle w:val="NoSpacing"/>
              <w:spacing w:lineRule="auto" w:line="276"/>
              <w:rPr>
                <w:rFonts w:ascii="Arial" w:hAnsi="Arial" w:cs="Arial"/>
                <w:sz w:val="22"/>
                <w:szCs w:val="22"/>
              </w:rPr>
            </w:pPr>
            <w:r>
              <w:rPr>
                <w:rFonts w:cs="Arial" w:ascii="Arial" w:hAnsi="Arial"/>
                <w:sz w:val="22"/>
                <w:szCs w:val="22"/>
              </w:rPr>
            </w:r>
          </w:p>
          <w:p>
            <w:pPr>
              <w:pStyle w:val="ListParagraph"/>
              <w:numPr>
                <w:ilvl w:val="0"/>
                <w:numId w:val="5"/>
              </w:numPr>
              <w:spacing w:lineRule="auto" w:line="276" w:before="0" w:after="160"/>
              <w:contextualSpacing/>
              <w:rPr/>
            </w:pPr>
            <w:r>
              <w:rPr/>
              <w:t>Requirement to travel outside the county to attend meetings etc. when required may include overnight stay.</w:t>
            </w:r>
          </w:p>
          <w:p>
            <w:pPr>
              <w:pStyle w:val="ListParagraph"/>
              <w:numPr>
                <w:ilvl w:val="0"/>
                <w:numId w:val="5"/>
              </w:numPr>
              <w:spacing w:lineRule="auto" w:line="276" w:before="0" w:after="160"/>
              <w:contextualSpacing/>
              <w:rPr/>
            </w:pPr>
            <w:r>
              <w:rPr/>
              <w:t>Occasional requirement to attend residential training courses</w:t>
            </w:r>
          </w:p>
          <w:p>
            <w:pPr>
              <w:pStyle w:val="ListParagraph"/>
              <w:numPr>
                <w:ilvl w:val="0"/>
                <w:numId w:val="5"/>
              </w:numPr>
              <w:spacing w:lineRule="auto" w:line="276" w:before="0" w:after="160"/>
              <w:contextualSpacing/>
              <w:rPr/>
            </w:pPr>
            <w:r>
              <w:rPr/>
              <w:t>A willingness to work flexibly as evening and weekend working will be required</w:t>
            </w:r>
          </w:p>
          <w:p>
            <w:pPr>
              <w:pStyle w:val="ListParagraph"/>
              <w:rPr/>
            </w:pPr>
            <w:r>
              <w:rPr/>
              <w:t>Willingness and ability to travel across the county when required, within a reasonable time to meet the role demands (individuals providing their own vehicle for use will be eligible for casual car user rate</w:t>
            </w:r>
          </w:p>
        </w:tc>
      </w:tr>
    </w:tbl>
    <w:p>
      <w:pPr>
        <w:pStyle w:val="Normal"/>
        <w:shd w:fill="FFFFFF" w:val="clear"/>
        <w:jc w:val="both"/>
        <w:rPr>
          <w:rFonts w:ascii="Arial" w:hAnsi="Arial" w:cs="Arial"/>
          <w:b/>
          <w:b/>
          <w:color w:val="595959"/>
          <w:sz w:val="22"/>
          <w:szCs w:val="22"/>
        </w:rPr>
      </w:pPr>
      <w:r>
        <w:rPr>
          <w:rFonts w:cs="Arial" w:ascii="Arial" w:hAnsi="Arial"/>
          <w:b/>
          <w:color w:val="595959"/>
          <w:sz w:val="22"/>
          <w:szCs w:val="22"/>
        </w:rPr>
      </w:r>
    </w:p>
    <w:p>
      <w:pPr>
        <w:pStyle w:val="Normal"/>
        <w:shd w:fill="FFFFFF" w:val="clear"/>
        <w:jc w:val="both"/>
        <w:rPr>
          <w:rFonts w:ascii="Arial" w:hAnsi="Arial" w:cs="Arial"/>
          <w:b/>
          <w:b/>
          <w:color w:val="595959"/>
          <w:sz w:val="22"/>
          <w:szCs w:val="22"/>
        </w:rPr>
      </w:pPr>
      <w:r>
        <w:rPr>
          <w:rFonts w:cs="Arial" w:ascii="Arial" w:hAnsi="Arial"/>
          <w:b/>
          <w:color w:val="595959"/>
          <w:sz w:val="22"/>
          <w:szCs w:val="22"/>
        </w:rPr>
        <w:t>Corporate Duties</w:t>
      </w:r>
    </w:p>
    <w:p>
      <w:pPr>
        <w:pStyle w:val="TextBody"/>
        <w:widowControl w:val="false"/>
        <w:tabs>
          <w:tab w:val="clear" w:pos="720"/>
          <w:tab w:val="left" w:pos="-720" w:leader="none"/>
        </w:tabs>
        <w:rPr>
          <w:color w:val="595959"/>
          <w:sz w:val="22"/>
          <w:szCs w:val="22"/>
        </w:rPr>
      </w:pPr>
      <w:r>
        <w:rPr>
          <w:color w:val="595959"/>
          <w:sz w:val="22"/>
          <w:szCs w:val="22"/>
        </w:rPr>
      </w:r>
    </w:p>
    <w:p>
      <w:pPr>
        <w:pStyle w:val="TextBody"/>
        <w:widowControl w:val="false"/>
        <w:tabs>
          <w:tab w:val="clear" w:pos="720"/>
          <w:tab w:val="left" w:pos="-720" w:leader="none"/>
        </w:tabs>
        <w:rPr>
          <w:color w:val="595959"/>
          <w:sz w:val="22"/>
          <w:szCs w:val="22"/>
        </w:rPr>
      </w:pPr>
      <w:r>
        <w:rPr>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pPr>
        <w:pStyle w:val="TextBody"/>
        <w:widowControl w:val="false"/>
        <w:tabs>
          <w:tab w:val="clear" w:pos="720"/>
          <w:tab w:val="left" w:pos="-720" w:leader="none"/>
        </w:tabs>
        <w:rPr>
          <w:color w:val="595959"/>
          <w:sz w:val="22"/>
          <w:szCs w:val="22"/>
        </w:rPr>
      </w:pPr>
      <w:r>
        <w:rPr>
          <w:color w:val="595959"/>
          <w:sz w:val="22"/>
          <w:szCs w:val="22"/>
        </w:rPr>
      </w:r>
    </w:p>
    <w:p>
      <w:pPr>
        <w:pStyle w:val="Normal"/>
        <w:widowControl w:val="false"/>
        <w:tabs>
          <w:tab w:val="clear" w:pos="720"/>
          <w:tab w:val="left" w:pos="-720" w:leader="none"/>
        </w:tabs>
        <w:jc w:val="both"/>
        <w:rPr>
          <w:rFonts w:ascii="Arial" w:hAnsi="Arial" w:cs="Arial"/>
          <w:color w:val="595959"/>
          <w:sz w:val="22"/>
          <w:szCs w:val="22"/>
        </w:rPr>
      </w:pPr>
      <w:r>
        <w:rPr>
          <w:rFonts w:cs="Arial" w:ascii="Arial" w:hAnsi="Arial"/>
          <w:color w:val="595959"/>
          <w:sz w:val="22"/>
          <w:szCs w:val="22"/>
        </w:rPr>
        <w:t>Safeguard at all times confidentiality of information relating to staff and pensioners.</w:t>
      </w:r>
    </w:p>
    <w:p>
      <w:pPr>
        <w:pStyle w:val="Normal"/>
        <w:widowControl w:val="false"/>
        <w:tabs>
          <w:tab w:val="clear" w:pos="720"/>
          <w:tab w:val="left" w:pos="-720" w:leader="none"/>
        </w:tabs>
        <w:jc w:val="both"/>
        <w:rPr>
          <w:rFonts w:ascii="Arial" w:hAnsi="Arial" w:cs="Arial"/>
          <w:color w:val="595959"/>
          <w:sz w:val="22"/>
          <w:szCs w:val="22"/>
        </w:rPr>
      </w:pPr>
      <w:r>
        <w:rPr>
          <w:rFonts w:cs="Arial" w:ascii="Arial" w:hAnsi="Arial"/>
          <w:color w:val="595959"/>
          <w:sz w:val="22"/>
          <w:szCs w:val="22"/>
        </w:rPr>
        <w:t>Refrain from smoking in any areas of Service premises.</w:t>
      </w:r>
    </w:p>
    <w:p>
      <w:pPr>
        <w:pStyle w:val="Normal"/>
        <w:widowControl w:val="false"/>
        <w:tabs>
          <w:tab w:val="clear" w:pos="720"/>
          <w:tab w:val="left" w:pos="-720" w:leader="none"/>
        </w:tabs>
        <w:jc w:val="both"/>
        <w:rPr>
          <w:rFonts w:ascii="Arial" w:hAnsi="Arial" w:cs="Arial"/>
          <w:color w:val="595959"/>
          <w:sz w:val="22"/>
          <w:szCs w:val="22"/>
        </w:rPr>
      </w:pPr>
      <w:r>
        <w:rPr>
          <w:rFonts w:cs="Arial" w:ascii="Arial" w:hAnsi="Arial"/>
          <w:color w:val="595959"/>
          <w:sz w:val="22"/>
          <w:szCs w:val="22"/>
        </w:rPr>
        <w:t>Behave in a manner that ensures the security of property and resources.</w:t>
      </w:r>
    </w:p>
    <w:p>
      <w:pPr>
        <w:pStyle w:val="Normal"/>
        <w:widowControl w:val="false"/>
        <w:tabs>
          <w:tab w:val="clear" w:pos="720"/>
          <w:tab w:val="left" w:pos="-720" w:leader="none"/>
        </w:tabs>
        <w:jc w:val="both"/>
        <w:rPr>
          <w:rFonts w:ascii="Arial" w:hAnsi="Arial" w:cs="Arial"/>
          <w:color w:val="595959"/>
          <w:sz w:val="22"/>
          <w:szCs w:val="22"/>
        </w:rPr>
      </w:pPr>
      <w:r>
        <w:rPr>
          <w:rFonts w:cs="Arial" w:ascii="Arial" w:hAnsi="Arial"/>
          <w:color w:val="595959"/>
          <w:sz w:val="22"/>
          <w:szCs w:val="22"/>
        </w:rPr>
        <w:t>Abide by all relevant Service Policies and Procedures.</w:t>
      </w:r>
    </w:p>
    <w:p>
      <w:pPr>
        <w:pStyle w:val="ListParagraph"/>
        <w:ind w:left="0" w:right="0" w:hanging="0"/>
        <w:jc w:val="both"/>
        <w:rPr>
          <w:color w:val="595959"/>
        </w:rPr>
      </w:pPr>
      <w:r>
        <w:rPr>
          <w:color w:val="595959"/>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Records Management/ Data Protection - </w:t>
      </w:r>
      <w:r>
        <w:rPr>
          <w:rFonts w:cs="Arial" w:ascii="Arial" w:hAnsi="Arial"/>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Confidentiality and Information Security - </w:t>
      </w:r>
      <w:r>
        <w:rPr>
          <w:rFonts w:cs="Arial" w:ascii="Arial" w:hAnsi="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0"/>
        <w:contextualSpacing/>
        <w:jc w:val="both"/>
        <w:rPr>
          <w:rFonts w:ascii="Arial" w:hAnsi="Arial" w:eastAsia="Arial" w:cs="Arial"/>
          <w:color w:val="595959"/>
          <w:sz w:val="22"/>
          <w:szCs w:val="22"/>
        </w:rPr>
      </w:pPr>
      <w:r>
        <w:rPr>
          <w:rFonts w:eastAsia="Arial" w:cs="Arial" w:ascii="Arial" w:hAnsi="Arial"/>
          <w:color w:val="595959"/>
          <w:sz w:val="22"/>
          <w:szCs w:val="22"/>
        </w:rPr>
        <w:t xml:space="preserve"> </w:t>
      </w:r>
    </w:p>
    <w:p>
      <w:pPr>
        <w:pStyle w:val="Normal"/>
        <w:spacing w:before="0" w:after="0"/>
        <w:contextualSpacing/>
        <w:jc w:val="both"/>
        <w:rPr/>
      </w:pPr>
      <w:r>
        <w:rPr>
          <w:rFonts w:cs="Arial" w:ascii="Arial" w:hAnsi="Arial"/>
          <w:b/>
          <w:color w:val="595959"/>
          <w:sz w:val="22"/>
          <w:szCs w:val="22"/>
        </w:rPr>
        <w:t xml:space="preserve">Data Quality - </w:t>
      </w:r>
      <w:r>
        <w:rPr>
          <w:rFonts w:cs="Arial" w:ascii="Arial" w:hAnsi="Arial"/>
          <w:color w:val="595959"/>
          <w:sz w:val="22"/>
          <w:szCs w:val="22"/>
        </w:rPr>
        <w:t>All staff are personally responsible</w:t>
      </w:r>
      <w:r>
        <w:rPr>
          <w:rFonts w:cs="Arial" w:ascii="Arial" w:hAnsi="Arial"/>
          <w:b/>
          <w:bCs/>
          <w:color w:val="595959"/>
          <w:sz w:val="22"/>
          <w:szCs w:val="22"/>
        </w:rPr>
        <w:t xml:space="preserve"> </w:t>
      </w:r>
      <w:r>
        <w:rPr>
          <w:rFonts w:cs="Arial" w:ascii="Arial" w:hAnsi="Arial"/>
          <w:color w:val="595959"/>
          <w:sz w:val="22"/>
          <w:szCs w:val="22"/>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jc w:val="both"/>
        <w:rPr>
          <w:rFonts w:ascii="Arial" w:hAnsi="Arial" w:cs="Arial"/>
          <w:color w:val="595959"/>
          <w:sz w:val="22"/>
          <w:szCs w:val="22"/>
        </w:rPr>
      </w:pPr>
      <w:r>
        <w:rPr>
          <w:rFonts w:cs="Arial" w:ascii="Arial" w:hAnsi="Arial"/>
          <w:color w:val="595959"/>
          <w:sz w:val="22"/>
          <w:szCs w:val="22"/>
        </w:rPr>
        <w:t>  </w:t>
      </w:r>
    </w:p>
    <w:p>
      <w:pPr>
        <w:pStyle w:val="Normal"/>
        <w:jc w:val="both"/>
        <w:rPr>
          <w:rFonts w:ascii="Arial" w:hAnsi="Arial" w:cs="Arial"/>
          <w:color w:val="595959"/>
          <w:sz w:val="22"/>
          <w:szCs w:val="22"/>
        </w:rPr>
      </w:pPr>
      <w:r>
        <w:rPr>
          <w:rFonts w:cs="Arial" w:ascii="Arial" w:hAnsi="Arial"/>
          <w:color w:val="595959"/>
          <w:sz w:val="22"/>
          <w:szCs w:val="22"/>
        </w:rPr>
        <w:t xml:space="preserve">To ensure data is handled in a secure manner protecting the confidentiality of any personal data held in meeting the requirements of the Data Protection Act. </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Health and Safety - </w:t>
      </w:r>
      <w:r>
        <w:rPr>
          <w:rFonts w:cs="Arial" w:ascii="Arial" w:hAnsi="Arial"/>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Service Policies - </w:t>
      </w:r>
      <w:r>
        <w:rPr>
          <w:rFonts w:cs="Arial" w:ascii="Arial" w:hAnsi="Arial"/>
          <w:color w:val="595959"/>
          <w:sz w:val="22"/>
          <w:szCs w:val="22"/>
        </w:rPr>
        <w:t>All GMCA employees must observe and adhere to the provisions outlined in these policies.</w:t>
      </w:r>
    </w:p>
    <w:p>
      <w:pPr>
        <w:pStyle w:val="Normal"/>
        <w:spacing w:before="0" w:after="0"/>
        <w:contextualSpacing/>
        <w:jc w:val="both"/>
        <w:rPr>
          <w:rFonts w:ascii="Arial" w:hAnsi="Arial" w:cs="Arial"/>
          <w:color w:val="595959"/>
          <w:sz w:val="22"/>
          <w:szCs w:val="22"/>
        </w:rPr>
      </w:pPr>
      <w:r>
        <w:rPr>
          <w:rFonts w:cs="Arial" w:ascii="Arial" w:hAnsi="Arial"/>
          <w:color w:val="595959"/>
          <w:sz w:val="22"/>
          <w:szCs w:val="22"/>
        </w:rPr>
      </w:r>
    </w:p>
    <w:p>
      <w:pPr>
        <w:pStyle w:val="Body"/>
        <w:ind w:left="0" w:right="261" w:hanging="0"/>
        <w:rPr/>
      </w:pPr>
      <w:r>
        <w:rPr>
          <w:b/>
          <w:color w:val="595959"/>
        </w:rPr>
        <w:t xml:space="preserve">Equal Opportunities - </w:t>
      </w:r>
      <w:r>
        <w:rPr>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headerReference w:type="default" r:id="rId3"/>
      <w:headerReference w:type="first" r:id="rId4"/>
      <w:footerReference w:type="default" r:id="rId5"/>
      <w:footerReference w:type="first" r:id="rId6"/>
      <w:type w:val="nextPage"/>
      <w:pgSz w:w="11906" w:h="16838"/>
      <w:pgMar w:left="1440" w:right="1440" w:header="426" w:top="993"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6</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3">
    <w:lvl w:ilvl="0">
      <w:start w:val="1"/>
      <w:numFmt w:val="decimal"/>
      <w:lvlText w:val="%1."/>
      <w:lvlJc w:val="left"/>
      <w:pPr>
        <w:tabs>
          <w:tab w:val="num" w:pos="1069"/>
        </w:tabs>
        <w:ind w:left="1069" w:hanging="360"/>
      </w:pPr>
      <w:rPr>
        <w:sz w:val="22"/>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720" w:hanging="360"/>
      </w:pPr>
      <w:rPr>
        <w:rFonts w:ascii="Symbol" w:hAnsi="Symbol" w:cs="Symbol" w:hint="default"/>
        <w:sz w:val="22"/>
        <w:szCs w:val="22"/>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cs="Cambria"/>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rPr>
  </w:style>
  <w:style w:type="paragraph" w:styleId="Heading3">
    <w:name w:val="Heading 3"/>
    <w:next w:val="Body"/>
    <w:qFormat/>
    <w:pPr>
      <w:keepNext w:val="true"/>
      <w:widowControl/>
      <w:numPr>
        <w:ilvl w:val="2"/>
        <w:numId w:val="1"/>
      </w:numPr>
      <w:suppressAutoHyphens w:val="true"/>
      <w:bidi w:val="0"/>
      <w:spacing w:before="0" w:after="0"/>
      <w:jc w:val="left"/>
      <w:outlineLvl w:val="2"/>
    </w:pPr>
    <w:rPr>
      <w:rFonts w:ascii="Arial" w:hAnsi="Arial" w:eastAsia="Arial" w:cs="Arial"/>
      <w:b/>
      <w:bCs/>
      <w:color w:val="FFFFFF"/>
      <w:kern w:val="0"/>
      <w:sz w:val="24"/>
      <w:szCs w:val="24"/>
      <w:u w:val="none" w:color="FFFFFF"/>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Arial" w:hAnsi="Arial" w:cs="Arial"/>
      <w:sz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sz w:val="22"/>
      <w:szCs w:val="22"/>
      <w:lang w:val="en-G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Heading3Char">
    <w:name w:val="Heading 3 Char"/>
    <w:basedOn w:val="DefaultParagraphFont"/>
    <w:qFormat/>
    <w:rPr>
      <w:rFonts w:ascii="Arial" w:hAnsi="Arial" w:eastAsia="Arial" w:cs="Arial"/>
      <w:b/>
      <w:bCs/>
      <w:color w:val="FFFFFF"/>
      <w:sz w:val="24"/>
      <w:szCs w:val="24"/>
      <w:u w:val="none" w:color="FFFFFF"/>
      <w:lang w:val="en-US"/>
    </w:rPr>
  </w:style>
  <w:style w:type="character" w:styleId="HeaderChar">
    <w:name w:val="Header Char"/>
    <w:basedOn w:val="DefaultParagraphFont"/>
    <w:qFormat/>
    <w:rPr>
      <w:rFonts w:ascii="Arial" w:hAnsi="Arial" w:eastAsia="Arial" w:cs="Arial"/>
      <w:color w:val="000000"/>
      <w:u w:val="none" w:color="000000"/>
      <w:lang w:val="en-US"/>
    </w:rPr>
  </w:style>
  <w:style w:type="character" w:styleId="FooterChar">
    <w:name w:val="Footer Char"/>
    <w:basedOn w:val="DefaultParagraphFont"/>
    <w:qFormat/>
    <w:rPr>
      <w:rFonts w:ascii="Arial" w:hAnsi="Arial" w:eastAsia="Arial" w:cs="Arial"/>
      <w:color w:val="000000"/>
      <w:u w:val="none" w:color="000000"/>
      <w:lang w:val="en-US"/>
    </w:rPr>
  </w:style>
  <w:style w:type="character" w:styleId="Heading1Char">
    <w:name w:val="Heading 1 Char"/>
    <w:basedOn w:val="DefaultParagraphFont"/>
    <w:qFormat/>
    <w:rPr>
      <w:rFonts w:ascii="Cambria" w:hAnsi="Cambria" w:cs="Cambria"/>
      <w:b/>
      <w:bCs/>
      <w:color w:val="365F91"/>
      <w:sz w:val="28"/>
      <w:szCs w:val="28"/>
      <w:lang w:val="en-US"/>
    </w:rPr>
  </w:style>
  <w:style w:type="character" w:styleId="Heading2Char">
    <w:name w:val="Heading 2 Char"/>
    <w:basedOn w:val="DefaultParagraphFont"/>
    <w:qFormat/>
    <w:rPr>
      <w:rFonts w:ascii="Cambria" w:hAnsi="Cambria" w:cs="Cambria"/>
      <w:b/>
      <w:bCs/>
      <w:color w:val="4F81BD"/>
      <w:sz w:val="26"/>
      <w:szCs w:val="26"/>
      <w:lang w:val="en-US"/>
    </w:rPr>
  </w:style>
  <w:style w:type="character" w:styleId="BalloonTextChar">
    <w:name w:val="Balloon Text Char"/>
    <w:basedOn w:val="DefaultParagraphFont"/>
    <w:qFormat/>
    <w:rPr>
      <w:rFonts w:ascii="Tahoma" w:hAnsi="Tahoma" w:eastAsia="Arial Unicode MS" w:cs="Tahoma"/>
      <w:sz w:val="16"/>
      <w:szCs w:val="16"/>
      <w:lang w:val="en-US"/>
    </w:rPr>
  </w:style>
  <w:style w:type="character" w:styleId="PlainTextChar">
    <w:name w:val="Plain Text Char"/>
    <w:basedOn w:val="DefaultParagraphFont"/>
    <w:qFormat/>
    <w:rPr>
      <w:rFonts w:ascii="Courier New" w:hAnsi="Courier New" w:eastAsia="Times New Roman" w:cs="Times New Roman"/>
      <w:sz w:val="20"/>
      <w:szCs w:val="20"/>
    </w:rPr>
  </w:style>
  <w:style w:type="character" w:styleId="BodyTextChar">
    <w:name w:val="Body Text Char"/>
    <w:basedOn w:val="DefaultParagraphFont"/>
    <w:qFormat/>
    <w:rPr>
      <w:rFonts w:ascii="Arial" w:hAnsi="Arial" w:eastAsia="Times New Roman" w:cs="Times New Roman"/>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napToGrid w:val="false"/>
    </w:pPr>
    <w:rPr>
      <w:rFonts w:ascii="Arial" w:hAnsi="Arial" w:eastAsia="Times New Roman" w:cs="Arial"/>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rPr>
  </w:style>
  <w:style w:type="paragraph" w:styleId="HeaderandFooter">
    <w:name w:val="Header and Footer"/>
    <w:basedOn w:val="Normal"/>
    <w:qFormat/>
    <w:pPr/>
    <w:rPr/>
  </w:style>
  <w:style w:type="paragraph" w:styleId="Header">
    <w:name w:val="Header"/>
    <w:pPr>
      <w:widowControl/>
      <w:tabs>
        <w:tab w:val="clear" w:pos="720"/>
        <w:tab w:val="center" w:pos="4153" w:leader="none"/>
        <w:tab w:val="right" w:pos="8306" w:leader="none"/>
      </w:tabs>
      <w:suppressAutoHyphens w:val="true"/>
      <w:bidi w:val="0"/>
      <w:spacing w:before="0" w:after="0"/>
      <w:jc w:val="left"/>
    </w:pPr>
    <w:rPr>
      <w:rFonts w:ascii="Arial" w:hAnsi="Arial" w:eastAsia="Arial" w:cs="Arial"/>
      <w:color w:val="000000"/>
      <w:kern w:val="0"/>
      <w:sz w:val="24"/>
      <w:szCs w:val="22"/>
      <w:u w:val="none" w:color="000000"/>
      <w:lang w:val="en-US" w:eastAsia="en-US" w:bidi="ar-SA"/>
    </w:rPr>
  </w:style>
  <w:style w:type="paragraph" w:styleId="Footer">
    <w:name w:val="Footer"/>
    <w:pPr>
      <w:widowControl/>
      <w:tabs>
        <w:tab w:val="clear" w:pos="720"/>
        <w:tab w:val="center" w:pos="4153" w:leader="none"/>
        <w:tab w:val="right" w:pos="8306" w:leader="none"/>
      </w:tabs>
      <w:suppressAutoHyphens w:val="true"/>
      <w:bidi w:val="0"/>
      <w:spacing w:before="0" w:after="0"/>
      <w:jc w:val="left"/>
    </w:pPr>
    <w:rPr>
      <w:rFonts w:ascii="Arial" w:hAnsi="Arial" w:eastAsia="Arial" w:cs="Arial"/>
      <w:color w:val="000000"/>
      <w:kern w:val="0"/>
      <w:sz w:val="24"/>
      <w:szCs w:val="22"/>
      <w:u w:val="none" w:color="000000"/>
      <w:lang w:val="en-US" w:eastAsia="en-US" w:bidi="ar-SA"/>
    </w:rPr>
  </w:style>
  <w:style w:type="paragraph" w:styleId="Body">
    <w:name w:val="Body"/>
    <w:qFormat/>
    <w:pPr>
      <w:widowControl/>
      <w:suppressAutoHyphens w:val="true"/>
      <w:bidi w:val="0"/>
      <w:spacing w:before="0" w:after="0"/>
      <w:jc w:val="left"/>
    </w:pPr>
    <w:rPr>
      <w:rFonts w:ascii="Arial" w:hAnsi="Arial" w:eastAsia="Arial" w:cs="Arial"/>
      <w:color w:val="000000"/>
      <w:kern w:val="0"/>
      <w:sz w:val="24"/>
      <w:szCs w:val="22"/>
      <w:u w:val="none" w:color="000000"/>
      <w:lang w:val="en-GB" w:eastAsia="en-US" w:bidi="ar-SA"/>
    </w:rPr>
  </w:style>
  <w:style w:type="paragraph" w:styleId="ListParagraph">
    <w:name w:val="List Paragraph"/>
    <w:qFormat/>
    <w:pPr>
      <w:widowControl/>
      <w:suppressAutoHyphens w:val="true"/>
      <w:bidi w:val="0"/>
      <w:spacing w:before="0" w:after="0"/>
      <w:ind w:left="720" w:right="0" w:hanging="0"/>
      <w:jc w:val="left"/>
    </w:pPr>
    <w:rPr>
      <w:rFonts w:ascii="Arial" w:hAnsi="Arial" w:eastAsia="Arial" w:cs="Arial"/>
      <w:color w:val="000000"/>
      <w:kern w:val="0"/>
      <w:sz w:val="24"/>
      <w:szCs w:val="22"/>
      <w:u w:val="none" w:color="000000"/>
      <w:lang w:val="en-US" w:eastAsia="en-US" w:bidi="ar-SA"/>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before="0" w:after="0"/>
      <w:jc w:val="left"/>
    </w:pPr>
    <w:rPr>
      <w:rFonts w:ascii="Verdana" w:hAnsi="Verdana" w:eastAsia="Times New Roman" w:cs="Verdana"/>
      <w:color w:val="000000"/>
      <w:kern w:val="0"/>
      <w:sz w:val="24"/>
      <w:szCs w:val="24"/>
      <w:lang w:val="en-GB" w:eastAsia="en-GB" w:bidi="ar-SA"/>
    </w:rPr>
  </w:style>
  <w:style w:type="paragraph" w:styleId="PlainText">
    <w:name w:val="Plain Text"/>
    <w:basedOn w:val="Normal"/>
    <w:qFormat/>
    <w:pPr/>
    <w:rPr>
      <w:rFonts w:ascii="Courier New" w:hAnsi="Courier New" w:eastAsia="Times New Roman" w:cs="Courier New"/>
      <w:sz w:val="20"/>
      <w:szCs w:val="20"/>
      <w:lang w:val="en-GB"/>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Indent3">
    <w:name w:val="Body Text Indent 3"/>
    <w:basedOn w:val="Normal"/>
    <w:qFormat/>
    <w:pPr>
      <w:spacing w:before="0" w:after="120"/>
      <w:ind w:left="283" w:right="0" w:hanging="0"/>
    </w:pPr>
    <w:rPr>
      <w:sz w:val="16"/>
      <w:szCs w:val="16"/>
    </w:rPr>
  </w:style>
  <w:style w:type="paragraph" w:styleId="NoSpacing">
    <w:name w:val="No Spacing"/>
    <w:qFormat/>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2026-07-14T14:45:00Z</dcterms:created>
  <dc:creator>Caddy-Dale, Anna (Manchester Growth Company)</dc:creator>
  <dc:description/>
  <dc:language>en-US</dc:language>
  <cp:lastModifiedBy>Ashraf, Maria</cp:lastModifiedBy>
  <cp:lastPrinted>1995-11-21T17:41:00Z</cp:lastPrinted>
  <dcterms:modified xsi:type="dcterms:W3CDTF">2026-07-14T14:45:00Z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0x010100F6E6D412EB0D8246B342A91F5378EFE9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