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hd w:fill="004F6E" w:val="clear"/>
        <w:ind w:hanging="0" w:left="0"/>
        <w:rPr>
          <w:rFonts w:cs="Arial"/>
          <w:sz w:val="24"/>
          <w:szCs w:val="24"/>
        </w:rPr>
      </w:pPr>
      <w:r>
        <w:rPr>
          <w:rFonts w:cs="Arial"/>
          <w:sz w:val="24"/>
          <w:szCs w:val="24"/>
        </w:rPr>
        <w:t>Senior Project Manager, Children’s Services - Role profile</w:t>
      </w:r>
    </w:p>
    <w:p>
      <w:pPr>
        <w:pStyle w:val="ListParagraph"/>
        <w:numPr>
          <w:ilvl w:val="0"/>
          <w:numId w:val="2"/>
        </w:numPr>
        <w:rPr/>
      </w:pPr>
      <w:r>
        <w:rPr>
          <w:rFonts w:cs="Arial"/>
          <w:b/>
          <w:bCs/>
          <w:szCs w:val="24"/>
        </w:rPr>
        <w:t>Job title</w:t>
      </w:r>
      <w:r>
        <w:rPr>
          <w:rFonts w:cs="Arial"/>
          <w:szCs w:val="24"/>
        </w:rPr>
        <w:t xml:space="preserve">: Senior Project Manager, Children’s Services </w:t>
      </w:r>
    </w:p>
    <w:p>
      <w:pPr>
        <w:pStyle w:val="ListParagraph"/>
        <w:numPr>
          <w:ilvl w:val="0"/>
          <w:numId w:val="2"/>
        </w:numPr>
        <w:rPr/>
      </w:pPr>
      <w:r>
        <w:rPr>
          <w:rFonts w:cs="Arial"/>
          <w:b/>
          <w:bCs/>
          <w:szCs w:val="24"/>
        </w:rPr>
        <w:t>Grade:</w:t>
      </w:r>
      <w:r>
        <w:rPr>
          <w:rFonts w:cs="Arial"/>
          <w:szCs w:val="24"/>
        </w:rPr>
        <w:t xml:space="preserve"> Grade 10</w:t>
      </w:r>
    </w:p>
    <w:p>
      <w:pPr>
        <w:pStyle w:val="ListParagraph"/>
        <w:numPr>
          <w:ilvl w:val="0"/>
          <w:numId w:val="2"/>
        </w:numPr>
        <w:rPr/>
      </w:pPr>
      <w:r>
        <w:rPr>
          <w:rFonts w:cs="Arial"/>
          <w:b/>
          <w:bCs/>
          <w:szCs w:val="24"/>
        </w:rPr>
        <w:t>Term:</w:t>
      </w:r>
      <w:r>
        <w:rPr>
          <w:rFonts w:cs="Arial"/>
          <w:szCs w:val="24"/>
        </w:rPr>
        <w:t> 12 month fixed-term  </w:t>
      </w:r>
    </w:p>
    <w:p>
      <w:pPr>
        <w:pStyle w:val="ListParagraph"/>
        <w:numPr>
          <w:ilvl w:val="0"/>
          <w:numId w:val="2"/>
        </w:numPr>
        <w:rPr/>
      </w:pPr>
      <w:r>
        <w:rPr>
          <w:rFonts w:cs="Arial"/>
          <w:b/>
          <w:bCs/>
          <w:szCs w:val="24"/>
        </w:rPr>
        <w:t>Business area:</w:t>
      </w:r>
      <w:r>
        <w:rPr>
          <w:rFonts w:cs="Arial"/>
          <w:szCs w:val="24"/>
        </w:rPr>
        <w:t xml:space="preserve"> Public Sector Reform</w:t>
      </w:r>
    </w:p>
    <w:p>
      <w:pPr>
        <w:pStyle w:val="ListParagraph"/>
        <w:numPr>
          <w:ilvl w:val="0"/>
          <w:numId w:val="2"/>
        </w:numPr>
        <w:rPr/>
      </w:pPr>
      <w:r>
        <w:rPr>
          <w:rFonts w:cs="Arial"/>
          <w:b/>
          <w:bCs/>
          <w:szCs w:val="24"/>
        </w:rPr>
        <w:t>Reporting line:</w:t>
      </w:r>
      <w:r>
        <w:rPr>
          <w:rFonts w:cs="Arial"/>
          <w:szCs w:val="24"/>
        </w:rPr>
        <w:t xml:space="preserve"> Senior Principal, Early Years and Family Help; Families First Programme Lead</w:t>
      </w:r>
    </w:p>
    <w:p>
      <w:pPr>
        <w:pStyle w:val="ListParagraph"/>
        <w:numPr>
          <w:ilvl w:val="0"/>
          <w:numId w:val="2"/>
        </w:numPr>
        <w:rPr/>
      </w:pPr>
      <w:r>
        <w:rPr>
          <w:rFonts w:cs="Arial"/>
          <w:b/>
          <w:bCs/>
          <w:szCs w:val="24"/>
        </w:rPr>
        <w:t>Team:</w:t>
      </w:r>
      <w:r>
        <w:rPr>
          <w:rFonts w:cs="Arial"/>
          <w:szCs w:val="24"/>
        </w:rPr>
        <w:t xml:space="preserve"> Children and Young People </w:t>
      </w:r>
    </w:p>
    <w:p>
      <w:pPr>
        <w:pStyle w:val="Normal"/>
        <w:ind w:left="360" w:right="0"/>
        <w:rPr>
          <w:rFonts w:cs="Arial"/>
          <w:b/>
          <w:bCs/>
          <w:szCs w:val="24"/>
        </w:rPr>
      </w:pPr>
      <w:r>
        <w:rPr>
          <w:rFonts w:cs="Arial"/>
          <w:b/>
          <w:bCs/>
          <w:szCs w:val="24"/>
        </w:rPr>
        <w:t>Job Purpose</w:t>
      </w:r>
    </w:p>
    <w:p>
      <w:pPr>
        <w:pStyle w:val="Normal"/>
        <w:rPr>
          <w:rFonts w:cs="Arial"/>
          <w:szCs w:val="24"/>
        </w:rPr>
      </w:pPr>
      <w:r>
        <w:rPr>
          <w:rFonts w:cs="Arial"/>
          <w:szCs w:val="24"/>
        </w:rPr>
        <w:t xml:space="preserve">This post is a 12 month fixed-term role supporting delivery of transformation initiatives that focus on developing integrated neighbourhood health services and family support across Greater Manchester. The role sits within the Children and Young Peoples team in the GMCA Public Service Reform directorate but will work closely with NHS Greater Manchester on health led initiatives. </w:t>
      </w:r>
    </w:p>
    <w:p>
      <w:pPr>
        <w:pStyle w:val="Normal"/>
        <w:rPr>
          <w:rFonts w:cs="Arial"/>
          <w:szCs w:val="24"/>
          <w:lang w:val="en-US"/>
        </w:rPr>
      </w:pPr>
      <w:r>
        <w:rPr>
          <w:rFonts w:cs="Arial"/>
          <w:szCs w:val="24"/>
          <w:lang w:val="en-US"/>
        </w:rPr>
        <w:t>The postholder will play a pivotal role in supporting the Greater Manchester system with the design, implementation and evaluation of integrated, neighbourhood models that bring together health providers, Local Authorities and VCFSE partners to improve outcomes for children and young people.  This will include a focus on GM system approaches to design and delivery of:</w:t>
      </w:r>
    </w:p>
    <w:p>
      <w:pPr>
        <w:pStyle w:val="ListParagraph"/>
        <w:numPr>
          <w:ilvl w:val="0"/>
          <w:numId w:val="8"/>
        </w:numPr>
        <w:rPr/>
      </w:pPr>
      <w:r>
        <w:rPr>
          <w:rFonts w:cs="Arial"/>
          <w:szCs w:val="24"/>
          <w:lang w:val="en-US"/>
        </w:rPr>
        <w:t xml:space="preserve">Neighborhood multi-disciplinary teams for children and young people, </w:t>
      </w:r>
    </w:p>
    <w:p>
      <w:pPr>
        <w:pStyle w:val="ListParagraph"/>
        <w:numPr>
          <w:ilvl w:val="0"/>
          <w:numId w:val="8"/>
        </w:numPr>
        <w:rPr/>
      </w:pPr>
      <w:r>
        <w:rPr>
          <w:rFonts w:cs="Arial"/>
          <w:szCs w:val="24"/>
          <w:lang w:val="en-US"/>
        </w:rPr>
        <w:t xml:space="preserve">Best Start in Life integrated early years support and Family Hubs, </w:t>
      </w:r>
    </w:p>
    <w:p>
      <w:pPr>
        <w:pStyle w:val="ListParagraph"/>
        <w:numPr>
          <w:ilvl w:val="0"/>
          <w:numId w:val="8"/>
        </w:numPr>
        <w:rPr/>
      </w:pPr>
      <w:r>
        <w:rPr>
          <w:rFonts w:cs="Arial"/>
          <w:szCs w:val="24"/>
          <w:lang w:val="en-US"/>
        </w:rPr>
        <w:t xml:space="preserve">Families First Partnership. </w:t>
      </w:r>
    </w:p>
    <w:p>
      <w:pPr>
        <w:pStyle w:val="Normal"/>
        <w:rPr/>
      </w:pPr>
      <w:r>
        <w:rPr>
          <w:rFonts w:cs="Arial"/>
          <w:szCs w:val="24"/>
          <w:lang w:val="en-US"/>
        </w:rPr>
        <w:t xml:space="preserve">The role will work with a diverse range of stakeholders across the Integrated Care Partnership </w:t>
      </w:r>
      <w:r>
        <w:rPr>
          <w:rFonts w:cs="Arial"/>
          <w:szCs w:val="24"/>
        </w:rPr>
        <w:t xml:space="preserve">to align CYP neighbourhood health objectives with wider GM system priorities, and ensure a focus on prevention, early intervention and reducing inequalities. It will facilitate key activities including development of integrated governance, programme planning and delivery to realise GM standards and frameworks to inform local delivery models and GM system stakeholder communication and engagement. </w:t>
      </w:r>
    </w:p>
    <w:p>
      <w:pPr>
        <w:pStyle w:val="Normal"/>
        <w:rPr>
          <w:rFonts w:cs="Arial"/>
          <w:szCs w:val="24"/>
        </w:rPr>
      </w:pPr>
      <w:r>
        <w:rPr>
          <w:rFonts w:cs="Arial"/>
          <w:szCs w:val="24"/>
        </w:rPr>
        <w:t xml:space="preserve">The GM Children’s programme supports the work of GM local authorities and partners in improving outcomes for GM children &amp; young people with an emphasis on the added value to be gained from GM level collaboration. The current programme team covers a breadth of thematic areas including Early Years, SEND, Looked After Children &amp; Care Leavers, Children’s Safeguarding, Fostering, Family help &amp; Family Hubs, #Beewell and aspects of education policy. It supports a number of shared priorities in the Integrated Care Partnership Joint Forward Plan for Children and Young People and works closely with NHS Greater Manchester as well as other internal directorates within GMCA. </w:t>
      </w:r>
    </w:p>
    <w:p>
      <w:pPr>
        <w:pStyle w:val="Heading2"/>
        <w:ind w:hanging="0" w:left="0"/>
        <w:rPr>
          <w:rFonts w:cs="Arial"/>
          <w:sz w:val="24"/>
          <w:szCs w:val="24"/>
        </w:rPr>
      </w:pPr>
      <w:r>
        <w:rPr>
          <w:rFonts w:cs="Arial"/>
          <w:sz w:val="24"/>
          <w:szCs w:val="24"/>
        </w:rPr>
        <w:t>Key working relationships</w:t>
      </w:r>
    </w:p>
    <w:p>
      <w:pPr>
        <w:pStyle w:val="ListParagraph"/>
        <w:numPr>
          <w:ilvl w:val="0"/>
          <w:numId w:val="3"/>
        </w:numPr>
        <w:rPr/>
      </w:pPr>
      <w:r>
        <w:rPr>
          <w:rFonts w:cs="Arial"/>
          <w:color w:val="auto"/>
          <w:szCs w:val="24"/>
        </w:rPr>
        <w:t>GM Local Authorities and Childrens Services Teams.</w:t>
      </w:r>
    </w:p>
    <w:p>
      <w:pPr>
        <w:pStyle w:val="ListParagraph"/>
        <w:numPr>
          <w:ilvl w:val="0"/>
          <w:numId w:val="3"/>
        </w:numPr>
        <w:rPr/>
      </w:pPr>
      <w:r>
        <w:rPr>
          <w:rFonts w:cs="Arial"/>
          <w:color w:val="auto"/>
          <w:szCs w:val="24"/>
        </w:rPr>
        <w:t xml:space="preserve">NHS GM </w:t>
      </w:r>
    </w:p>
    <w:p>
      <w:pPr>
        <w:pStyle w:val="ListParagraph"/>
        <w:numPr>
          <w:ilvl w:val="0"/>
          <w:numId w:val="3"/>
        </w:numPr>
        <w:rPr/>
      </w:pPr>
      <w:r>
        <w:rPr>
          <w:rFonts w:cs="Arial"/>
          <w:color w:val="auto"/>
          <w:szCs w:val="24"/>
        </w:rPr>
        <w:t>Voluntary, community, social enterprise and faith sector representatives</w:t>
      </w:r>
    </w:p>
    <w:p>
      <w:pPr>
        <w:pStyle w:val="ListParagraph"/>
        <w:numPr>
          <w:ilvl w:val="0"/>
          <w:numId w:val="3"/>
        </w:numPr>
        <w:rPr/>
      </w:pPr>
      <w:r>
        <w:rPr>
          <w:rFonts w:cs="Arial"/>
          <w:color w:val="auto"/>
          <w:szCs w:val="24"/>
        </w:rPr>
        <w:t xml:space="preserve">External consultants and clinical leads </w:t>
      </w:r>
    </w:p>
    <w:p>
      <w:pPr>
        <w:pStyle w:val="ListParagraph"/>
        <w:numPr>
          <w:ilvl w:val="0"/>
          <w:numId w:val="3"/>
        </w:numPr>
        <w:rPr/>
      </w:pPr>
      <w:r>
        <w:rPr>
          <w:rFonts w:cs="Arial"/>
          <w:color w:val="auto"/>
          <w:szCs w:val="24"/>
        </w:rPr>
        <w:t>Corporate service colleagues including procurement, information governance and legal</w:t>
      </w:r>
    </w:p>
    <w:p>
      <w:pPr>
        <w:pStyle w:val="ListParagraph"/>
        <w:numPr>
          <w:ilvl w:val="0"/>
          <w:numId w:val="3"/>
        </w:numPr>
        <w:rPr/>
      </w:pPr>
      <w:r>
        <w:rPr>
          <w:rFonts w:cs="Arial"/>
          <w:color w:val="auto"/>
          <w:szCs w:val="24"/>
        </w:rPr>
        <w:t xml:space="preserve">National government departments </w:t>
      </w:r>
    </w:p>
    <w:p>
      <w:pPr>
        <w:pStyle w:val="ListParagraph"/>
        <w:numPr>
          <w:ilvl w:val="0"/>
          <w:numId w:val="3"/>
        </w:numPr>
        <w:rPr/>
      </w:pPr>
      <w:r>
        <w:rPr>
          <w:rFonts w:cs="Arial"/>
          <w:color w:val="auto"/>
          <w:szCs w:val="24"/>
        </w:rPr>
        <w:t>Senior Managers and staff across GMCA Directorates</w:t>
      </w:r>
    </w:p>
    <w:p>
      <w:pPr>
        <w:pStyle w:val="Heading2"/>
        <w:ind w:hanging="0" w:left="0"/>
        <w:rPr>
          <w:rFonts w:cs="Arial"/>
          <w:sz w:val="24"/>
          <w:szCs w:val="24"/>
        </w:rPr>
      </w:pPr>
      <w:r>
        <w:rPr>
          <w:rFonts w:cs="Arial"/>
          <w:sz w:val="24"/>
          <w:szCs w:val="24"/>
        </w:rPr>
        <w:t>Key Responsibilities</w:t>
      </w:r>
    </w:p>
    <w:p>
      <w:pPr>
        <w:pStyle w:val="Normal"/>
        <w:ind w:left="360" w:right="0"/>
        <w:rPr>
          <w:rFonts w:cs="Arial"/>
          <w:szCs w:val="24"/>
        </w:rPr>
      </w:pPr>
      <w:r>
        <w:rPr>
          <w:rFonts w:cs="Arial"/>
          <w:szCs w:val="24"/>
        </w:rPr>
        <w:t>You will be responsible for the management and delivery of pan-GM projects, at the outset the key responsibilities will focus on:</w:t>
      </w:r>
    </w:p>
    <w:p>
      <w:pPr>
        <w:pStyle w:val="ListParagraph"/>
        <w:widowControl/>
        <w:numPr>
          <w:ilvl w:val="0"/>
          <w:numId w:val="4"/>
        </w:numPr>
        <w:spacing w:lineRule="auto" w:line="240" w:before="120" w:after="120"/>
        <w:ind w:hanging="545" w:left="905" w:right="0"/>
        <w:rPr/>
      </w:pPr>
      <w:r>
        <w:rPr>
          <w:szCs w:val="24"/>
          <w:lang w:eastAsia="en-GB"/>
        </w:rPr>
        <w:t xml:space="preserve">To provide oversight of the relevant projects and project planning, delivery and evaluation. </w:t>
      </w:r>
    </w:p>
    <w:p>
      <w:pPr>
        <w:pStyle w:val="Default"/>
        <w:widowControl/>
        <w:numPr>
          <w:ilvl w:val="0"/>
          <w:numId w:val="4"/>
        </w:numPr>
        <w:tabs>
          <w:tab w:val="clear" w:pos="720"/>
          <w:tab w:val="left" w:pos="1026" w:leader="none"/>
        </w:tabs>
        <w:spacing w:before="120" w:after="120"/>
        <w:ind w:hanging="545" w:left="905" w:right="0"/>
        <w:rPr/>
      </w:pPr>
      <w:r>
        <w:rPr/>
        <w:t xml:space="preserve">To build and maintain good working relationships and effective communication with all relevant stakeholders at a </w:t>
      </w:r>
      <w:r>
        <w:rPr>
          <w:color w:val="auto"/>
        </w:rPr>
        <w:t>Greater Manchester, local level and national level.</w:t>
      </w:r>
    </w:p>
    <w:p>
      <w:pPr>
        <w:pStyle w:val="ListParagraph"/>
        <w:widowControl/>
        <w:numPr>
          <w:ilvl w:val="0"/>
          <w:numId w:val="4"/>
        </w:numPr>
        <w:spacing w:lineRule="auto" w:line="240" w:before="120" w:after="120"/>
        <w:ind w:hanging="545" w:left="905" w:right="0"/>
        <w:rPr/>
      </w:pPr>
      <w:r>
        <w:rPr>
          <w:szCs w:val="24"/>
          <w:lang w:eastAsia="en-GB"/>
        </w:rPr>
        <w:t>To produce project documentation as required in line with the requirements for the overall programme of work ensuring that it is up to date and can be easily reviewed.</w:t>
      </w:r>
    </w:p>
    <w:p>
      <w:pPr>
        <w:pStyle w:val="ListParagraph"/>
        <w:widowControl/>
        <w:numPr>
          <w:ilvl w:val="0"/>
          <w:numId w:val="4"/>
        </w:numPr>
        <w:spacing w:lineRule="auto" w:line="240" w:before="120" w:after="120"/>
        <w:ind w:hanging="545" w:left="905" w:right="0"/>
        <w:rPr/>
      </w:pPr>
      <w:r>
        <w:rPr>
          <w:szCs w:val="24"/>
        </w:rPr>
        <w:t>To support and contribute to relevant meetings as required including organisation, presentations, producing high quality reports and taking minutes where required.</w:t>
      </w:r>
    </w:p>
    <w:p>
      <w:pPr>
        <w:pStyle w:val="ListParagraph"/>
        <w:widowControl/>
        <w:numPr>
          <w:ilvl w:val="0"/>
          <w:numId w:val="4"/>
        </w:numPr>
        <w:spacing w:lineRule="auto" w:line="240" w:before="120" w:after="120"/>
        <w:ind w:hanging="545" w:left="905" w:right="0"/>
        <w:rPr/>
      </w:pPr>
      <w:r>
        <w:rPr>
          <w:szCs w:val="24"/>
          <w:lang w:eastAsia="en-GB"/>
        </w:rPr>
        <w:t>To ensure project risks and issues are logged, analysed and addressed.</w:t>
      </w:r>
    </w:p>
    <w:p>
      <w:pPr>
        <w:pStyle w:val="ListParagraph"/>
        <w:widowControl/>
        <w:numPr>
          <w:ilvl w:val="0"/>
          <w:numId w:val="4"/>
        </w:numPr>
        <w:spacing w:lineRule="auto" w:line="240" w:before="120" w:after="120"/>
        <w:ind w:hanging="545" w:left="905" w:right="0"/>
        <w:rPr/>
      </w:pPr>
      <w:r>
        <w:rPr>
          <w:color w:val="auto"/>
          <w:szCs w:val="24"/>
          <w:lang w:eastAsia="en-GB"/>
        </w:rPr>
        <w:t>To undertake line management responsibility for other members of the GM Early Years/School Readiness programme team where required.</w:t>
      </w:r>
    </w:p>
    <w:p>
      <w:pPr>
        <w:pStyle w:val="ListParagraph"/>
        <w:widowControl/>
        <w:numPr>
          <w:ilvl w:val="0"/>
          <w:numId w:val="4"/>
        </w:numPr>
        <w:spacing w:lineRule="auto" w:line="240" w:before="120" w:after="120"/>
        <w:ind w:hanging="545" w:left="905" w:right="0"/>
        <w:rPr/>
      </w:pPr>
      <w:r>
        <w:rPr>
          <w:color w:val="auto"/>
          <w:szCs w:val="24"/>
          <w:lang w:eastAsia="en-GB"/>
        </w:rPr>
        <w:t>To support policy development in relation to the GM Children and Young People’s agenda including direct working with local and national policy units.</w:t>
      </w:r>
    </w:p>
    <w:p>
      <w:pPr>
        <w:pStyle w:val="ListParagraph"/>
        <w:widowControl/>
        <w:numPr>
          <w:ilvl w:val="0"/>
          <w:numId w:val="4"/>
        </w:numPr>
        <w:spacing w:lineRule="auto" w:line="240" w:before="120" w:after="120"/>
        <w:ind w:hanging="545" w:left="905" w:right="0"/>
        <w:rPr/>
      </w:pPr>
      <w:r>
        <w:rPr>
          <w:szCs w:val="24"/>
          <w:lang w:eastAsia="en-GB"/>
        </w:rPr>
        <w:t>Support GM Local Authorities to implement innovative practice and take part in communities of practice.</w:t>
      </w:r>
    </w:p>
    <w:p>
      <w:pPr>
        <w:pStyle w:val="ListParagraph"/>
        <w:widowControl/>
        <w:numPr>
          <w:ilvl w:val="0"/>
          <w:numId w:val="4"/>
        </w:numPr>
        <w:spacing w:lineRule="auto" w:line="240" w:before="120" w:after="120"/>
        <w:ind w:hanging="545" w:left="905" w:right="0"/>
        <w:rPr/>
      </w:pPr>
      <w:r>
        <w:rPr>
          <w:szCs w:val="24"/>
          <w:lang w:eastAsia="en-GB"/>
        </w:rPr>
        <w:t>To undertake such additional duties as are reasonably commensurate with the level of the post.</w:t>
      </w:r>
    </w:p>
    <w:p>
      <w:pPr>
        <w:pStyle w:val="Default"/>
        <w:widowControl/>
        <w:numPr>
          <w:ilvl w:val="0"/>
          <w:numId w:val="4"/>
        </w:numPr>
        <w:tabs>
          <w:tab w:val="clear" w:pos="720"/>
          <w:tab w:val="left" w:pos="1026" w:leader="none"/>
        </w:tabs>
        <w:spacing w:before="120" w:after="120"/>
        <w:ind w:hanging="545" w:left="905" w:right="0"/>
        <w:rPr/>
      </w:pPr>
      <w:r>
        <w:rPr/>
        <w:t>The post holder will carry out their duties with full regard to the organisation’s strategies and policies including Equal Opportunities and Health &amp; Safety and will demonstrate a commitment to GM Public Service principles.</w:t>
      </w:r>
    </w:p>
    <w:p>
      <w:pPr>
        <w:pStyle w:val="Normal"/>
        <w:ind w:left="360" w:right="0"/>
        <w:rPr>
          <w:rFonts w:cs="Arial"/>
          <w:b/>
          <w:bCs/>
          <w:szCs w:val="24"/>
        </w:rPr>
      </w:pPr>
      <w:r>
        <w:rPr>
          <w:rFonts w:cs="Arial"/>
          <w:b/>
          <w:bCs/>
          <w:szCs w:val="24"/>
        </w:rPr>
      </w:r>
    </w:p>
    <w:p>
      <w:pPr>
        <w:pStyle w:val="Normal"/>
        <w:ind w:left="360" w:right="0"/>
        <w:rPr/>
      </w:pPr>
      <w:r>
        <w:rPr>
          <w:rFonts w:cs="Arial"/>
          <w:b/>
          <w:bCs/>
          <w:szCs w:val="24"/>
        </w:rPr>
        <w:t xml:space="preserve">NB: </w:t>
      </w:r>
      <w:r>
        <w:rPr>
          <w:rFonts w:cs="Arial"/>
          <w:szCs w:val="24"/>
        </w:rPr>
        <w:t>This list of duties and responsibilities is by no means exhaustive, and the post holder may be required to undertake other relevant and appropriate duties as required.</w:t>
      </w:r>
      <w:r>
        <w:rPr>
          <w:rFonts w:cs="Arial"/>
          <w:b/>
          <w:bCs/>
          <w:szCs w:val="24"/>
        </w:rPr>
        <w:t xml:space="preserve"> </w:t>
      </w:r>
    </w:p>
    <w:p>
      <w:pPr>
        <w:pStyle w:val="Heading2"/>
        <w:ind w:hanging="0" w:left="0"/>
        <w:rPr>
          <w:rFonts w:cs="Arial"/>
          <w:sz w:val="24"/>
          <w:szCs w:val="24"/>
        </w:rPr>
      </w:pPr>
      <w:r>
        <w:rPr>
          <w:rFonts w:cs="Arial"/>
          <w:sz w:val="24"/>
          <w:szCs w:val="24"/>
        </w:rPr>
        <w:t>Knowledge, Skills, and Experience</w:t>
      </w:r>
    </w:p>
    <w:p>
      <w:pPr>
        <w:pStyle w:val="Normal"/>
        <w:rPr>
          <w:rFonts w:cs="Arial"/>
          <w:b/>
          <w:lang w:eastAsia="en-GB"/>
        </w:rPr>
      </w:pPr>
      <w:r>
        <w:rPr>
          <w:rFonts w:cs="Arial"/>
          <w:b/>
          <w:lang w:eastAsia="en-GB"/>
        </w:rPr>
        <w:t>Qualifications</w:t>
      </w:r>
    </w:p>
    <w:p>
      <w:pPr>
        <w:pStyle w:val="ListParagraph"/>
        <w:widowControl/>
        <w:numPr>
          <w:ilvl w:val="0"/>
          <w:numId w:val="6"/>
        </w:numPr>
        <w:spacing w:lineRule="auto" w:line="240" w:before="0" w:after="0"/>
        <w:rPr/>
      </w:pPr>
      <w:r>
        <w:rPr>
          <w:szCs w:val="24"/>
        </w:rPr>
        <w:t xml:space="preserve">Graduate level qualification in relevant field/or equivalent substantial experience. </w:t>
      </w:r>
    </w:p>
    <w:p>
      <w:pPr>
        <w:pStyle w:val="ListParagraph"/>
        <w:widowControl/>
        <w:numPr>
          <w:ilvl w:val="0"/>
          <w:numId w:val="6"/>
        </w:numPr>
        <w:spacing w:lineRule="auto" w:line="240" w:before="0" w:after="0"/>
        <w:rPr/>
      </w:pPr>
      <w:r>
        <w:rPr>
          <w:szCs w:val="24"/>
        </w:rPr>
        <w:t>Experience of project management.</w:t>
      </w:r>
    </w:p>
    <w:p>
      <w:pPr>
        <w:pStyle w:val="Normal"/>
        <w:rPr>
          <w:rFonts w:cs="Arial"/>
          <w:lang w:eastAsia="en-GB"/>
        </w:rPr>
      </w:pPr>
      <w:r>
        <w:rPr>
          <w:rFonts w:cs="Arial"/>
          <w:lang w:eastAsia="en-GB"/>
        </w:rPr>
      </w:r>
    </w:p>
    <w:p>
      <w:pPr>
        <w:pStyle w:val="Normal"/>
        <w:rPr>
          <w:rFonts w:cs="Arial"/>
          <w:b/>
          <w:lang w:eastAsia="en-GB"/>
        </w:rPr>
      </w:pPr>
      <w:r>
        <w:rPr>
          <w:rFonts w:cs="Arial"/>
          <w:b/>
          <w:lang w:eastAsia="en-GB"/>
        </w:rPr>
        <w:t>Experience</w:t>
      </w:r>
    </w:p>
    <w:p>
      <w:pPr>
        <w:pStyle w:val="Normal"/>
        <w:widowControl/>
        <w:numPr>
          <w:ilvl w:val="0"/>
          <w:numId w:val="5"/>
        </w:numPr>
        <w:spacing w:lineRule="auto" w:line="240" w:before="0" w:after="0"/>
        <w:rPr/>
      </w:pPr>
      <w:r>
        <w:rPr>
          <w:rFonts w:cs="Arial"/>
        </w:rPr>
        <w:t>Proven ability to influence and develop joint objectives with stakeholders and senior decision makers, and collaboratively achieving those objectives through effective relationship management.</w:t>
      </w:r>
    </w:p>
    <w:p>
      <w:pPr>
        <w:pStyle w:val="Normal"/>
        <w:widowControl/>
        <w:numPr>
          <w:ilvl w:val="0"/>
          <w:numId w:val="5"/>
        </w:numPr>
        <w:spacing w:lineRule="auto" w:line="240" w:before="0" w:after="0"/>
        <w:rPr/>
      </w:pPr>
      <w:r>
        <w:rPr>
          <w:rFonts w:cs="Arial"/>
        </w:rPr>
        <w:t>Experience of multi-agency working.</w:t>
      </w:r>
    </w:p>
    <w:p>
      <w:pPr>
        <w:pStyle w:val="Normal"/>
        <w:widowControl/>
        <w:numPr>
          <w:ilvl w:val="0"/>
          <w:numId w:val="5"/>
        </w:numPr>
        <w:spacing w:lineRule="auto" w:line="240" w:before="0" w:after="0"/>
        <w:rPr/>
      </w:pPr>
      <w:r>
        <w:rPr>
          <w:rFonts w:cs="Arial"/>
          <w:lang w:eastAsia="en-GB"/>
        </w:rPr>
        <w:t>Experience of working in a programme/project management environment.</w:t>
      </w:r>
    </w:p>
    <w:p>
      <w:pPr>
        <w:pStyle w:val="Normal"/>
        <w:widowControl/>
        <w:numPr>
          <w:ilvl w:val="0"/>
          <w:numId w:val="5"/>
        </w:numPr>
        <w:spacing w:lineRule="auto" w:line="240" w:before="0" w:after="0"/>
        <w:rPr/>
      </w:pPr>
      <w:r>
        <w:rPr>
          <w:rFonts w:cs="Arial"/>
          <w:lang w:eastAsia="en-GB"/>
        </w:rPr>
        <w:t>Experience of workshop facilitation.</w:t>
      </w:r>
    </w:p>
    <w:p>
      <w:pPr>
        <w:pStyle w:val="Normal"/>
        <w:widowControl/>
        <w:spacing w:lineRule="auto" w:line="240" w:before="0" w:after="0"/>
        <w:ind w:left="720" w:right="0"/>
        <w:rPr>
          <w:rFonts w:cs="Arial"/>
          <w:lang w:eastAsia="en-GB"/>
        </w:rPr>
      </w:pPr>
      <w:r>
        <w:rPr>
          <w:rFonts w:cs="Arial"/>
          <w:lang w:eastAsia="en-GB"/>
        </w:rPr>
      </w:r>
    </w:p>
    <w:p>
      <w:pPr>
        <w:pStyle w:val="Normal"/>
        <w:rPr>
          <w:rFonts w:cs="Arial"/>
          <w:b/>
          <w:lang w:eastAsia="en-GB"/>
        </w:rPr>
      </w:pPr>
      <w:r>
        <w:rPr>
          <w:rFonts w:cs="Arial"/>
          <w:b/>
          <w:lang w:eastAsia="en-GB"/>
        </w:rPr>
        <w:t>Knowledge and Skills</w:t>
      </w:r>
    </w:p>
    <w:p>
      <w:pPr>
        <w:pStyle w:val="ListParagraph"/>
        <w:widowControl/>
        <w:numPr>
          <w:ilvl w:val="0"/>
          <w:numId w:val="7"/>
        </w:numPr>
        <w:spacing w:lineRule="auto" w:line="240" w:before="0" w:after="0"/>
        <w:rPr/>
      </w:pPr>
      <w:r>
        <w:rPr>
          <w:szCs w:val="24"/>
        </w:rPr>
        <w:t xml:space="preserve">A broad understanding of children’s services     </w:t>
      </w:r>
    </w:p>
    <w:p>
      <w:pPr>
        <w:pStyle w:val="ListParagraph"/>
        <w:widowControl/>
        <w:numPr>
          <w:ilvl w:val="0"/>
          <w:numId w:val="7"/>
        </w:numPr>
        <w:spacing w:lineRule="auto" w:line="240" w:before="0" w:after="0"/>
        <w:rPr/>
      </w:pPr>
      <w:r>
        <w:rPr>
          <w:szCs w:val="24"/>
        </w:rPr>
        <w:t>Proven ability to build effective strategic relationships across stakeholders in order to persuade, negotiate and influence at all levels.</w:t>
      </w:r>
    </w:p>
    <w:p>
      <w:pPr>
        <w:pStyle w:val="ListParagraph"/>
        <w:widowControl/>
        <w:numPr>
          <w:ilvl w:val="0"/>
          <w:numId w:val="7"/>
        </w:numPr>
        <w:spacing w:lineRule="auto" w:line="240" w:before="0" w:after="0"/>
        <w:rPr/>
      </w:pPr>
      <w:r>
        <w:rPr>
          <w:szCs w:val="24"/>
        </w:rPr>
        <w:t>Knowldege of programme management principles, processes and procedures.</w:t>
      </w:r>
    </w:p>
    <w:p>
      <w:pPr>
        <w:pStyle w:val="ListParagraph"/>
        <w:widowControl/>
        <w:numPr>
          <w:ilvl w:val="0"/>
          <w:numId w:val="7"/>
        </w:numPr>
        <w:spacing w:lineRule="auto" w:line="240" w:before="0" w:after="0"/>
        <w:rPr/>
      </w:pPr>
      <w:r>
        <w:rPr>
          <w:szCs w:val="24"/>
        </w:rPr>
        <w:t>Proven ability to develop, implement and deliver project activity within a complex policy environment.</w:t>
      </w:r>
    </w:p>
    <w:p>
      <w:pPr>
        <w:pStyle w:val="ListParagraph"/>
        <w:widowControl/>
        <w:numPr>
          <w:ilvl w:val="0"/>
          <w:numId w:val="7"/>
        </w:numPr>
        <w:spacing w:lineRule="auto" w:line="240" w:before="0" w:after="0"/>
        <w:rPr/>
      </w:pPr>
      <w:r>
        <w:rPr>
          <w:szCs w:val="24"/>
        </w:rPr>
        <w:t>Self-motivated and able to work independently in different geographical locations in GM, whilst also able to work effectively within a team (internally and with partners) to collectively achieve results.</w:t>
      </w:r>
    </w:p>
    <w:p>
      <w:pPr>
        <w:pStyle w:val="ListParagraph"/>
        <w:widowControl/>
        <w:numPr>
          <w:ilvl w:val="0"/>
          <w:numId w:val="7"/>
        </w:numPr>
        <w:spacing w:lineRule="auto" w:line="240" w:before="0" w:after="0"/>
        <w:rPr/>
      </w:pPr>
      <w:r>
        <w:rPr>
          <w:szCs w:val="24"/>
        </w:rPr>
        <w:t xml:space="preserve">Ability to manage projects budgets and undertake public sector commissioning and procurement activity. </w:t>
      </w:r>
    </w:p>
    <w:p>
      <w:pPr>
        <w:pStyle w:val="ListParagraph"/>
        <w:widowControl/>
        <w:numPr>
          <w:ilvl w:val="0"/>
          <w:numId w:val="7"/>
        </w:numPr>
        <w:spacing w:lineRule="auto" w:line="240" w:before="0" w:after="0"/>
        <w:rPr/>
      </w:pPr>
      <w:r>
        <w:rPr>
          <w:szCs w:val="24"/>
        </w:rPr>
        <w:t>Excellent written and verbal communication skills combined with attention to detail to produce good quality materials such as reports and letters.</w:t>
      </w:r>
    </w:p>
    <w:p>
      <w:pPr>
        <w:pStyle w:val="ListParagraph"/>
        <w:widowControl/>
        <w:numPr>
          <w:ilvl w:val="0"/>
          <w:numId w:val="7"/>
        </w:numPr>
        <w:spacing w:lineRule="auto" w:line="240" w:before="0" w:after="0"/>
        <w:rPr/>
      </w:pPr>
      <w:r>
        <w:rPr>
          <w:szCs w:val="24"/>
        </w:rPr>
        <w:t>Highly developed interpersonal skills including a high level of integrity, discretion, tact and diplomacy.</w:t>
      </w:r>
      <w:r>
        <w:rPr/>
        <w:t xml:space="preserve">  </w:t>
      </w:r>
    </w:p>
    <w:p>
      <w:pPr>
        <w:pStyle w:val="ListParagraph"/>
        <w:widowControl/>
        <w:numPr>
          <w:ilvl w:val="0"/>
          <w:numId w:val="7"/>
        </w:numPr>
        <w:spacing w:lineRule="auto" w:line="240" w:before="0" w:after="0"/>
        <w:rPr/>
      </w:pPr>
      <w:r>
        <w:rPr>
          <w:szCs w:val="24"/>
        </w:rPr>
        <w:t>Proven ability to identify creative and innovative solutions quickly.</w:t>
      </w:r>
    </w:p>
    <w:p>
      <w:pPr>
        <w:pStyle w:val="ListParagraph"/>
        <w:widowControl/>
        <w:numPr>
          <w:ilvl w:val="0"/>
          <w:numId w:val="7"/>
        </w:numPr>
        <w:spacing w:lineRule="auto" w:line="240" w:before="0" w:after="0"/>
        <w:rPr/>
      </w:pPr>
      <w:r>
        <w:rPr>
          <w:szCs w:val="24"/>
        </w:rPr>
        <w:t xml:space="preserve">Experience of working within communities of practice/learning. </w:t>
      </w:r>
    </w:p>
    <w:p>
      <w:pPr>
        <w:pStyle w:val="Normal"/>
        <w:rPr/>
      </w:pPr>
      <w:r>
        <w:rPr/>
      </w:r>
    </w:p>
    <w:p>
      <w:pPr>
        <w:pStyle w:val="Normal"/>
        <w:rPr/>
      </w:pPr>
      <w:r>
        <w:rPr/>
      </w:r>
    </w:p>
    <w:p>
      <w:pPr>
        <w:pStyle w:val="Normal"/>
        <w:spacing w:before="240" w:after="240"/>
        <w:rPr>
          <w:rFonts w:cs="Arial"/>
          <w:b/>
          <w:color w:val="FF0000"/>
          <w:sz w:val="22"/>
        </w:rPr>
      </w:pPr>
      <w:r>
        <w:rPr>
          <w:rFonts w:cs="Arial"/>
          <w:b/>
          <w:color w:val="FF0000"/>
          <w:sz w:val="22"/>
        </w:rPr>
        <w:t>FOR ROLES EXEMPT FROM THE REHABILITATION OF OFFENDERS ACT:</w:t>
      </w:r>
    </w:p>
    <w:p>
      <w:pPr>
        <w:pStyle w:val="Normal"/>
        <w:rPr>
          <w:rFonts w:cs="Arial"/>
          <w:color w:val="FF0000"/>
          <w:sz w:val="22"/>
        </w:rPr>
      </w:pPr>
      <w:r>
        <w:rPr>
          <w:rFonts w:cs="Arial"/>
          <w:color w:val="FF0000"/>
          <w:sz w:val="22"/>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Normal"/>
        <w:rPr>
          <w:rFonts w:cs="Arial"/>
          <w:szCs w:val="24"/>
        </w:rPr>
      </w:pPr>
      <w:r>
        <w:rPr>
          <w:rFonts w:cs="Arial"/>
          <w:szCs w:val="24"/>
        </w:rPr>
      </w:r>
    </w:p>
    <w:p>
      <w:pPr>
        <w:pStyle w:val="Heading2"/>
        <w:ind w:hanging="0" w:left="0"/>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38"/>
      <w:pgMar w:left="720" w:right="720" w:gutter="0" w:header="709" w:top="766" w:footer="0" w:bottom="72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Calibri">
    <w:charset w:val="00"/>
    <w:family w:val="roman"/>
    <w:pitch w:val="variable"/>
  </w:font>
  <w:font w:name="Liberation Sans">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3"/>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Arial" w:hAnsi="Arial" w:cs="Aria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