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ind w:left="0" w:right="-761" w:hanging="709"/>
        <w:jc w:val="center"/>
        <w:rPr>
          <w:rFonts w:eastAsia="Calibri"/>
          <w:b/>
          <w:b/>
          <w:bCs/>
          <w:iCs/>
        </w:rPr>
      </w:pPr>
      <w:r>
        <w:rPr/>
        <w:drawing>
          <wp:inline distT="0" distB="0" distL="0" distR="0">
            <wp:extent cx="6330315" cy="53467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54" r="-5" b="-54"/>
                    <a:stretch>
                      <a:fillRect/>
                    </a:stretch>
                  </pic:blipFill>
                  <pic:spPr bwMode="auto">
                    <a:xfrm>
                      <a:off x="0" y="0"/>
                      <a:ext cx="6330315" cy="534670"/>
                    </a:xfrm>
                    <a:prstGeom prst="rect">
                      <a:avLst/>
                    </a:prstGeom>
                  </pic:spPr>
                </pic:pic>
              </a:graphicData>
            </a:graphic>
          </wp:inline>
        </w:drawing>
      </w:r>
    </w:p>
    <w:p>
      <w:pPr>
        <w:pStyle w:val="Body"/>
        <w:ind w:left="0" w:right="261" w:hanging="0"/>
        <w:jc w:val="center"/>
        <w:rPr>
          <w:rFonts w:eastAsia="Calibri"/>
          <w:b/>
          <w:b/>
          <w:bCs/>
          <w:iCs/>
        </w:rPr>
      </w:pPr>
      <w:r>
        <w:rPr>
          <w:rFonts w:eastAsia="Calibri"/>
          <w:b/>
          <w:bCs/>
          <w:iCs/>
        </w:rPr>
      </w:r>
    </w:p>
    <w:p>
      <w:pPr>
        <w:pStyle w:val="Body"/>
        <w:ind w:left="0" w:right="261" w:hanging="0"/>
        <w:jc w:val="both"/>
        <w:rPr>
          <w:rFonts w:eastAsia="Calibri"/>
          <w:b/>
          <w:b/>
          <w:bCs/>
          <w:iCs/>
        </w:rPr>
      </w:pPr>
      <w:r>
        <w:rPr>
          <w:rFonts w:eastAsia="Calibri"/>
          <w:b/>
          <w:bCs/>
          <w:iCs/>
        </w:rPr>
      </w:r>
    </w:p>
    <w:tbl>
      <w:tblPr>
        <w:tblW w:w="10357" w:type="dxa"/>
        <w:jc w:val="left"/>
        <w:tblInd w:w="-606" w:type="dxa"/>
        <w:tblCellMar>
          <w:top w:w="0" w:type="dxa"/>
          <w:left w:w="108" w:type="dxa"/>
          <w:bottom w:w="0" w:type="dxa"/>
          <w:right w:w="108" w:type="dxa"/>
        </w:tblCellMar>
      </w:tblPr>
      <w:tblGrid>
        <w:gridCol w:w="2127"/>
        <w:gridCol w:w="3092"/>
        <w:gridCol w:w="2309"/>
        <w:gridCol w:w="2829"/>
      </w:tblGrid>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Job Title: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 xml:space="preserve">Senior Procurement Business Partner </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Date:</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February 2024</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Reporting Line: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Commercial Services Lead</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Salary:</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 xml:space="preserve">Grade 9 </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Team:</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Procurement &amp; Commercial Services</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Business Area:</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 xml:space="preserve">Finance, Audit &amp; Commercial Services </w:t>
            </w:r>
          </w:p>
        </w:tc>
      </w:tr>
    </w:tbl>
    <w:p>
      <w:pPr>
        <w:pStyle w:val="Body"/>
        <w:ind w:left="0" w:right="261" w:hanging="0"/>
        <w:jc w:val="both"/>
        <w:rPr>
          <w:rFonts w:eastAsia="Calibri"/>
          <w:b/>
          <w:b/>
          <w:bCs/>
          <w:iCs/>
        </w:rPr>
      </w:pPr>
      <w:r>
        <w:rPr>
          <w:rFonts w:eastAsia="Calibri"/>
          <w:b/>
          <w:bCs/>
          <w:iCs/>
        </w:rPr>
      </w:r>
    </w:p>
    <w:tbl>
      <w:tblPr>
        <w:tblW w:w="10371" w:type="dxa"/>
        <w:jc w:val="center"/>
        <w:tblInd w:w="0" w:type="dxa"/>
        <w:tblCellMar>
          <w:top w:w="80" w:type="dxa"/>
          <w:left w:w="80" w:type="dxa"/>
          <w:bottom w:w="80" w:type="dxa"/>
          <w:right w:w="80" w:type="dxa"/>
        </w:tblCellMar>
      </w:tblPr>
      <w:tblGrid>
        <w:gridCol w:w="10371"/>
      </w:tblGrid>
      <w:tr>
        <w:trPr>
          <w:trHeight w:val="180" w:hRule="atLeast"/>
        </w:trPr>
        <w:tc>
          <w:tcPr>
            <w:tcW w:w="10371" w:type="dxa"/>
            <w:tcBorders>
              <w:top w:val="single" w:sz="6" w:space="0" w:color="000000"/>
              <w:left w:val="single" w:sz="6" w:space="0" w:color="0000FF"/>
              <w:right w:val="single" w:sz="6" w:space="0" w:color="0000FF"/>
            </w:tcBorders>
            <w:shd w:fill="000000" w:val="clear"/>
            <w:vAlign w:val="center"/>
          </w:tcPr>
          <w:p>
            <w:pPr>
              <w:pStyle w:val="Heading3"/>
              <w:ind w:left="0" w:right="261" w:hanging="0"/>
              <w:rPr>
                <w:rFonts w:eastAsia="Calibri"/>
                <w:sz w:val="22"/>
                <w:szCs w:val="22"/>
                <w:lang w:val="en-GB"/>
              </w:rPr>
            </w:pPr>
            <w:r>
              <w:rPr>
                <w:rFonts w:eastAsia="Calibri"/>
                <w:sz w:val="22"/>
                <w:szCs w:val="22"/>
                <w:lang w:val="en-GB"/>
              </w:rPr>
              <w:t>JOB PURPOSE</w:t>
            </w:r>
          </w:p>
        </w:tc>
      </w:tr>
      <w:tr>
        <w:trPr>
          <w:trHeight w:val="793" w:hRule="atLeast"/>
        </w:trPr>
        <w:tc>
          <w:tcPr>
            <w:tcW w:w="10371" w:type="dxa"/>
            <w:tcBorders>
              <w:left w:val="single" w:sz="6" w:space="0" w:color="000000"/>
              <w:bottom w:val="single" w:sz="4" w:space="0" w:color="000000"/>
              <w:right w:val="single" w:sz="6" w:space="0" w:color="000000"/>
            </w:tcBorders>
            <w:shd w:fill="auto" w:val="clear"/>
          </w:tcPr>
          <w:p>
            <w:pPr>
              <w:pStyle w:val="Normal"/>
              <w:shd w:fill="FFFFFF" w:val="clear"/>
              <w:overflowPunct w:val="true"/>
              <w:spacing w:before="0" w:after="0"/>
              <w:contextualSpacing/>
              <w:jc w:val="both"/>
              <w:textAlignment w:val="baseline"/>
              <w:rPr>
                <w:rFonts w:ascii="Arial" w:hAnsi="Arial" w:eastAsia="Times New Roman" w:cs="Arial"/>
                <w:lang w:eastAsia="en-GB"/>
              </w:rPr>
            </w:pPr>
            <w:r>
              <w:rPr>
                <w:rFonts w:eastAsia="Times New Roman" w:cs="Arial" w:ascii="Arial" w:hAnsi="Arial"/>
                <w:lang w:eastAsia="en-GB"/>
              </w:rPr>
              <w:t>Provide a proactive, responsive commercial service to GMCA supporting the delivery of key, strategic procurement activity across the organisation, ensuring safe, effective and efficient processes are in place and widely used.</w:t>
            </w:r>
          </w:p>
          <w:p>
            <w:pPr>
              <w:pStyle w:val="Normal"/>
              <w:shd w:fill="FFFFFF" w:val="clear"/>
              <w:overflowPunct w:val="true"/>
              <w:spacing w:before="0" w:after="0"/>
              <w:contextualSpacing/>
              <w:jc w:val="both"/>
              <w:textAlignment w:val="baseline"/>
              <w:rPr>
                <w:rFonts w:ascii="Arial" w:hAnsi="Arial" w:eastAsia="Times New Roman" w:cs="Arial"/>
                <w:lang w:eastAsia="en-GB"/>
              </w:rPr>
            </w:pPr>
            <w:r>
              <w:rPr>
                <w:rFonts w:eastAsia="Times New Roman" w:cs="Arial" w:ascii="Arial" w:hAnsi="Arial"/>
                <w:lang w:eastAsia="en-GB"/>
              </w:rPr>
            </w:r>
          </w:p>
          <w:p>
            <w:pPr>
              <w:pStyle w:val="Normal"/>
              <w:overflowPunct w:val="true"/>
              <w:spacing w:before="0" w:after="0"/>
              <w:contextualSpacing/>
              <w:jc w:val="both"/>
              <w:textAlignment w:val="baseline"/>
              <w:rPr>
                <w:rFonts w:ascii="Arial" w:hAnsi="Arial" w:cs="Arial"/>
              </w:rPr>
            </w:pPr>
            <w:r>
              <w:rPr>
                <w:rFonts w:cs="Arial" w:ascii="Arial" w:hAnsi="Arial"/>
              </w:rPr>
              <w:t>Lead on high-profile, complex procurement projects to ensure projects are delivered on-time and on-budget and according to agreed specifications.</w:t>
            </w:r>
          </w:p>
          <w:p>
            <w:pPr>
              <w:pStyle w:val="Normal"/>
              <w:overflowPunct w:val="true"/>
              <w:spacing w:before="0" w:after="0"/>
              <w:contextualSpacing/>
              <w:jc w:val="both"/>
              <w:textAlignment w:val="baseline"/>
              <w:rPr>
                <w:rFonts w:ascii="Arial" w:hAnsi="Arial" w:cs="Arial"/>
              </w:rPr>
            </w:pPr>
            <w:r>
              <w:rPr>
                <w:rFonts w:cs="Arial" w:ascii="Arial" w:hAnsi="Arial"/>
              </w:rPr>
            </w:r>
          </w:p>
          <w:p>
            <w:pPr>
              <w:pStyle w:val="Normal"/>
              <w:pBdr/>
              <w:spacing w:before="0" w:after="0"/>
              <w:contextualSpacing/>
              <w:jc w:val="both"/>
              <w:rPr>
                <w:rFonts w:ascii="Arial" w:hAnsi="Arial" w:eastAsia="Times New Roman" w:cs="Arial"/>
                <w:lang w:eastAsia="en-GB"/>
              </w:rPr>
            </w:pPr>
            <w:r>
              <w:rPr>
                <w:rFonts w:eastAsia="Times New Roman" w:cs="Arial" w:ascii="Arial" w:hAnsi="Arial"/>
                <w:lang w:eastAsia="en-GB"/>
              </w:rPr>
              <w:t>Undertake the negotiation and management of strategic contracts, both capital and revenue and support the contract management arrangements for critical areas of spend.</w:t>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366" w:type="dxa"/>
        <w:jc w:val="center"/>
        <w:tblInd w:w="0" w:type="dxa"/>
        <w:tblCellMar>
          <w:top w:w="80" w:type="dxa"/>
          <w:left w:w="80" w:type="dxa"/>
          <w:bottom w:w="80" w:type="dxa"/>
          <w:right w:w="80" w:type="dxa"/>
        </w:tblCellMar>
      </w:tblPr>
      <w:tblGrid>
        <w:gridCol w:w="10366"/>
      </w:tblGrid>
      <w:tr>
        <w:trPr>
          <w:trHeight w:val="180" w:hRule="atLeast"/>
        </w:trPr>
        <w:tc>
          <w:tcPr>
            <w:tcW w:w="10366"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pBdr/>
              <w:ind w:left="0" w:right="261" w:hanging="0"/>
              <w:rPr>
                <w:b/>
                <w:b/>
                <w:bCs/>
                <w:color w:val="FFFFFF"/>
                <w:u w:val="none" w:color="FFFFFF"/>
              </w:rPr>
            </w:pPr>
            <w:r>
              <w:rPr>
                <w:b/>
                <w:bCs/>
                <w:color w:val="FFFFFF"/>
                <w:u w:val="none" w:color="FFFFFF"/>
              </w:rPr>
              <w:t>KEY RELATIONSHIPS</w:t>
            </w:r>
          </w:p>
        </w:tc>
      </w:tr>
      <w:tr>
        <w:trPr>
          <w:trHeight w:val="1201" w:hRule="atLeast"/>
        </w:trPr>
        <w:tc>
          <w:tcPr>
            <w:tcW w:w="10366" w:type="dxa"/>
            <w:tcBorders>
              <w:top w:val="single" w:sz="4" w:space="0" w:color="000000"/>
              <w:left w:val="single" w:sz="4" w:space="0" w:color="000000"/>
              <w:bottom w:val="single" w:sz="4" w:space="0" w:color="000000"/>
              <w:right w:val="single" w:sz="4" w:space="0" w:color="000000"/>
            </w:tcBorders>
            <w:shd w:fill="auto" w:val="clear"/>
            <w:tcMar>
              <w:left w:w="363" w:type="dxa"/>
            </w:tcMar>
            <w:vAlign w:val="center"/>
          </w:tcPr>
          <w:p>
            <w:pPr>
              <w:pStyle w:val="ListParagraph"/>
              <w:numPr>
                <w:ilvl w:val="0"/>
                <w:numId w:val="2"/>
              </w:numPr>
              <w:spacing w:lineRule="auto" w:line="360"/>
              <w:jc w:val="both"/>
              <w:rPr>
                <w:rFonts w:eastAsia="Times New Roman"/>
                <w:lang w:eastAsia="en-GB"/>
              </w:rPr>
            </w:pPr>
            <w:r>
              <w:rPr>
                <w:rFonts w:eastAsia="Times New Roman"/>
                <w:lang w:eastAsia="en-GB"/>
              </w:rPr>
              <w:t xml:space="preserve">Responsible for: </w:t>
            </w:r>
          </w:p>
          <w:p>
            <w:pPr>
              <w:pStyle w:val="ListParagraph"/>
              <w:numPr>
                <w:ilvl w:val="1"/>
                <w:numId w:val="2"/>
              </w:numPr>
              <w:spacing w:lineRule="auto" w:line="360"/>
              <w:jc w:val="both"/>
              <w:rPr>
                <w:rFonts w:eastAsia="Times New Roman"/>
                <w:lang w:eastAsia="en-GB"/>
              </w:rPr>
            </w:pPr>
            <w:r>
              <w:rPr>
                <w:rFonts w:eastAsia="Times New Roman"/>
                <w:lang w:eastAsia="en-GB"/>
              </w:rPr>
              <w:t>Procurement Business Partners</w:t>
            </w:r>
          </w:p>
          <w:p>
            <w:pPr>
              <w:pStyle w:val="ListParagraph"/>
              <w:numPr>
                <w:ilvl w:val="1"/>
                <w:numId w:val="2"/>
              </w:numPr>
              <w:pBdr/>
              <w:spacing w:lineRule="auto" w:line="360"/>
              <w:jc w:val="both"/>
              <w:rPr>
                <w:rFonts w:eastAsia="Times New Roman"/>
                <w:lang w:eastAsia="en-GB"/>
              </w:rPr>
            </w:pPr>
            <w:r>
              <w:rPr>
                <w:rFonts w:eastAsia="Times New Roman"/>
                <w:lang w:eastAsia="en-GB"/>
              </w:rPr>
              <w:t xml:space="preserve">Procurement Support Officers </w:t>
            </w:r>
          </w:p>
          <w:p>
            <w:pPr>
              <w:pStyle w:val="ListParagraph"/>
              <w:numPr>
                <w:ilvl w:val="0"/>
                <w:numId w:val="2"/>
              </w:numPr>
              <w:pBdr/>
              <w:spacing w:lineRule="auto" w:line="360"/>
              <w:jc w:val="both"/>
              <w:rPr>
                <w:rFonts w:eastAsia="Times New Roman"/>
                <w:lang w:eastAsia="en-GB"/>
              </w:rPr>
            </w:pPr>
            <w:r>
              <w:rPr>
                <w:rFonts w:eastAsia="Times New Roman"/>
                <w:lang w:eastAsia="en-GB"/>
              </w:rPr>
              <w:t>Key Stakeholders:</w:t>
            </w:r>
          </w:p>
          <w:p>
            <w:pPr>
              <w:pStyle w:val="ListParagraph"/>
              <w:numPr>
                <w:ilvl w:val="1"/>
                <w:numId w:val="2"/>
              </w:numPr>
              <w:pBdr/>
              <w:ind w:left="1080" w:right="261" w:hanging="360"/>
              <w:rPr>
                <w:lang w:val="en-GB"/>
              </w:rPr>
            </w:pPr>
            <w:r>
              <w:rPr>
                <w:lang w:val="en-GB"/>
              </w:rPr>
              <w:t>Senior Managers across GMCA</w:t>
            </w:r>
          </w:p>
          <w:p>
            <w:pPr>
              <w:pStyle w:val="ListParagraph"/>
              <w:numPr>
                <w:ilvl w:val="1"/>
                <w:numId w:val="2"/>
              </w:numPr>
              <w:pBdr/>
              <w:ind w:left="1080" w:right="261" w:hanging="360"/>
              <w:rPr>
                <w:lang w:val="en-GB"/>
              </w:rPr>
            </w:pPr>
            <w:r>
              <w:rPr>
                <w:lang w:val="en-GB"/>
              </w:rPr>
              <w:t>Strategic suppliers</w:t>
              <w:br/>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401" w:type="dxa"/>
        <w:jc w:val="center"/>
        <w:tblInd w:w="0" w:type="dxa"/>
        <w:tblCellMar>
          <w:top w:w="80" w:type="dxa"/>
          <w:left w:w="80" w:type="dxa"/>
          <w:bottom w:w="80" w:type="dxa"/>
          <w:right w:w="80" w:type="dxa"/>
        </w:tblCellMar>
      </w:tblPr>
      <w:tblGrid>
        <w:gridCol w:w="10401"/>
      </w:tblGrid>
      <w:tr>
        <w:trPr>
          <w:trHeight w:val="479" w:hRule="atLeast"/>
        </w:trPr>
        <w:tc>
          <w:tcPr>
            <w:tcW w:w="10401" w:type="dxa"/>
            <w:tcBorders>
              <w:top w:val="single" w:sz="6" w:space="0" w:color="000000"/>
              <w:left w:val="single" w:sz="6" w:space="0" w:color="000000"/>
              <w:right w:val="single" w:sz="6" w:space="0" w:color="000000"/>
            </w:tcBorders>
            <w:shd w:fill="000000" w:val="clear"/>
            <w:vAlign w:val="center"/>
          </w:tcPr>
          <w:p>
            <w:pPr>
              <w:pStyle w:val="Body"/>
              <w:ind w:left="0" w:right="261" w:hanging="0"/>
              <w:rPr>
                <w:rFonts w:eastAsia="Calibri"/>
                <w:b/>
                <w:b/>
                <w:bCs/>
                <w:color w:val="FFFFFF"/>
                <w:u w:val="none" w:color="FFFFFF"/>
              </w:rPr>
            </w:pPr>
            <w:r>
              <w:rPr>
                <w:rFonts w:eastAsia="Calibri"/>
                <w:b/>
                <w:bCs/>
                <w:color w:val="FFFFFF"/>
                <w:u w:val="none" w:color="FFFFFF"/>
              </w:rPr>
              <w:t xml:space="preserve">KEY RESPONSIBILITIES </w:t>
            </w:r>
          </w:p>
        </w:tc>
      </w:tr>
      <w:tr>
        <w:trPr>
          <w:trHeight w:val="739" w:hRule="atLeast"/>
        </w:trPr>
        <w:tc>
          <w:tcPr>
            <w:tcW w:w="10401" w:type="dxa"/>
            <w:tcBorders>
              <w:left w:val="single" w:sz="4" w:space="0" w:color="000000"/>
              <w:right w:val="single" w:sz="6" w:space="0" w:color="000000"/>
            </w:tcBorders>
            <w:shd w:fill="auto" w:val="clear"/>
            <w:vAlign w:val="center"/>
          </w:tcPr>
          <w:p>
            <w:pPr>
              <w:pStyle w:val="Normal"/>
              <w:shd w:fill="FFFFFF" w:val="clear"/>
              <w:overflowPunct w:val="true"/>
              <w:spacing w:lineRule="auto" w:line="360"/>
              <w:jc w:val="both"/>
              <w:textAlignment w:val="baseline"/>
              <w:rPr>
                <w:rFonts w:ascii="Arial" w:hAnsi="Arial" w:eastAsia="Times New Roman" w:cs="Arial"/>
                <w:b/>
                <w:b/>
                <w:sz w:val="22"/>
                <w:szCs w:val="22"/>
                <w:lang w:eastAsia="en-GB"/>
              </w:rPr>
            </w:pPr>
            <w:r>
              <w:rPr>
                <w:rFonts w:eastAsia="Times New Roman" w:cs="Arial" w:ascii="Arial" w:hAnsi="Arial"/>
                <w:b/>
                <w:sz w:val="22"/>
                <w:szCs w:val="22"/>
                <w:lang w:eastAsia="en-GB"/>
              </w:rPr>
              <w:t>Role Specific:</w:t>
            </w:r>
          </w:p>
          <w:p>
            <w:pPr>
              <w:pStyle w:val="Normal"/>
              <w:numPr>
                <w:ilvl w:val="0"/>
                <w:numId w:val="4"/>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Support the delivery of effective commercial operations, through effective delivery of procurement and contract management arrangements across GMCA and on a collaborative basis as required.</w:t>
            </w:r>
          </w:p>
          <w:p>
            <w:pPr>
              <w:pStyle w:val="Normal"/>
              <w:numPr>
                <w:ilvl w:val="0"/>
                <w:numId w:val="4"/>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Through a business partnering approach, actively lead on and manage specific procurement activity to ensure the delivery of high-quality outcomes for internal stakeholders and customers, ensuring compliant, effective and efficient procurement processes are in place and widely used, and supporting the delivery of key, strategic procurement activity across the organisation.</w:t>
            </w:r>
          </w:p>
          <w:p>
            <w:pPr>
              <w:pStyle w:val="Normal"/>
              <w:numPr>
                <w:ilvl w:val="0"/>
                <w:numId w:val="4"/>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Adopt a category management approach to procurement activity, researching and planning preferred options and approaches to contract and tender management, developing business plans for both capital and revenue expenditure.</w:t>
            </w:r>
          </w:p>
          <w:p>
            <w:pPr>
              <w:pStyle w:val="Normal"/>
              <w:numPr>
                <w:ilvl w:val="0"/>
                <w:numId w:val="4"/>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Lead on high-profile, complex procurement projects to ensure projects are delivered on-time and on-budget and according to agreed specifications. Undertake the negotiation and management of strategic contracts, both capital and revenue and support the contract management arrangements for critical areas of spend.</w:t>
            </w:r>
          </w:p>
          <w:p>
            <w:pPr>
              <w:pStyle w:val="Normal"/>
              <w:numPr>
                <w:ilvl w:val="0"/>
                <w:numId w:val="4"/>
              </w:numPr>
              <w:pBdr/>
              <w:shd w:fill="FFFFFF" w:val="clear"/>
              <w:spacing w:lineRule="auto" w:line="360"/>
              <w:rPr>
                <w:rFonts w:ascii="Arial" w:hAnsi="Arial" w:cs="Arial"/>
                <w:sz w:val="22"/>
                <w:szCs w:val="22"/>
              </w:rPr>
            </w:pPr>
            <w:r>
              <w:rPr>
                <w:rFonts w:cs="Arial" w:ascii="Arial" w:hAnsi="Arial"/>
                <w:sz w:val="22"/>
                <w:szCs w:val="22"/>
              </w:rPr>
              <w:t>Lead of the review, standardise and implement the commercial policies, procedures and systems to support tenders, contract management, order placement, and spend and supplier performance analysis</w:t>
            </w:r>
          </w:p>
          <w:p>
            <w:pPr>
              <w:pStyle w:val="Normal"/>
              <w:numPr>
                <w:ilvl w:val="0"/>
                <w:numId w:val="4"/>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Lead on the delivery of cashable savings, operational efficiencies and the ongoing contract management for these and other contracts.</w:t>
            </w:r>
          </w:p>
          <w:p>
            <w:pPr>
              <w:pStyle w:val="Normal"/>
              <w:numPr>
                <w:ilvl w:val="0"/>
                <w:numId w:val="4"/>
              </w:numPr>
              <w:pBdr/>
              <w:overflowPunct w:val="true"/>
              <w:spacing w:lineRule="auto" w:line="360" w:before="0" w:after="0"/>
              <w:contextualSpacing/>
              <w:jc w:val="both"/>
              <w:textAlignment w:val="baseline"/>
              <w:rPr/>
            </w:pPr>
            <w:r>
              <w:rPr>
                <w:rFonts w:cs="Arial" w:ascii="Arial" w:hAnsi="Arial"/>
                <w:sz w:val="22"/>
                <w:szCs w:val="22"/>
              </w:rPr>
              <w:t>Lead on the review and analysis of spend activity to identify and prioritise opportunities for collaboration, efficiencies and cashable savings, u</w:t>
            </w:r>
            <w:r>
              <w:rPr>
                <w:rFonts w:eastAsia="Times New Roman" w:cs="Arial" w:ascii="Arial" w:hAnsi="Arial"/>
                <w:sz w:val="22"/>
                <w:szCs w:val="22"/>
                <w:lang w:eastAsia="en-GB"/>
              </w:rPr>
              <w:t xml:space="preserve">tilising organisational tools to conduct analysis of spend activity </w:t>
            </w:r>
          </w:p>
          <w:p>
            <w:pPr>
              <w:pStyle w:val="Normal"/>
              <w:numPr>
                <w:ilvl w:val="0"/>
                <w:numId w:val="4"/>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Continually look for improvement, whilst ensuring compliance with legislation, policies, procedures and service levels.</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Provide high level advice, guidance and expertise regarding procurement best practice and evaluation and award criteria to the organisation.</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Enhance the abilities, capability and capacity of team members through supervising, managing, coaching and mentoring team members and the projects in which they are involved</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Ensure compliance with national / EU legal requirements and all requirements relating to the delivery of projects in line with Public Procurement Regulations as required</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Originate, champion and lead on initiatives for change in order to deliver efficient, innovative, sustainable and ethical procurement systems to support and improve business delivery</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Lead on the development and improvement of the current contract management arrangements and ensure that contract management protocol is embedded within the current team and organisation generally, including the creation and ongoing management of a strategic contracts database</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Provide commercial training to staff particularly around procurement processes and contract management.</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 xml:space="preserve">Undertake tendering activity on behalf of GMCA, regional and national partners where applicable. </w:t>
            </w:r>
          </w:p>
          <w:p>
            <w:pPr>
              <w:pStyle w:val="Normal"/>
              <w:numPr>
                <w:ilvl w:val="0"/>
                <w:numId w:val="4"/>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Prepare and present reports making recommendations regarding tender award including tender extensions, route to market, waiver reports etc.</w:t>
            </w:r>
          </w:p>
          <w:p>
            <w:pPr>
              <w:pStyle w:val="Normal"/>
              <w:numPr>
                <w:ilvl w:val="0"/>
                <w:numId w:val="4"/>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Lead on and implement a change programme within the team as appropriate and mentor and upskill staff by supervising them through any such programme</w:t>
            </w:r>
          </w:p>
          <w:p>
            <w:pPr>
              <w:pStyle w:val="Normal"/>
              <w:numPr>
                <w:ilvl w:val="0"/>
                <w:numId w:val="4"/>
              </w:numPr>
              <w:pBdr/>
              <w:shd w:fill="FFFFFF" w:val="clea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Improve the profile of procurement across the organisation through leading by example, mentoring existing staff, and promote a more customer focused and professional approach to procurement</w:t>
            </w:r>
          </w:p>
          <w:p>
            <w:pPr>
              <w:pStyle w:val="Normal"/>
              <w:shd w:fill="FFFFFF" w:val="clea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overflowPunct w:val="true"/>
              <w:spacing w:lineRule="auto" w:line="360" w:before="0" w:after="0"/>
              <w:contextualSpacing/>
              <w:jc w:val="both"/>
              <w:textAlignment w:val="baseline"/>
              <w:rPr>
                <w:rFonts w:ascii="Arial" w:hAnsi="Arial" w:eastAsia="Times New Roman" w:cs="Arial"/>
                <w:b/>
                <w:b/>
                <w:sz w:val="22"/>
                <w:szCs w:val="22"/>
                <w:lang w:eastAsia="en-GB"/>
              </w:rPr>
            </w:pPr>
            <w:r>
              <w:rPr>
                <w:rFonts w:eastAsia="Times New Roman" w:cs="Arial" w:ascii="Arial" w:hAnsi="Arial"/>
                <w:b/>
                <w:sz w:val="22"/>
                <w:szCs w:val="22"/>
                <w:lang w:eastAsia="en-GB"/>
              </w:rPr>
              <w:t>Directorate Specific</w:t>
            </w:r>
          </w:p>
          <w:p>
            <w:pPr>
              <w:pStyle w:val="Normal"/>
              <w:numPr>
                <w:ilvl w:val="0"/>
                <w:numId w:val="5"/>
              </w:numPr>
              <w:pBdr/>
              <w:shd w:fill="FFFFFF" w:val="clear"/>
              <w:spacing w:lineRule="auto" w:line="360"/>
              <w:rPr>
                <w:rFonts w:ascii="Arial" w:hAnsi="Arial" w:cs="Arial"/>
                <w:sz w:val="22"/>
                <w:szCs w:val="22"/>
              </w:rPr>
            </w:pPr>
            <w:r>
              <w:rPr>
                <w:rFonts w:cs="Arial" w:ascii="Arial" w:hAnsi="Arial"/>
                <w:sz w:val="22"/>
                <w:szCs w:val="22"/>
              </w:rPr>
              <w:t>Actively promote the values of GMCA</w:t>
            </w:r>
          </w:p>
          <w:p>
            <w:pPr>
              <w:pStyle w:val="Normal"/>
              <w:numPr>
                <w:ilvl w:val="0"/>
                <w:numId w:val="5"/>
              </w:numPr>
              <w:pBdr/>
              <w:shd w:fill="FFFFFF" w:val="clear"/>
              <w:spacing w:lineRule="auto" w:line="360"/>
              <w:rPr>
                <w:rFonts w:ascii="Arial" w:hAnsi="Arial" w:cs="Arial"/>
                <w:sz w:val="22"/>
                <w:szCs w:val="22"/>
              </w:rPr>
            </w:pPr>
            <w:r>
              <w:rPr>
                <w:rFonts w:cs="Arial" w:ascii="Arial" w:hAnsi="Arial"/>
                <w:sz w:val="22"/>
                <w:szCs w:val="22"/>
              </w:rPr>
              <w:t>Lead and develop and performance manage team members in own area of responsibility in accordance with the law and our values; ensure that safety, sustainability, partnership working and inclusivity run through all we do.</w:t>
            </w:r>
          </w:p>
          <w:p>
            <w:pPr>
              <w:pStyle w:val="Normal"/>
              <w:numPr>
                <w:ilvl w:val="0"/>
                <w:numId w:val="5"/>
              </w:numPr>
              <w:pBdr/>
              <w:shd w:fill="FFFFFF" w:val="clear"/>
              <w:spacing w:lineRule="auto" w:line="360"/>
              <w:rPr>
                <w:rFonts w:ascii="Arial" w:hAnsi="Arial" w:cs="Arial"/>
                <w:sz w:val="22"/>
                <w:szCs w:val="22"/>
              </w:rPr>
            </w:pPr>
            <w:r>
              <w:rPr>
                <w:rFonts w:cs="Arial" w:ascii="Arial" w:hAnsi="Arial"/>
                <w:sz w:val="22"/>
                <w:szCs w:val="22"/>
              </w:rPr>
              <w:t>Effectively plan and manage financial resources in own area of responsibility based on an in depth understanding and interpretation of both financial and management information data, in order to deliver public value.</w:t>
            </w:r>
          </w:p>
          <w:p>
            <w:pPr>
              <w:pStyle w:val="Normal"/>
              <w:numPr>
                <w:ilvl w:val="0"/>
                <w:numId w:val="5"/>
              </w:numPr>
              <w:pBdr/>
              <w:shd w:fill="FFFFFF" w:val="clear"/>
              <w:spacing w:lineRule="auto" w:line="360"/>
              <w:rPr>
                <w:rFonts w:ascii="Arial" w:hAnsi="Arial" w:cs="Arial"/>
                <w:sz w:val="22"/>
                <w:szCs w:val="22"/>
              </w:rPr>
            </w:pPr>
            <w:r>
              <w:rPr>
                <w:rFonts w:cs="Arial" w:ascii="Arial" w:hAnsi="Arial"/>
                <w:sz w:val="22"/>
                <w:szCs w:val="22"/>
              </w:rPr>
              <w:t>Act as programme / project manager ensuring delivery of programmes and associated projects as directed.</w:t>
            </w:r>
          </w:p>
          <w:p>
            <w:pPr>
              <w:pStyle w:val="Normal"/>
              <w:numPr>
                <w:ilvl w:val="0"/>
                <w:numId w:val="5"/>
              </w:numPr>
              <w:pBdr/>
              <w:shd w:fill="FFFFFF" w:val="clear"/>
              <w:spacing w:lineRule="auto" w:line="360"/>
              <w:rPr>
                <w:rFonts w:ascii="Arial" w:hAnsi="Arial" w:cs="Arial"/>
                <w:sz w:val="22"/>
                <w:szCs w:val="22"/>
              </w:rPr>
            </w:pPr>
            <w:r>
              <w:rPr>
                <w:rFonts w:cs="Arial" w:ascii="Arial" w:hAnsi="Arial"/>
                <w:sz w:val="22"/>
                <w:szCs w:val="22"/>
              </w:rPr>
              <w:t>Lead, develop and performance manage people within your team to ensure delivery of all aspects of corporate planning and performance management</w:t>
            </w:r>
          </w:p>
          <w:p>
            <w:pPr>
              <w:pStyle w:val="Normal"/>
              <w:numPr>
                <w:ilvl w:val="0"/>
                <w:numId w:val="5"/>
              </w:numPr>
              <w:pBdr/>
              <w:shd w:fill="FFFFFF" w:val="clear"/>
              <w:spacing w:lineRule="auto" w:line="360"/>
              <w:rPr>
                <w:rFonts w:ascii="Arial" w:hAnsi="Arial" w:cs="Arial"/>
                <w:sz w:val="22"/>
                <w:szCs w:val="22"/>
              </w:rPr>
            </w:pPr>
            <w:r>
              <w:rPr>
                <w:rFonts w:cs="Arial" w:ascii="Arial" w:hAnsi="Arial"/>
                <w:sz w:val="22"/>
                <w:szCs w:val="22"/>
              </w:rPr>
              <w:t>Be responsible for the welfare, training and development of staff in accordance with relevant policies and procedures</w:t>
            </w:r>
          </w:p>
          <w:p>
            <w:pPr>
              <w:pStyle w:val="Normal"/>
              <w:numPr>
                <w:ilvl w:val="0"/>
                <w:numId w:val="5"/>
              </w:numPr>
              <w:pBdr/>
              <w:overflowPunct w:val="true"/>
              <w:spacing w:lineRule="auto" w:line="360" w:before="0" w:after="0"/>
              <w:contextualSpacing/>
              <w:jc w:val="both"/>
              <w:textAlignment w:val="baseline"/>
              <w:rPr>
                <w:rFonts w:ascii="Arial" w:hAnsi="Arial" w:cs="Arial"/>
                <w:sz w:val="22"/>
                <w:szCs w:val="22"/>
              </w:rPr>
            </w:pPr>
            <w:r>
              <w:rPr>
                <w:rFonts w:cs="Arial" w:ascii="Arial" w:hAnsi="Arial"/>
                <w:sz w:val="22"/>
                <w:szCs w:val="22"/>
              </w:rPr>
              <w:t>Implement resilient business continuity arrangements for the team and manage these arrangements effectively during business disruption</w:t>
            </w:r>
          </w:p>
          <w:p>
            <w:pPr>
              <w:pStyle w:val="Normal"/>
              <w:numPr>
                <w:ilvl w:val="0"/>
                <w:numId w:val="5"/>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Identify and contribute to upskilling opportunities for colleagues within and beyond the directorate.</w:t>
            </w:r>
          </w:p>
          <w:p>
            <w:pPr>
              <w:pStyle w:val="Normal"/>
              <w:numPr>
                <w:ilvl w:val="0"/>
                <w:numId w:val="5"/>
              </w:numPr>
              <w:pBdr/>
              <w:overflowPunct w:val="true"/>
              <w:spacing w:lineRule="auto" w:line="360" w:before="0" w:after="0"/>
              <w:contextualSpacing/>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Build effective relationships with clients, customers and key stakeholders</w:t>
            </w:r>
          </w:p>
          <w:p>
            <w:pPr>
              <w:pStyle w:val="Normal"/>
              <w:numPr>
                <w:ilvl w:val="0"/>
                <w:numId w:val="5"/>
              </w:numPr>
              <w:pBdr/>
              <w:overflowPunct w:val="true"/>
              <w:spacing w:lineRule="auto" w:line="360"/>
              <w:jc w:val="both"/>
              <w:textAlignment w:val="baseline"/>
              <w:rPr>
                <w:rFonts w:ascii="Arial" w:hAnsi="Arial" w:cs="Arial"/>
                <w:sz w:val="22"/>
                <w:szCs w:val="22"/>
              </w:rPr>
            </w:pPr>
            <w:r>
              <w:rPr>
                <w:rFonts w:cs="Arial" w:ascii="Arial" w:hAnsi="Arial"/>
                <w:sz w:val="22"/>
                <w:szCs w:val="22"/>
              </w:rPr>
              <w:t>Where required, coach managers to develop effective procurement and contract management skills, and provide guidance and support on the use of systems and tools to enable them to manage their own people processes directly</w:t>
            </w:r>
          </w:p>
          <w:p>
            <w:pPr>
              <w:pStyle w:val="Normal"/>
              <w:numPr>
                <w:ilvl w:val="0"/>
                <w:numId w:val="5"/>
              </w:numPr>
              <w:pBdr/>
              <w:overflowPunct w:val="true"/>
              <w:spacing w:lineRule="auto" w:line="360"/>
              <w:jc w:val="both"/>
              <w:textAlignment w:val="baseline"/>
              <w:rPr>
                <w:rFonts w:ascii="Arial" w:hAnsi="Arial" w:cs="Arial"/>
                <w:sz w:val="22"/>
                <w:szCs w:val="22"/>
              </w:rPr>
            </w:pPr>
            <w:r>
              <w:rPr>
                <w:rFonts w:cs="Arial" w:ascii="Arial" w:hAnsi="Arial"/>
                <w:sz w:val="22"/>
                <w:szCs w:val="22"/>
              </w:rPr>
              <w:t>Review key performance indicators to identify and address issues arising, spot trends and take appropriate action to learn, share and improve</w:t>
            </w:r>
          </w:p>
          <w:p>
            <w:pPr>
              <w:pStyle w:val="Normal"/>
              <w:numPr>
                <w:ilvl w:val="0"/>
                <w:numId w:val="5"/>
              </w:numPr>
              <w:pBdr/>
              <w:overflowPunct w:val="true"/>
              <w:spacing w:lineRule="auto" w:line="360"/>
              <w:jc w:val="both"/>
              <w:textAlignment w:val="baseline"/>
              <w:rPr>
                <w:rFonts w:ascii="Arial" w:hAnsi="Arial" w:cs="Arial"/>
                <w:sz w:val="22"/>
                <w:szCs w:val="22"/>
              </w:rPr>
            </w:pPr>
            <w:r>
              <w:rPr>
                <w:rFonts w:cs="Arial" w:ascii="Arial" w:hAnsi="Arial"/>
                <w:sz w:val="22"/>
                <w:szCs w:val="22"/>
              </w:rPr>
              <w:t>Seek feedback and elicit wider priorities to support and enable colleagues to meet the needs of the organisation</w:t>
            </w:r>
          </w:p>
          <w:p>
            <w:pPr>
              <w:pStyle w:val="Normal"/>
              <w:numPr>
                <w:ilvl w:val="0"/>
                <w:numId w:val="5"/>
              </w:numPr>
              <w:pBdr/>
              <w:overflowPunct w:val="true"/>
              <w:spacing w:lineRule="auto" w:line="360"/>
              <w:jc w:val="both"/>
              <w:textAlignment w:val="baseline"/>
              <w:rPr>
                <w:rFonts w:ascii="Arial" w:hAnsi="Arial" w:cs="Arial"/>
                <w:sz w:val="22"/>
                <w:szCs w:val="22"/>
              </w:rPr>
            </w:pPr>
            <w:r>
              <w:rPr>
                <w:rFonts w:cs="Arial" w:ascii="Arial" w:hAnsi="Arial"/>
                <w:sz w:val="22"/>
                <w:szCs w:val="22"/>
              </w:rPr>
              <w:t>Proactively contribute to continuous improvement of systems and processes to ensure procedures, policies and guidance are updated in line with legislative and social changes</w:t>
            </w:r>
          </w:p>
          <w:p>
            <w:pPr>
              <w:pStyle w:val="Normal"/>
              <w:numPr>
                <w:ilvl w:val="0"/>
                <w:numId w:val="5"/>
              </w:numPr>
              <w:pBdr/>
              <w:overflowPunct w:val="true"/>
              <w:spacing w:lineRule="auto" w:line="360"/>
              <w:jc w:val="both"/>
              <w:textAlignment w:val="baseline"/>
              <w:rPr>
                <w:rFonts w:ascii="Arial" w:hAnsi="Arial" w:eastAsia="Times New Roman" w:cs="Arial"/>
                <w:sz w:val="22"/>
                <w:szCs w:val="22"/>
                <w:lang w:eastAsia="en-GB"/>
              </w:rPr>
            </w:pPr>
            <w:r>
              <w:rPr>
                <w:rFonts w:eastAsia="Times New Roman" w:cs="Arial" w:ascii="Arial" w:hAnsi="Arial"/>
                <w:sz w:val="22"/>
                <w:szCs w:val="22"/>
                <w:lang w:eastAsia="en-GB"/>
              </w:rPr>
              <w:t>Develop on-going communication and engagement channels and methods to keep the wider directorate team, internal and external customers up to date</w:t>
            </w:r>
          </w:p>
          <w:p>
            <w:pPr>
              <w:pStyle w:val="Normal"/>
              <w:numPr>
                <w:ilvl w:val="0"/>
                <w:numId w:val="5"/>
              </w:numPr>
              <w:pBdr/>
              <w:overflowPunct w:val="true"/>
              <w:spacing w:lineRule="auto" w:line="360"/>
              <w:jc w:val="both"/>
              <w:textAlignment w:val="baseline"/>
              <w:rPr>
                <w:rFonts w:ascii="Arial" w:hAnsi="Arial" w:cs="Arial"/>
                <w:sz w:val="22"/>
                <w:szCs w:val="22"/>
              </w:rPr>
            </w:pPr>
            <w:r>
              <w:rPr>
                <w:rFonts w:cs="Arial" w:ascii="Arial" w:hAnsi="Arial"/>
                <w:sz w:val="22"/>
                <w:szCs w:val="22"/>
              </w:rPr>
              <w:t>Provide positive challenge to colleagues across the organisation in considering how things can be done better and more effectively</w:t>
            </w:r>
          </w:p>
          <w:p>
            <w:pPr>
              <w:pStyle w:val="Normal"/>
              <w:numPr>
                <w:ilvl w:val="0"/>
                <w:numId w:val="5"/>
              </w:numPr>
              <w:pBdr/>
              <w:overflowPunct w:val="true"/>
              <w:spacing w:lineRule="auto" w:line="360"/>
              <w:jc w:val="both"/>
              <w:textAlignment w:val="baseline"/>
              <w:rPr>
                <w:rFonts w:ascii="Arial" w:hAnsi="Arial" w:cs="Arial"/>
                <w:sz w:val="22"/>
                <w:szCs w:val="22"/>
              </w:rPr>
            </w:pPr>
            <w:r>
              <w:rPr>
                <w:rFonts w:cs="Arial" w:ascii="Arial" w:hAnsi="Arial"/>
                <w:sz w:val="22"/>
                <w:szCs w:val="22"/>
              </w:rPr>
              <w:t>Conform to the requirements of the Environmental Management System</w:t>
            </w:r>
          </w:p>
          <w:p>
            <w:pPr>
              <w:pStyle w:val="Normal"/>
              <w:numPr>
                <w:ilvl w:val="0"/>
                <w:numId w:val="5"/>
              </w:numPr>
              <w:pBdr/>
              <w:overflowPunct w:val="true"/>
              <w:spacing w:lineRule="auto" w:line="360"/>
              <w:jc w:val="both"/>
              <w:textAlignment w:val="baseline"/>
              <w:rPr>
                <w:rFonts w:ascii="Arial" w:hAnsi="Arial" w:cs="Arial"/>
                <w:sz w:val="22"/>
                <w:szCs w:val="22"/>
              </w:rPr>
            </w:pPr>
            <w:r>
              <w:rPr>
                <w:rFonts w:cs="Arial" w:ascii="Arial" w:hAnsi="Arial"/>
                <w:sz w:val="22"/>
                <w:szCs w:val="22"/>
              </w:rPr>
              <w:t>Work flexibly across the directorate, deployed as required</w:t>
            </w:r>
          </w:p>
          <w:p>
            <w:pPr>
              <w:pStyle w:val="Default"/>
              <w:rPr>
                <w:rFonts w:ascii="Arial" w:hAnsi="Arial" w:cs="Arial"/>
                <w:sz w:val="22"/>
                <w:szCs w:val="22"/>
              </w:rPr>
            </w:pPr>
            <w:r>
              <w:rPr>
                <w:rFonts w:cs="Arial" w:ascii="Arial" w:hAnsi="Arial"/>
                <w:sz w:val="22"/>
                <w:szCs w:val="22"/>
              </w:rPr>
            </w:r>
          </w:p>
          <w:p>
            <w:pPr>
              <w:pStyle w:val="Normal"/>
              <w:rPr/>
            </w:pPr>
            <w:r>
              <w:rPr>
                <w:rFonts w:cs="Arial" w:ascii="Arial" w:hAnsi="Arial"/>
                <w:b/>
                <w:bCs/>
                <w:color w:val="FF0000"/>
                <w:sz w:val="22"/>
                <w:szCs w:val="22"/>
              </w:rPr>
              <w:t xml:space="preserve">NB: </w:t>
            </w:r>
            <w:r>
              <w:rPr>
                <w:rFonts w:cs="Arial" w:ascii="Arial" w:hAnsi="Arial"/>
                <w:color w:val="FF0000"/>
                <w:sz w:val="22"/>
                <w:szCs w:val="22"/>
              </w:rPr>
              <w:t>This list of duties and responsibilities is by no means exhaustive, and the post holder may be required to undertake other relevant and appropriate duties as required.</w:t>
            </w:r>
          </w:p>
          <w:p>
            <w:pPr>
              <w:pStyle w:val="Normal"/>
              <w:pBdr/>
              <w:jc w:val="both"/>
              <w:rPr>
                <w:rFonts w:ascii="Arial" w:hAnsi="Arial" w:cs="Arial"/>
                <w:sz w:val="22"/>
                <w:szCs w:val="22"/>
                <w:lang w:val="en-GB"/>
              </w:rPr>
            </w:pPr>
            <w:r>
              <w:rPr>
                <w:rFonts w:cs="Arial" w:ascii="Arial" w:hAnsi="Arial"/>
                <w:sz w:val="22"/>
                <w:szCs w:val="22"/>
                <w:lang w:val="en-GB"/>
              </w:rPr>
            </w:r>
          </w:p>
        </w:tc>
      </w:tr>
      <w:tr>
        <w:trPr>
          <w:trHeight w:val="739" w:hRule="atLeast"/>
        </w:trPr>
        <w:tc>
          <w:tcPr>
            <w:tcW w:w="10401" w:type="dxa"/>
            <w:tcBorders>
              <w:left w:val="single" w:sz="4" w:space="0" w:color="000000"/>
              <w:bottom w:val="single" w:sz="4" w:space="0" w:color="000000"/>
              <w:right w:val="single" w:sz="6" w:space="0" w:color="000000"/>
            </w:tcBorders>
            <w:shd w:fill="auto" w:val="clear"/>
            <w:vAlign w:val="center"/>
          </w:tcPr>
          <w:p>
            <w:pPr>
              <w:pStyle w:val="Normal"/>
              <w:pBdr/>
              <w:snapToGrid w:val="false"/>
              <w:jc w:val="both"/>
              <w:rPr>
                <w:rFonts w:ascii="Arial" w:hAnsi="Arial" w:cs="Arial"/>
                <w:sz w:val="22"/>
                <w:szCs w:val="22"/>
                <w:lang w:val="en-GB"/>
              </w:rPr>
            </w:pPr>
            <w:r>
              <w:rPr>
                <w:rFonts w:cs="Arial" w:ascii="Arial" w:hAnsi="Arial"/>
                <w:sz w:val="22"/>
                <w:szCs w:val="22"/>
                <w:lang w:val="en-GB"/>
              </w:rPr>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359" w:type="dxa"/>
        <w:jc w:val="center"/>
        <w:tblInd w:w="0" w:type="dxa"/>
        <w:tblCellMar>
          <w:top w:w="80" w:type="dxa"/>
          <w:left w:w="80" w:type="dxa"/>
          <w:bottom w:w="80" w:type="dxa"/>
          <w:right w:w="80" w:type="dxa"/>
        </w:tblCellMar>
      </w:tblPr>
      <w:tblGrid>
        <w:gridCol w:w="10359"/>
      </w:tblGrid>
      <w:tr>
        <w:trPr>
          <w:trHeight w:val="180" w:hRule="atLeast"/>
        </w:trPr>
        <w:tc>
          <w:tcPr>
            <w:tcW w:w="10359"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ind w:left="18" w:right="261" w:hanging="0"/>
              <w:rPr>
                <w:rFonts w:eastAsia="Calibri"/>
                <w:b/>
                <w:b/>
                <w:bCs/>
                <w:color w:val="FFFFFF"/>
                <w:u w:val="none" w:color="FFFFFF"/>
              </w:rPr>
            </w:pPr>
            <w:r>
              <w:rPr>
                <w:rFonts w:eastAsia="Calibri"/>
                <w:b/>
                <w:bCs/>
                <w:color w:val="FFFFFF"/>
                <w:u w:val="none" w:color="FFFFFF"/>
              </w:rPr>
              <w:t>KNOWLEDGE, SKILLS AND EXPERIENCE</w:t>
            </w:r>
          </w:p>
        </w:tc>
      </w:tr>
      <w:tr>
        <w:trPr>
          <w:trHeight w:val="3467" w:hRule="atLeast"/>
        </w:trPr>
        <w:tc>
          <w:tcPr>
            <w:tcW w:w="10359" w:type="dxa"/>
            <w:tcBorders>
              <w:top w:val="single" w:sz="4" w:space="0" w:color="000000"/>
              <w:left w:val="single" w:sz="4" w:space="0" w:color="000000"/>
              <w:bottom w:val="single" w:sz="4" w:space="0" w:color="000000"/>
              <w:right w:val="single" w:sz="4" w:space="0" w:color="000000"/>
            </w:tcBorders>
            <w:shd w:fill="auto" w:val="clear"/>
            <w:tcMar>
              <w:left w:w="363" w:type="dxa"/>
            </w:tcMar>
            <w:vAlign w:val="center"/>
          </w:tcPr>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t>Education, qualifications and associations</w:t>
            </w:r>
          </w:p>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t xml:space="preserve">Essential </w:t>
            </w:r>
          </w:p>
          <w:p>
            <w:pPr>
              <w:pStyle w:val="Normal"/>
              <w:numPr>
                <w:ilvl w:val="0"/>
                <w:numId w:val="3"/>
              </w:numPr>
              <w:pBdr/>
              <w:overflowPunct w:val="true"/>
              <w:spacing w:lineRule="auto" w:line="360" w:before="0" w:after="0"/>
              <w:contextualSpacing/>
              <w:textAlignment w:val="baseline"/>
              <w:rPr>
                <w:rFonts w:ascii="Arial" w:hAnsi="Arial" w:eastAsia="Times New Roman" w:cs="Arial"/>
                <w:lang w:eastAsia="en-GB"/>
              </w:rPr>
            </w:pPr>
            <w:r>
              <w:rPr>
                <w:rFonts w:eastAsia="Times New Roman" w:cs="Arial" w:ascii="Arial" w:hAnsi="Arial"/>
                <w:lang w:eastAsia="en-GB"/>
              </w:rPr>
              <w:t xml:space="preserve">Educated to degree level in relevant area or equivalent experience </w:t>
            </w:r>
          </w:p>
          <w:p>
            <w:pPr>
              <w:pStyle w:val="Normal"/>
              <w:numPr>
                <w:ilvl w:val="0"/>
                <w:numId w:val="3"/>
              </w:numPr>
              <w:pBdr/>
              <w:overflowPunct w:val="true"/>
              <w:spacing w:lineRule="auto" w:line="360" w:before="0" w:after="0"/>
              <w:contextualSpacing/>
              <w:textAlignment w:val="baseline"/>
              <w:rPr>
                <w:rFonts w:ascii="Arial" w:hAnsi="Arial" w:eastAsia="Times New Roman" w:cs="Arial"/>
                <w:lang w:eastAsia="en-GB"/>
              </w:rPr>
            </w:pPr>
            <w:r>
              <w:rPr>
                <w:rFonts w:eastAsia="Times New Roman" w:cs="Arial" w:ascii="Arial" w:hAnsi="Arial"/>
                <w:lang w:eastAsia="en-GB"/>
              </w:rPr>
              <w:t>Evidence of continuous professional development</w:t>
            </w:r>
          </w:p>
          <w:p>
            <w:pPr>
              <w:pStyle w:val="Normal"/>
              <w:numPr>
                <w:ilvl w:val="0"/>
                <w:numId w:val="3"/>
              </w:numPr>
              <w:pBdr/>
              <w:overflowPunct w:val="true"/>
              <w:spacing w:lineRule="auto" w:line="360" w:before="0" w:after="0"/>
              <w:contextualSpacing/>
              <w:textAlignment w:val="baseline"/>
              <w:rPr>
                <w:rFonts w:ascii="Arial" w:hAnsi="Arial" w:eastAsia="Times New Roman" w:cs="Arial"/>
                <w:lang w:eastAsia="en-GB"/>
              </w:rPr>
            </w:pPr>
            <w:r>
              <w:rPr>
                <w:rFonts w:eastAsia="Times New Roman" w:cs="Arial" w:ascii="Arial" w:hAnsi="Arial"/>
                <w:lang w:eastAsia="en-GB"/>
              </w:rPr>
              <w:t>Full membership of Chartered Institute of Purchasing and Supplies (MCIPS) through examination route. Educated to Professional Diploma in Procurement and Supply or equivalent as a minimum, minimum 3 years post qualification experience</w:t>
            </w:r>
          </w:p>
          <w:p>
            <w:pPr>
              <w:pStyle w:val="Normal"/>
              <w:overflowPunct w:val="true"/>
              <w:spacing w:lineRule="auto" w:line="360" w:before="0" w:after="0"/>
              <w:contextualSpacing/>
              <w:jc w:val="both"/>
              <w:textAlignment w:val="baseline"/>
              <w:rPr>
                <w:rFonts w:ascii="Arial" w:hAnsi="Arial" w:eastAsia="Times New Roman" w:cs="Arial"/>
                <w:lang w:eastAsia="en-GB"/>
              </w:rPr>
            </w:pPr>
            <w:r>
              <w:rPr>
                <w:rFonts w:eastAsia="Times New Roman" w:cs="Arial" w:ascii="Arial" w:hAnsi="Arial"/>
                <w:lang w:eastAsia="en-GB"/>
              </w:rPr>
            </w:r>
          </w:p>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t>Desirable</w:t>
            </w:r>
          </w:p>
          <w:p>
            <w:pPr>
              <w:pStyle w:val="Normal"/>
              <w:numPr>
                <w:ilvl w:val="0"/>
                <w:numId w:val="3"/>
              </w:numPr>
              <w:pBdr/>
              <w:overflowPunct w:val="true"/>
              <w:spacing w:lineRule="auto" w:line="360" w:before="0" w:after="0"/>
              <w:contextualSpacing/>
              <w:jc w:val="both"/>
              <w:textAlignment w:val="baseline"/>
              <w:rPr>
                <w:rFonts w:ascii="Arial" w:hAnsi="Arial" w:eastAsia="Times New Roman" w:cs="Arial"/>
                <w:lang w:eastAsia="en-GB"/>
              </w:rPr>
            </w:pPr>
            <w:r>
              <w:rPr>
                <w:rFonts w:eastAsia="Times New Roman" w:cs="Arial" w:ascii="Arial" w:hAnsi="Arial"/>
                <w:lang w:eastAsia="en-GB"/>
              </w:rPr>
              <w:t xml:space="preserve">Relevant management qualification e.g. Business Administration. </w:t>
            </w:r>
          </w:p>
          <w:p>
            <w:pPr>
              <w:pStyle w:val="Normal"/>
              <w:overflowPunct w:val="true"/>
              <w:spacing w:lineRule="auto" w:line="360" w:before="0" w:after="0"/>
              <w:ind w:left="720" w:right="0" w:hanging="0"/>
              <w:contextualSpacing/>
              <w:jc w:val="both"/>
              <w:textAlignment w:val="baseline"/>
              <w:rPr>
                <w:rFonts w:ascii="Arial" w:hAnsi="Arial" w:eastAsia="Times New Roman" w:cs="Arial"/>
                <w:b/>
                <w:b/>
                <w:lang w:eastAsia="en-GB"/>
              </w:rPr>
            </w:pPr>
            <w:r>
              <w:rPr>
                <w:rFonts w:eastAsia="Times New Roman" w:cs="Arial" w:ascii="Arial" w:hAnsi="Arial"/>
                <w:b/>
                <w:lang w:eastAsia="en-GB"/>
              </w:rPr>
            </w:r>
          </w:p>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t>Essential Knowledge and experience</w:t>
            </w:r>
          </w:p>
          <w:p>
            <w:pPr>
              <w:pStyle w:val="Normal"/>
              <w:numPr>
                <w:ilvl w:val="0"/>
                <w:numId w:val="3"/>
              </w:numPr>
              <w:pBdr/>
              <w:overflowPunct w:val="true"/>
              <w:spacing w:lineRule="auto" w:line="360" w:before="0" w:after="200"/>
              <w:contextualSpacing/>
              <w:textAlignment w:val="baseline"/>
              <w:rPr>
                <w:rFonts w:ascii="Arial" w:hAnsi="Arial" w:cs="Arial"/>
              </w:rPr>
            </w:pPr>
            <w:r>
              <w:rPr>
                <w:rFonts w:cs="Arial" w:ascii="Arial" w:hAnsi="Arial"/>
              </w:rPr>
              <w:t>Extensive working knowledge of corporate governance, financial, risk and environmental management, strategic planning and programme management principles and practice</w:t>
            </w:r>
          </w:p>
          <w:p>
            <w:pPr>
              <w:pStyle w:val="Normal"/>
              <w:numPr>
                <w:ilvl w:val="0"/>
                <w:numId w:val="3"/>
              </w:numPr>
              <w:pBdr/>
              <w:overflowPunct w:val="true"/>
              <w:spacing w:lineRule="auto" w:line="360" w:before="0" w:after="200"/>
              <w:contextualSpacing/>
              <w:textAlignment w:val="baseline"/>
              <w:rPr>
                <w:rFonts w:ascii="Arial" w:hAnsi="Arial" w:cs="Arial"/>
              </w:rPr>
            </w:pPr>
            <w:r>
              <w:rPr>
                <w:rFonts w:cs="Arial" w:ascii="Arial" w:hAnsi="Arial"/>
              </w:rPr>
              <w:t>Extensive knowledge of the national, regional and local political operating climate of GMCA within the context of the Governments’ devolution / modernisation agenda</w:t>
            </w:r>
          </w:p>
          <w:p>
            <w:pPr>
              <w:pStyle w:val="Normal"/>
              <w:numPr>
                <w:ilvl w:val="0"/>
                <w:numId w:val="3"/>
              </w:numPr>
              <w:pBdr/>
              <w:overflowPunct w:val="true"/>
              <w:spacing w:lineRule="auto" w:line="360" w:before="0" w:after="200"/>
              <w:contextualSpacing/>
              <w:textAlignment w:val="baseline"/>
              <w:rPr>
                <w:rFonts w:ascii="Arial" w:hAnsi="Arial" w:cs="Arial"/>
              </w:rPr>
            </w:pPr>
            <w:r>
              <w:rPr>
                <w:rFonts w:cs="Arial" w:ascii="Arial" w:hAnsi="Arial"/>
              </w:rPr>
              <w:t>Record of successful achievement in procurement and contract management, and effective and experienced in procurement and contract management in a public sector organisation.</w:t>
            </w:r>
          </w:p>
          <w:p>
            <w:pPr>
              <w:pStyle w:val="Normal"/>
              <w:numPr>
                <w:ilvl w:val="0"/>
                <w:numId w:val="3"/>
              </w:numPr>
              <w:pBdr/>
              <w:overflowPunct w:val="true"/>
              <w:spacing w:lineRule="auto" w:line="360" w:before="0" w:after="0"/>
              <w:contextualSpacing/>
              <w:textAlignment w:val="baseline"/>
              <w:rPr>
                <w:rFonts w:ascii="Arial" w:hAnsi="Arial" w:cs="Arial"/>
              </w:rPr>
            </w:pPr>
            <w:r>
              <w:rPr>
                <w:rFonts w:cs="Arial" w:ascii="Arial" w:hAnsi="Arial"/>
              </w:rPr>
              <w:t>A good understanding of all areas affecting corporate, social and environmental responsibility.</w:t>
            </w:r>
          </w:p>
          <w:p>
            <w:pPr>
              <w:pStyle w:val="Normal"/>
              <w:numPr>
                <w:ilvl w:val="0"/>
                <w:numId w:val="3"/>
              </w:numPr>
              <w:pBdr/>
              <w:overflowPunct w:val="true"/>
              <w:spacing w:lineRule="auto" w:line="360" w:before="0" w:after="0"/>
              <w:contextualSpacing/>
              <w:textAlignment w:val="baseline"/>
              <w:rPr>
                <w:rFonts w:ascii="Arial" w:hAnsi="Arial" w:cs="Arial"/>
              </w:rPr>
            </w:pPr>
            <w:r>
              <w:rPr>
                <w:rFonts w:cs="Arial" w:ascii="Arial" w:hAnsi="Arial"/>
              </w:rPr>
              <w:t>A good working understanding of GMCA’s policies.</w:t>
            </w:r>
          </w:p>
          <w:p>
            <w:pPr>
              <w:pStyle w:val="Normal"/>
              <w:numPr>
                <w:ilvl w:val="0"/>
                <w:numId w:val="3"/>
              </w:numPr>
              <w:pBdr/>
              <w:overflowPunct w:val="true"/>
              <w:spacing w:lineRule="auto" w:line="360" w:before="0" w:after="0"/>
              <w:contextualSpacing/>
              <w:jc w:val="both"/>
              <w:textAlignment w:val="baseline"/>
              <w:rPr>
                <w:rFonts w:ascii="Arial" w:hAnsi="Arial" w:cs="Arial"/>
              </w:rPr>
            </w:pPr>
            <w:r>
              <w:rPr>
                <w:rFonts w:cs="Arial" w:ascii="Arial" w:hAnsi="Arial"/>
              </w:rPr>
              <w:t>Detailed working knowledge of legislative requirements, including EU Public procurement regulations</w:t>
            </w:r>
          </w:p>
          <w:p>
            <w:pPr>
              <w:pStyle w:val="Normal"/>
              <w:overflowPunct w:val="true"/>
              <w:spacing w:lineRule="auto" w:line="360" w:before="0" w:after="0"/>
              <w:contextualSpacing/>
              <w:jc w:val="both"/>
              <w:textAlignment w:val="baseline"/>
              <w:rPr>
                <w:rFonts w:ascii="Arial" w:hAnsi="Arial" w:eastAsia="Times New Roman" w:cs="Arial"/>
                <w:lang w:eastAsia="en-GB"/>
              </w:rPr>
            </w:pPr>
            <w:r>
              <w:rPr>
                <w:rFonts w:eastAsia="Times New Roman" w:cs="Arial" w:ascii="Arial" w:hAnsi="Arial"/>
                <w:lang w:eastAsia="en-GB"/>
              </w:rPr>
            </w:r>
          </w:p>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t>Desirable Knowledge and experience</w:t>
            </w:r>
          </w:p>
          <w:p>
            <w:pPr>
              <w:pStyle w:val="Normal"/>
              <w:numPr>
                <w:ilvl w:val="0"/>
                <w:numId w:val="3"/>
              </w:numPr>
              <w:pBdr/>
              <w:overflowPunct w:val="true"/>
              <w:spacing w:lineRule="auto" w:line="360" w:before="0" w:after="0"/>
              <w:contextualSpacing/>
              <w:jc w:val="both"/>
              <w:textAlignment w:val="baseline"/>
              <w:rPr>
                <w:rFonts w:ascii="Arial" w:hAnsi="Arial" w:eastAsia="Times New Roman" w:cs="Arial"/>
                <w:lang w:eastAsia="en-GB"/>
              </w:rPr>
            </w:pPr>
            <w:r>
              <w:rPr>
                <w:rFonts w:eastAsia="Times New Roman" w:cs="Arial" w:ascii="Arial" w:hAnsi="Arial"/>
                <w:lang w:eastAsia="en-GB"/>
              </w:rPr>
              <w:t>Knowledge of procurement and contracting requirements of GMCA</w:t>
            </w:r>
          </w:p>
          <w:p>
            <w:pPr>
              <w:pStyle w:val="Normal"/>
              <w:numPr>
                <w:ilvl w:val="0"/>
                <w:numId w:val="3"/>
              </w:numPr>
              <w:pBdr/>
              <w:overflowPunct w:val="true"/>
              <w:spacing w:lineRule="auto" w:line="360" w:before="0" w:after="0"/>
              <w:contextualSpacing/>
              <w:jc w:val="both"/>
              <w:textAlignment w:val="baseline"/>
              <w:rPr>
                <w:rFonts w:ascii="Arial" w:hAnsi="Arial" w:eastAsia="Times New Roman" w:cs="Arial"/>
                <w:lang w:eastAsia="en-GB"/>
              </w:rPr>
            </w:pPr>
            <w:r>
              <w:rPr>
                <w:rFonts w:eastAsia="Times New Roman" w:cs="Arial" w:ascii="Arial" w:hAnsi="Arial"/>
                <w:lang w:eastAsia="en-GB"/>
              </w:rPr>
              <w:t>Experience of successful collaborative working, with a number of public sector agencies.</w:t>
            </w:r>
          </w:p>
          <w:p>
            <w:pPr>
              <w:pStyle w:val="Normal"/>
              <w:overflowPunct w:val="true"/>
              <w:spacing w:lineRule="auto" w:line="360" w:before="0" w:after="0"/>
              <w:ind w:left="720" w:right="0" w:hanging="0"/>
              <w:contextualSpacing/>
              <w:jc w:val="both"/>
              <w:textAlignment w:val="baseline"/>
              <w:rPr>
                <w:rFonts w:ascii="Arial" w:hAnsi="Arial" w:eastAsia="Times New Roman" w:cs="Arial"/>
                <w:lang w:eastAsia="en-GB"/>
              </w:rPr>
            </w:pPr>
            <w:r>
              <w:rPr>
                <w:rFonts w:eastAsia="Times New Roman" w:cs="Arial" w:ascii="Arial" w:hAnsi="Arial"/>
                <w:lang w:eastAsia="en-GB"/>
              </w:rPr>
            </w:r>
          </w:p>
          <w:p>
            <w:pPr>
              <w:pStyle w:val="Normal"/>
              <w:overflowPunct w:val="true"/>
              <w:spacing w:lineRule="auto" w:line="360" w:before="0" w:after="0"/>
              <w:ind w:left="720" w:right="0" w:hanging="0"/>
              <w:contextualSpacing/>
              <w:jc w:val="both"/>
              <w:textAlignment w:val="baseline"/>
              <w:rPr>
                <w:rFonts w:ascii="Arial" w:hAnsi="Arial" w:eastAsia="Times New Roman" w:cs="Arial"/>
                <w:lang w:eastAsia="en-GB"/>
              </w:rPr>
            </w:pPr>
            <w:r>
              <w:rPr>
                <w:rFonts w:eastAsia="Times New Roman" w:cs="Arial" w:ascii="Arial" w:hAnsi="Arial"/>
                <w:lang w:eastAsia="en-GB"/>
              </w:rPr>
            </w:r>
          </w:p>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t>Essential Skills &amp; Behaviours</w:t>
            </w:r>
          </w:p>
          <w:p>
            <w:pPr>
              <w:pStyle w:val="Normal"/>
              <w:numPr>
                <w:ilvl w:val="0"/>
                <w:numId w:val="3"/>
              </w:numPr>
              <w:pBdr/>
              <w:spacing w:lineRule="auto" w:line="360"/>
              <w:rPr>
                <w:rFonts w:ascii="Arial" w:hAnsi="Arial" w:cs="Arial"/>
              </w:rPr>
            </w:pPr>
            <w:r>
              <w:rPr>
                <w:rFonts w:cs="Arial" w:ascii="Arial" w:hAnsi="Arial"/>
              </w:rPr>
              <w:t>Strongly developed interpersonal skills with the ability to communicate at all levels, proven ability to inspire confidence at all levels of the organisation, and highly developed communications skills with different audiences with a variety of methods</w:t>
            </w:r>
          </w:p>
          <w:p>
            <w:pPr>
              <w:pStyle w:val="Normal"/>
              <w:numPr>
                <w:ilvl w:val="0"/>
                <w:numId w:val="3"/>
              </w:numPr>
              <w:pBdr/>
              <w:spacing w:lineRule="auto" w:line="360"/>
              <w:rPr>
                <w:rFonts w:ascii="Arial" w:hAnsi="Arial" w:cs="Arial"/>
              </w:rPr>
            </w:pPr>
            <w:r>
              <w:rPr>
                <w:rFonts w:cs="Arial" w:ascii="Arial" w:hAnsi="Arial"/>
              </w:rPr>
              <w:t>Motivated with ability to prioritise workloads of self and team members to meet strict deadlines</w:t>
            </w:r>
          </w:p>
          <w:p>
            <w:pPr>
              <w:pStyle w:val="Normal"/>
              <w:numPr>
                <w:ilvl w:val="0"/>
                <w:numId w:val="3"/>
              </w:numPr>
              <w:pBdr/>
              <w:spacing w:lineRule="auto" w:line="360"/>
              <w:rPr>
                <w:rFonts w:ascii="Arial" w:hAnsi="Arial" w:cs="Arial"/>
              </w:rPr>
            </w:pPr>
            <w:r>
              <w:rPr>
                <w:rFonts w:cs="Arial" w:ascii="Arial" w:hAnsi="Arial"/>
              </w:rPr>
              <w:t>Ability to generate and implement new ideas, alternative options and develop realistic and practical solutions</w:t>
            </w:r>
          </w:p>
          <w:p>
            <w:pPr>
              <w:pStyle w:val="Normal"/>
              <w:numPr>
                <w:ilvl w:val="0"/>
                <w:numId w:val="3"/>
              </w:numPr>
              <w:pBdr/>
              <w:spacing w:lineRule="auto" w:line="360"/>
              <w:rPr>
                <w:rFonts w:ascii="Arial" w:hAnsi="Arial" w:cs="Arial"/>
              </w:rPr>
            </w:pPr>
            <w:r>
              <w:rPr>
                <w:rFonts w:cs="Arial" w:ascii="Arial" w:hAnsi="Arial"/>
              </w:rPr>
              <w:t>Ability to build strong and trusting relationships with suppliers, clients, customers and colleagues</w:t>
            </w:r>
          </w:p>
          <w:p>
            <w:pPr>
              <w:pStyle w:val="Normal"/>
              <w:numPr>
                <w:ilvl w:val="0"/>
                <w:numId w:val="3"/>
              </w:numPr>
              <w:pBdr/>
              <w:overflowPunct w:val="true"/>
              <w:spacing w:lineRule="auto" w:line="360" w:before="0" w:after="200"/>
              <w:contextualSpacing/>
              <w:textAlignment w:val="baseline"/>
              <w:rPr>
                <w:rFonts w:ascii="Arial" w:hAnsi="Arial" w:eastAsia="Times New Roman" w:cs="Arial"/>
                <w:lang w:eastAsia="en-GB"/>
              </w:rPr>
            </w:pPr>
            <w:r>
              <w:rPr>
                <w:rFonts w:eastAsia="Times New Roman" w:cs="Arial" w:ascii="Arial" w:hAnsi="Arial"/>
                <w:lang w:eastAsia="en-GB"/>
              </w:rPr>
              <w:t>Use strong influencing and negotiation skills to build on and create new strategic partnerships across the organisation and externally</w:t>
            </w:r>
          </w:p>
          <w:p>
            <w:pPr>
              <w:pStyle w:val="Normal"/>
              <w:numPr>
                <w:ilvl w:val="0"/>
                <w:numId w:val="3"/>
              </w:numPr>
              <w:pBdr/>
              <w:overflowPunct w:val="true"/>
              <w:spacing w:lineRule="auto" w:line="360" w:before="0" w:after="200"/>
              <w:contextualSpacing/>
              <w:textAlignment w:val="baseline"/>
              <w:rPr>
                <w:rFonts w:ascii="Arial" w:hAnsi="Arial" w:cs="Arial"/>
              </w:rPr>
            </w:pPr>
            <w:r>
              <w:rPr>
                <w:rFonts w:cs="Arial" w:ascii="Arial" w:hAnsi="Arial"/>
              </w:rPr>
              <w:t>Experience of analysing and interpreting complex information and communicating it appropriately to a range of stakeholders</w:t>
            </w:r>
          </w:p>
          <w:p>
            <w:pPr>
              <w:pStyle w:val="Normal"/>
              <w:numPr>
                <w:ilvl w:val="0"/>
                <w:numId w:val="3"/>
              </w:numPr>
              <w:pBdr/>
              <w:overflowPunct w:val="true"/>
              <w:spacing w:lineRule="auto" w:line="360" w:before="0" w:after="200"/>
              <w:contextualSpacing/>
              <w:textAlignment w:val="baseline"/>
              <w:rPr>
                <w:rFonts w:ascii="Arial" w:hAnsi="Arial" w:eastAsia="Times New Roman" w:cs="Arial"/>
                <w:lang w:eastAsia="en-GB"/>
              </w:rPr>
            </w:pPr>
            <w:r>
              <w:rPr>
                <w:rFonts w:eastAsia="Times New Roman" w:cs="Arial" w:ascii="Arial" w:hAnsi="Arial"/>
                <w:lang w:eastAsia="en-GB"/>
              </w:rPr>
              <w:t xml:space="preserve">Excellent IT skills, with ability to use a wide range of IT systems </w:t>
            </w:r>
          </w:p>
          <w:p>
            <w:pPr>
              <w:pStyle w:val="Normal"/>
              <w:numPr>
                <w:ilvl w:val="0"/>
                <w:numId w:val="3"/>
              </w:numPr>
              <w:pBdr/>
              <w:overflowPunct w:val="true"/>
              <w:spacing w:lineRule="auto" w:line="360"/>
              <w:jc w:val="both"/>
              <w:textAlignment w:val="baseline"/>
              <w:rPr>
                <w:rFonts w:ascii="Arial" w:hAnsi="Arial" w:eastAsia="Times New Roman" w:cs="Arial"/>
                <w:lang w:eastAsia="en-GB"/>
              </w:rPr>
            </w:pPr>
            <w:r>
              <w:rPr>
                <w:rFonts w:eastAsia="Times New Roman" w:cs="Arial" w:ascii="Arial" w:hAnsi="Arial"/>
                <w:lang w:eastAsia="en-GB"/>
              </w:rPr>
              <w:t>Ability to collate, critically appraise and present information from a range of sources using excellent analytical skills.</w:t>
            </w:r>
          </w:p>
          <w:p>
            <w:pPr>
              <w:pStyle w:val="Normal"/>
              <w:numPr>
                <w:ilvl w:val="0"/>
                <w:numId w:val="3"/>
              </w:numPr>
              <w:pBdr/>
              <w:overflowPunct w:val="true"/>
              <w:spacing w:lineRule="auto" w:line="360"/>
              <w:jc w:val="both"/>
              <w:textAlignment w:val="baseline"/>
              <w:rPr>
                <w:rFonts w:ascii="Arial" w:hAnsi="Arial" w:eastAsia="Times New Roman" w:cs="Arial"/>
                <w:lang w:eastAsia="en-GB"/>
              </w:rPr>
            </w:pPr>
            <w:r>
              <w:rPr>
                <w:rFonts w:eastAsia="Times New Roman" w:cs="Arial" w:ascii="Arial" w:hAnsi="Arial"/>
                <w:lang w:eastAsia="en-GB"/>
              </w:rPr>
              <w:t>Well-developed verbal and written communication skills, including report writing, presentation and facilitation, able to advise / influence at all levels.</w:t>
            </w:r>
          </w:p>
          <w:p>
            <w:pPr>
              <w:pStyle w:val="Normal"/>
              <w:numPr>
                <w:ilvl w:val="0"/>
                <w:numId w:val="3"/>
              </w:numPr>
              <w:pBdr/>
              <w:overflowPunct w:val="true"/>
              <w:spacing w:lineRule="auto" w:line="360"/>
              <w:jc w:val="both"/>
              <w:textAlignment w:val="baseline"/>
              <w:rPr>
                <w:rFonts w:ascii="Arial" w:hAnsi="Arial" w:eastAsia="Times New Roman" w:cs="Arial"/>
                <w:lang w:eastAsia="en-GB"/>
              </w:rPr>
            </w:pPr>
            <w:r>
              <w:rPr>
                <w:rFonts w:eastAsia="Times New Roman" w:cs="Arial" w:ascii="Arial" w:hAnsi="Arial"/>
                <w:lang w:eastAsia="en-GB"/>
              </w:rPr>
              <w:t>Ability to convey often complex information and guidance in a clear and understandable manner appropriate to the recipient</w:t>
            </w:r>
          </w:p>
          <w:p>
            <w:pPr>
              <w:pStyle w:val="Normal"/>
              <w:numPr>
                <w:ilvl w:val="0"/>
                <w:numId w:val="3"/>
              </w:numPr>
              <w:pBdr/>
              <w:overflowPunct w:val="true"/>
              <w:spacing w:lineRule="auto" w:line="360"/>
              <w:jc w:val="both"/>
              <w:textAlignment w:val="baseline"/>
              <w:rPr>
                <w:rFonts w:ascii="Arial" w:hAnsi="Arial" w:eastAsia="Times New Roman" w:cs="Arial"/>
                <w:lang w:eastAsia="en-GB"/>
              </w:rPr>
            </w:pPr>
            <w:r>
              <w:rPr>
                <w:rFonts w:eastAsia="Times New Roman" w:cs="Arial" w:ascii="Arial" w:hAnsi="Arial"/>
                <w:lang w:eastAsia="en-GB"/>
              </w:rPr>
              <w:t>Ability to build strong and trusting relationships with clients, customers and colleagues</w:t>
            </w:r>
          </w:p>
          <w:p>
            <w:pPr>
              <w:pStyle w:val="Normal"/>
              <w:numPr>
                <w:ilvl w:val="0"/>
                <w:numId w:val="3"/>
              </w:numPr>
              <w:pBdr/>
              <w:overflowPunct w:val="true"/>
              <w:spacing w:lineRule="auto" w:line="360"/>
              <w:jc w:val="both"/>
              <w:textAlignment w:val="baseline"/>
              <w:rPr>
                <w:rFonts w:ascii="Arial" w:hAnsi="Arial" w:eastAsia="Times New Roman" w:cs="Arial"/>
                <w:lang w:eastAsia="en-GB"/>
              </w:rPr>
            </w:pPr>
            <w:r>
              <w:rPr>
                <w:rFonts w:eastAsia="Times New Roman" w:cs="Arial" w:ascii="Arial" w:hAnsi="Arial"/>
                <w:lang w:eastAsia="en-GB"/>
              </w:rPr>
              <w:t>Acting as a role model for the directorate</w:t>
            </w:r>
          </w:p>
          <w:p>
            <w:pPr>
              <w:pStyle w:val="Normal"/>
              <w:numPr>
                <w:ilvl w:val="0"/>
                <w:numId w:val="3"/>
              </w:numPr>
              <w:pBdr/>
              <w:overflowPunct w:val="true"/>
              <w:spacing w:lineRule="auto" w:line="360"/>
              <w:jc w:val="both"/>
              <w:textAlignment w:val="baseline"/>
              <w:rPr>
                <w:rFonts w:ascii="Arial" w:hAnsi="Arial" w:eastAsia="Times New Roman" w:cs="Arial"/>
                <w:lang w:eastAsia="en-GB"/>
              </w:rPr>
            </w:pPr>
            <w:r>
              <w:rPr>
                <w:rFonts w:eastAsia="Times New Roman" w:cs="Arial" w:ascii="Arial" w:hAnsi="Arial"/>
                <w:lang w:eastAsia="en-GB"/>
              </w:rPr>
              <w:t xml:space="preserve">Able to work flexibly and independently, covering other areas of the department as required.  </w:t>
            </w:r>
          </w:p>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r>
          </w:p>
          <w:p>
            <w:pPr>
              <w:pStyle w:val="Normal"/>
              <w:overflowPunct w:val="true"/>
              <w:spacing w:lineRule="auto" w:line="360" w:before="0" w:after="0"/>
              <w:contextualSpacing/>
              <w:jc w:val="both"/>
              <w:textAlignment w:val="baseline"/>
              <w:rPr>
                <w:rFonts w:ascii="Arial" w:hAnsi="Arial" w:eastAsia="Times New Roman" w:cs="Arial"/>
                <w:b/>
                <w:b/>
                <w:lang w:eastAsia="en-GB"/>
              </w:rPr>
            </w:pPr>
            <w:r>
              <w:rPr>
                <w:rFonts w:eastAsia="Times New Roman" w:cs="Arial" w:ascii="Arial" w:hAnsi="Arial"/>
                <w:b/>
                <w:lang w:eastAsia="en-GB"/>
              </w:rPr>
              <w:t>Other</w:t>
            </w:r>
          </w:p>
          <w:p>
            <w:pPr>
              <w:pStyle w:val="Normal"/>
              <w:pBdr/>
              <w:ind w:left="360" w:right="0" w:hanging="0"/>
              <w:rPr>
                <w:rFonts w:ascii="Arial" w:hAnsi="Arial" w:eastAsia="Times New Roman" w:cs="Arial"/>
                <w:lang w:eastAsia="en-GB"/>
              </w:rPr>
            </w:pPr>
            <w:r>
              <w:rPr>
                <w:rFonts w:eastAsia="Times New Roman" w:cs="Arial" w:ascii="Arial" w:hAnsi="Arial"/>
                <w:lang w:eastAsia="en-GB"/>
              </w:rPr>
              <w:t>Willingness and ability to travel across county and work from other sites when required</w:t>
            </w:r>
          </w:p>
        </w:tc>
      </w:tr>
    </w:tbl>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t>Corporate Duties</w:t>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t>Avoid any behaviour which discriminates against your fellow employees, or potential employees on the grounds of their sex, sexual orientation, marital status, race, religion, creed, colour, nationality, ethnic origin or disability.</w:t>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Safeguard at all times confidentiality of information relating to staff and pensioners.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Refrain from smoking in any areas of Service premises.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Behave in a manner that ensures the security of property and resources.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Abide by all relevant Service Policies and Procedures.</w:t>
      </w:r>
    </w:p>
    <w:p>
      <w:pPr>
        <w:pStyle w:val="ListParagraph"/>
        <w:ind w:left="0" w:right="0" w:hanging="0"/>
        <w:jc w:val="both"/>
        <w:rPr>
          <w:color w:val="595959"/>
        </w:rPr>
      </w:pPr>
      <w:r>
        <w:rPr>
          <w:color w:val="595959"/>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Records Management/ Data Protection - </w:t>
      </w:r>
      <w:r>
        <w:rPr>
          <w:rFonts w:cs="Arial" w:ascii="Arial" w:hAnsi="Arial"/>
          <w:color w:val="595959"/>
          <w:sz w:val="22"/>
          <w:szCs w:val="22"/>
        </w:rPr>
        <w:t>As an employee of the GMCA, you have a legal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pPr>
        <w:pStyle w:val="BodyTextIndent3"/>
        <w:tabs>
          <w:tab w:val="clear" w:pos="720"/>
          <w:tab w:val="left" w:pos="1134" w:leader="none"/>
        </w:tabs>
        <w:spacing w:before="0" w:after="0"/>
        <w:ind w:left="0" w:right="0" w:hanging="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Confidentiality and Information Security - </w:t>
      </w:r>
      <w:r>
        <w:rPr>
          <w:rFonts w:cs="Arial" w:ascii="Arial" w:hAnsi="Arial"/>
          <w:color w:val="595959"/>
          <w:sz w:val="22"/>
          <w:szCs w:val="22"/>
        </w:rPr>
        <w:t>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pPr>
        <w:pStyle w:val="Normal"/>
        <w:spacing w:before="0" w:after="0"/>
        <w:contextualSpacing/>
        <w:jc w:val="both"/>
        <w:rPr>
          <w:rFonts w:ascii="Arial" w:hAnsi="Arial" w:eastAsia="Arial" w:cs="Arial"/>
          <w:color w:val="595959"/>
          <w:sz w:val="22"/>
          <w:szCs w:val="22"/>
        </w:rPr>
      </w:pPr>
      <w:r>
        <w:rPr>
          <w:rFonts w:eastAsia="Arial" w:cs="Arial" w:ascii="Arial" w:hAnsi="Arial"/>
          <w:color w:val="595959"/>
          <w:sz w:val="22"/>
          <w:szCs w:val="22"/>
        </w:rPr>
        <w:t xml:space="preserve"> </w:t>
      </w:r>
    </w:p>
    <w:p>
      <w:pPr>
        <w:pStyle w:val="Normal"/>
        <w:spacing w:before="0" w:after="0"/>
        <w:contextualSpacing/>
        <w:jc w:val="both"/>
        <w:rPr/>
      </w:pPr>
      <w:r>
        <w:rPr>
          <w:rFonts w:cs="Arial" w:ascii="Arial" w:hAnsi="Arial"/>
          <w:b/>
          <w:color w:val="595959"/>
          <w:sz w:val="22"/>
          <w:szCs w:val="22"/>
        </w:rPr>
        <w:t xml:space="preserve">Data Quality - </w:t>
      </w:r>
      <w:r>
        <w:rPr>
          <w:rFonts w:cs="Arial" w:ascii="Arial" w:hAnsi="Arial"/>
          <w:color w:val="595959"/>
          <w:sz w:val="22"/>
          <w:szCs w:val="22"/>
        </w:rPr>
        <w:t>All staff are personally responsible</w:t>
      </w:r>
      <w:r>
        <w:rPr>
          <w:rFonts w:cs="Arial" w:ascii="Arial" w:hAnsi="Arial"/>
          <w:b/>
          <w:bCs/>
          <w:color w:val="595959"/>
          <w:sz w:val="22"/>
          <w:szCs w:val="22"/>
        </w:rPr>
        <w:t xml:space="preserve"> </w:t>
      </w:r>
      <w:r>
        <w:rPr>
          <w:rFonts w:cs="Arial" w:ascii="Arial" w:hAnsi="Arial"/>
          <w:color w:val="595959"/>
          <w:sz w:val="22"/>
          <w:szCs w:val="22"/>
        </w:rPr>
        <w:t>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w:t>
      </w:r>
    </w:p>
    <w:p>
      <w:pPr>
        <w:pStyle w:val="Normal"/>
        <w:jc w:val="both"/>
        <w:rPr>
          <w:rFonts w:ascii="Arial" w:hAnsi="Arial" w:cs="Arial"/>
          <w:color w:val="595959"/>
          <w:sz w:val="22"/>
          <w:szCs w:val="22"/>
        </w:rPr>
      </w:pPr>
      <w:r>
        <w:rPr>
          <w:rFonts w:cs="Arial" w:ascii="Arial" w:hAnsi="Arial"/>
          <w:color w:val="595959"/>
          <w:sz w:val="22"/>
          <w:szCs w:val="22"/>
        </w:rPr>
        <w:t>  </w:t>
      </w:r>
    </w:p>
    <w:p>
      <w:pPr>
        <w:pStyle w:val="Normal"/>
        <w:jc w:val="both"/>
        <w:rPr>
          <w:rFonts w:ascii="Arial" w:hAnsi="Arial" w:cs="Arial"/>
          <w:color w:val="595959"/>
          <w:sz w:val="22"/>
          <w:szCs w:val="22"/>
        </w:rPr>
      </w:pPr>
      <w:r>
        <w:rPr>
          <w:rFonts w:cs="Arial" w:ascii="Arial" w:hAnsi="Arial"/>
          <w:color w:val="595959"/>
          <w:sz w:val="22"/>
          <w:szCs w:val="22"/>
        </w:rPr>
        <w:t xml:space="preserve">To ensure data is handled in a secure manner protecting the confidentiality of any personal data held in meeting the requirements of the Data Protection Act. </w:t>
      </w:r>
    </w:p>
    <w:p>
      <w:pPr>
        <w:pStyle w:val="Normal"/>
        <w:tabs>
          <w:tab w:val="clear" w:pos="720"/>
          <w:tab w:val="left" w:pos="1134" w:leader="none"/>
        </w:tabs>
        <w:spacing w:before="0" w:after="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Health and Safety - </w:t>
      </w:r>
      <w:r>
        <w:rPr>
          <w:rFonts w:cs="Arial" w:ascii="Arial" w:hAnsi="Arial"/>
          <w:color w:val="595959"/>
          <w:sz w:val="22"/>
          <w:szCs w:val="22"/>
        </w:rPr>
        <w:t>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pPr>
        <w:pStyle w:val="Normal"/>
        <w:tabs>
          <w:tab w:val="clear" w:pos="720"/>
          <w:tab w:val="left" w:pos="1134" w:leader="none"/>
        </w:tabs>
        <w:spacing w:before="0" w:after="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Service Policies - </w:t>
      </w:r>
      <w:r>
        <w:rPr>
          <w:rFonts w:cs="Arial" w:ascii="Arial" w:hAnsi="Arial"/>
          <w:color w:val="595959"/>
          <w:sz w:val="22"/>
          <w:szCs w:val="22"/>
        </w:rPr>
        <w:t>All GMCA employees must observe and adhere to the provisions outlined in these policies.</w:t>
      </w:r>
    </w:p>
    <w:p>
      <w:pPr>
        <w:pStyle w:val="Normal"/>
        <w:spacing w:before="0" w:after="0"/>
        <w:contextualSpacing/>
        <w:jc w:val="both"/>
        <w:rPr>
          <w:rFonts w:ascii="Arial" w:hAnsi="Arial" w:cs="Arial"/>
          <w:color w:val="595959"/>
          <w:sz w:val="22"/>
          <w:szCs w:val="22"/>
        </w:rPr>
      </w:pPr>
      <w:r>
        <w:rPr>
          <w:rFonts w:cs="Arial" w:ascii="Arial" w:hAnsi="Arial"/>
          <w:color w:val="595959"/>
          <w:sz w:val="22"/>
          <w:szCs w:val="22"/>
        </w:rPr>
      </w:r>
    </w:p>
    <w:p>
      <w:pPr>
        <w:pStyle w:val="Body"/>
        <w:ind w:left="0" w:right="261" w:hanging="0"/>
        <w:rPr/>
      </w:pPr>
      <w:r>
        <w:rPr>
          <w:b/>
          <w:color w:val="595959"/>
        </w:rPr>
        <w:t xml:space="preserve">Equal Opportunities - </w:t>
      </w:r>
      <w:r>
        <w:rPr>
          <w:color w:val="595959"/>
        </w:rPr>
        <w:t>GMCA provides a range of services and employment opportunities for a diverse population. As a GMCA employee you are expected to treat all employees / partners / members of the public and work colleagues with dignity and respect irrespective of their background</w:t>
      </w:r>
    </w:p>
    <w:sectPr>
      <w:headerReference w:type="default" r:id="rId3"/>
      <w:headerReference w:type="first" r:id="rId4"/>
      <w:footerReference w:type="default" r:id="rId5"/>
      <w:footerReference w:type="first" r:id="rId6"/>
      <w:type w:val="nextPage"/>
      <w:pgSz w:w="11906" w:h="16838"/>
      <w:pgMar w:left="1440" w:right="1440" w:header="426" w:top="993" w:footer="144" w:bottom="851"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6</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sz w:val="22"/>
        <w:szCs w:val="22"/>
        <w:rFonts w:ascii="Arial" w:hAnsi="Arial" w:eastAsia="Times New Roman" w:cs="Arial"/>
        <w:lang w:eastAsia="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pBdr/>
      <w:suppressAutoHyphens w:val="true"/>
      <w:bidi w:val="0"/>
      <w:spacing w:lineRule="auto" w:line="240"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mbria" w:hAnsi="Cambria" w:eastAsia=""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 w:cs=""/>
      <w:b/>
      <w:bCs/>
      <w:color w:val="4F81BD"/>
      <w:sz w:val="26"/>
      <w:szCs w:val="26"/>
    </w:rPr>
  </w:style>
  <w:style w:type="paragraph" w:styleId="Heading3">
    <w:name w:val="Heading 3"/>
    <w:next w:val="Body"/>
    <w:qFormat/>
    <w:pPr>
      <w:keepNext w:val="true"/>
      <w:widowControl/>
      <w:numPr>
        <w:ilvl w:val="2"/>
        <w:numId w:val="1"/>
      </w:numPr>
      <w:pBdr/>
      <w:suppressAutoHyphens w:val="true"/>
      <w:bidi w:val="0"/>
      <w:spacing w:lineRule="auto" w:line="240" w:before="0" w:after="0"/>
      <w:jc w:val="left"/>
      <w:outlineLvl w:val="2"/>
    </w:pPr>
    <w:rPr>
      <w:rFonts w:ascii="Arial" w:hAnsi="Arial" w:eastAsia="Arial" w:cs="Arial"/>
      <w:b/>
      <w:bCs/>
      <w:color w:val="FFFFFF"/>
      <w:kern w:val="0"/>
      <w:sz w:val="24"/>
      <w:szCs w:val="24"/>
      <w:u w:val="none" w:color="FFFFFF"/>
      <w:lang w:val="en-US"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Arial" w:hAnsi="Arial" w:eastAsia="Times New Roman" w:cs="Arial"/>
      <w:sz w:val="22"/>
      <w:szCs w:val="22"/>
      <w:lang w:eastAsia="en-GB"/>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3Char">
    <w:name w:val="Heading 3 Char"/>
    <w:basedOn w:val="DefaultParagraphFont"/>
    <w:qFormat/>
    <w:rPr>
      <w:rFonts w:ascii="Arial" w:hAnsi="Arial" w:eastAsia="Arial" w:cs="Arial"/>
      <w:b/>
      <w:bCs/>
      <w:color w:val="FFFFFF"/>
      <w:sz w:val="24"/>
      <w:szCs w:val="24"/>
      <w:u w:val="none" w:color="FFFFFF"/>
      <w:lang w:val="en-US"/>
    </w:rPr>
  </w:style>
  <w:style w:type="character" w:styleId="HeaderChar">
    <w:name w:val="Header Char"/>
    <w:basedOn w:val="DefaultParagraphFont"/>
    <w:qFormat/>
    <w:rPr>
      <w:rFonts w:ascii="Arial" w:hAnsi="Arial" w:eastAsia="Arial" w:cs="Arial"/>
      <w:color w:val="000000"/>
      <w:u w:val="none" w:color="000000"/>
      <w:lang w:val="en-US"/>
    </w:rPr>
  </w:style>
  <w:style w:type="character" w:styleId="FooterChar">
    <w:name w:val="Footer Char"/>
    <w:basedOn w:val="DefaultParagraphFont"/>
    <w:qFormat/>
    <w:rPr>
      <w:rFonts w:ascii="Arial" w:hAnsi="Arial" w:eastAsia="Arial" w:cs="Arial"/>
      <w:color w:val="000000"/>
      <w:u w:val="none" w:color="000000"/>
      <w:lang w:val="en-US"/>
    </w:rPr>
  </w:style>
  <w:style w:type="character" w:styleId="Heading1Char">
    <w:name w:val="Heading 1 Char"/>
    <w:basedOn w:val="DefaultParagraphFont"/>
    <w:qFormat/>
    <w:rPr>
      <w:rFonts w:ascii="Cambria" w:hAnsi="Cambria" w:eastAsia="" w:cs=""/>
      <w:b/>
      <w:bCs/>
      <w:color w:val="365F91"/>
      <w:sz w:val="28"/>
      <w:szCs w:val="28"/>
      <w:lang w:val="en-US"/>
    </w:rPr>
  </w:style>
  <w:style w:type="character" w:styleId="Heading2Char">
    <w:name w:val="Heading 2 Char"/>
    <w:basedOn w:val="DefaultParagraphFont"/>
    <w:qFormat/>
    <w:rPr>
      <w:rFonts w:ascii="Cambria" w:hAnsi="Cambria" w:eastAsia="" w:cs=""/>
      <w:b/>
      <w:bCs/>
      <w:color w:val="4F81BD"/>
      <w:sz w:val="26"/>
      <w:szCs w:val="26"/>
      <w:lang w:val="en-US"/>
    </w:rPr>
  </w:style>
  <w:style w:type="character" w:styleId="BalloonTextChar">
    <w:name w:val="Balloon Text Char"/>
    <w:basedOn w:val="DefaultParagraphFont"/>
    <w:qFormat/>
    <w:rPr>
      <w:rFonts w:ascii="Tahoma" w:hAnsi="Tahoma" w:eastAsia="Arial Unicode MS" w:cs="Tahoma"/>
      <w:sz w:val="16"/>
      <w:szCs w:val="16"/>
      <w:lang w:val="en-US"/>
    </w:rPr>
  </w:style>
  <w:style w:type="character" w:styleId="PlainTextChar">
    <w:name w:val="Plain Text Char"/>
    <w:basedOn w:val="DefaultParagraphFont"/>
    <w:qFormat/>
    <w:rPr>
      <w:rFonts w:ascii="Courier New" w:hAnsi="Courier New" w:eastAsia="Times New Roman" w:cs="Times New Roman"/>
      <w:sz w:val="20"/>
      <w:szCs w:val="20"/>
    </w:rPr>
  </w:style>
  <w:style w:type="character" w:styleId="BodyTextChar">
    <w:name w:val="Body Text Char"/>
    <w:basedOn w:val="DefaultParagraphFont"/>
    <w:qFormat/>
    <w:rPr>
      <w:rFonts w:ascii="Arial" w:hAnsi="Arial" w:eastAsia="Times New Roman" w:cs="Times New Roman"/>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Arial Unicode MS" w:cs="Times New Roman"/>
      <w:sz w:val="20"/>
      <w:szCs w:val="20"/>
      <w:lang w:val="en-US"/>
    </w:rPr>
  </w:style>
  <w:style w:type="character" w:styleId="CommentSubjectChar">
    <w:name w:val="Comment Subject Char"/>
    <w:basedOn w:val="CommentTextChar"/>
    <w:qFormat/>
    <w:rPr>
      <w:rFonts w:ascii="Times New Roman" w:hAnsi="Times New Roman" w:eastAsia="Arial Unicode MS" w:cs="Times New Roman"/>
      <w:b/>
      <w:bCs/>
      <w:sz w:val="20"/>
      <w:szCs w:val="20"/>
      <w:lang w:val="en-US"/>
    </w:rPr>
  </w:style>
  <w:style w:type="character" w:styleId="BodyTextIndent3Char">
    <w:name w:val="Body Text Indent 3 Char"/>
    <w:basedOn w:val="DefaultParagraphFont"/>
    <w:qFormat/>
    <w:rPr>
      <w:rFonts w:ascii="Times New Roman" w:hAnsi="Times New Roman" w:eastAsia="Arial Unicode MS" w:cs="Times New Roman"/>
      <w:sz w:val="16"/>
      <w:szCs w:val="16"/>
      <w:lang w:val="en-US"/>
    </w:rPr>
  </w:style>
  <w:style w:type="character" w:styleId="ListParagraphChar">
    <w:name w:val="List Paragraph Char"/>
    <w:qFormat/>
    <w:rPr>
      <w:rFonts w:ascii="Arial" w:hAnsi="Arial" w:eastAsia="Arial" w:cs="Arial"/>
      <w:color w:val="000000"/>
      <w:u w:val="none" w:color="000000"/>
      <w:lang w:val="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pBdr/>
      <w:snapToGrid w:val="false"/>
    </w:pPr>
    <w:rPr>
      <w:rFonts w:ascii="Arial" w:hAnsi="Arial" w:eastAsia="Times New Roman" w:cs="Arial"/>
      <w:szCs w:val="20"/>
      <w:lang w:val="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Footer">
    <w:name w:val="Foot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Body">
    <w:name w:val="Body"/>
    <w:qFormat/>
    <w:pPr>
      <w:widowControl/>
      <w:pBdr/>
      <w:suppressAutoHyphens w:val="true"/>
      <w:bidi w:val="0"/>
      <w:spacing w:lineRule="auto" w:line="240" w:before="0" w:after="0"/>
      <w:jc w:val="left"/>
    </w:pPr>
    <w:rPr>
      <w:rFonts w:ascii="Arial" w:hAnsi="Arial" w:eastAsia="Arial" w:cs="Arial"/>
      <w:color w:val="000000"/>
      <w:kern w:val="0"/>
      <w:sz w:val="24"/>
      <w:szCs w:val="22"/>
      <w:u w:val="none" w:color="000000"/>
      <w:lang w:val="en-GB" w:eastAsia="en-US" w:bidi="ar-SA"/>
    </w:rPr>
  </w:style>
  <w:style w:type="paragraph" w:styleId="ListParagraph">
    <w:name w:val="List Paragraph"/>
    <w:qFormat/>
    <w:pPr>
      <w:widowControl/>
      <w:pBdr/>
      <w:suppressAutoHyphens w:val="true"/>
      <w:bidi w:val="0"/>
      <w:spacing w:lineRule="auto" w:line="240" w:before="0" w:after="0"/>
      <w:ind w:left="720" w:right="0" w:hanging="0"/>
      <w:jc w:val="left"/>
    </w:pPr>
    <w:rPr>
      <w:rFonts w:ascii="Arial" w:hAnsi="Arial" w:eastAsia="Arial" w:cs="Arial"/>
      <w:color w:val="000000"/>
      <w:kern w:val="0"/>
      <w:sz w:val="24"/>
      <w:szCs w:val="22"/>
      <w:u w:val="none" w:color="000000"/>
      <w:lang w:val="en-US" w:eastAsia="en-US" w:bidi="ar-SA"/>
    </w:rPr>
  </w:style>
  <w:style w:type="paragraph" w:styleId="BalloonText">
    <w:name w:val="Balloon Text"/>
    <w:basedOn w:val="Normal"/>
    <w:qFormat/>
    <w:pPr/>
    <w:rPr>
      <w:rFonts w:ascii="Tahoma" w:hAnsi="Tahoma" w:cs="Tahoma"/>
      <w:sz w:val="16"/>
      <w:szCs w:val="16"/>
    </w:rPr>
  </w:style>
  <w:style w:type="paragraph" w:styleId="Default">
    <w:name w:val="Default"/>
    <w:qFormat/>
    <w:pPr>
      <w:widowControl/>
      <w:suppressAutoHyphens w:val="true"/>
      <w:bidi w:val="0"/>
      <w:spacing w:lineRule="auto" w:line="240" w:before="0" w:after="0"/>
      <w:jc w:val="left"/>
    </w:pPr>
    <w:rPr>
      <w:rFonts w:ascii="Verdana" w:hAnsi="Verdana" w:eastAsia="Times New Roman" w:cs="Verdana"/>
      <w:color w:val="000000"/>
      <w:kern w:val="0"/>
      <w:sz w:val="24"/>
      <w:szCs w:val="24"/>
      <w:lang w:val="en-GB" w:eastAsia="en-GB" w:bidi="ar-SA"/>
    </w:rPr>
  </w:style>
  <w:style w:type="paragraph" w:styleId="PlainText">
    <w:name w:val="Plain Text"/>
    <w:basedOn w:val="Normal"/>
    <w:qFormat/>
    <w:pPr>
      <w:pBdr/>
    </w:pPr>
    <w:rPr>
      <w:rFonts w:ascii="Courier New" w:hAnsi="Courier New" w:eastAsia="Times New Roman" w:cs="Courier New"/>
      <w:sz w:val="20"/>
      <w:szCs w:val="20"/>
      <w:lang w:val="en-GB"/>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odyTextIndent3">
    <w:name w:val="Body Text Indent 3"/>
    <w:basedOn w:val="Normal"/>
    <w:qFormat/>
    <w:pPr>
      <w:spacing w:before="0" w:after="120"/>
      <w:ind w:left="283" w:right="0" w:hanging="0"/>
    </w:pPr>
    <w:rPr>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19</TotalTime>
  <Application>LibreOffice/6.3.4.2$Windows_X86_64 LibreOffice_project/60da17e045e08f1793c57c00ba83cdfce946d0aa</Application>
  <Company>Economic Solutions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2021-03-31T15:03:00Z</dcterms:created>
  <dc:creator>Caddy-Dale, Anna (Manchester Growth Company)</dc:creator>
  <dc:description/>
  <dc:language>en-US</dc:language>
  <cp:lastModifiedBy>Pickles Sam</cp:lastModifiedBy>
  <cp:lastPrinted>1995-11-21T17:41:00Z</cp:lastPrinted>
  <dcterms:modified xsi:type="dcterms:W3CDTF">2024-02-12T10:42:00Z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Economic Solutions</vt:lpwstr>
  </property>
  <property fmtid="{D5CDD505-2E9C-101B-9397-08002B2CF9AE}" pid="4" name="ContentTypeId">
    <vt:lpwstr>0x010100F6E6D412EB0D8246B342A91F5378EFE9</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