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r>
    </w:p>
    <w:p>
      <w:pPr>
        <w:pStyle w:val="ListParagraph"/>
        <w:widowControl/>
        <w:numPr>
          <w:ilvl w:val="0"/>
          <w:numId w:val="2"/>
        </w:numPr>
        <w:rPr/>
      </w:pPr>
      <w:r>
        <w:rPr>
          <w:b/>
          <w:bCs/>
        </w:rPr>
        <w:t>Job title</w:t>
      </w:r>
      <w:r>
        <w:rPr/>
        <w:t xml:space="preserve">: </w:t>
      </w:r>
      <w:r>
        <w:rPr>
          <w:b/>
          <w:bCs/>
        </w:rPr>
        <w:t>Strategic Investment Performance Manager</w:t>
      </w:r>
    </w:p>
    <w:p>
      <w:pPr>
        <w:pStyle w:val="ListParagraph"/>
        <w:widowControl/>
        <w:numPr>
          <w:ilvl w:val="0"/>
          <w:numId w:val="2"/>
        </w:numPr>
        <w:rPr/>
      </w:pPr>
      <w:r>
        <w:rPr>
          <w:b/>
          <w:bCs/>
        </w:rPr>
        <w:t>Grade:</w:t>
      </w:r>
      <w:r>
        <w:rPr/>
        <w:t xml:space="preserve"> up to SM7 </w:t>
      </w:r>
    </w:p>
    <w:p>
      <w:pPr>
        <w:pStyle w:val="ListParagraph"/>
        <w:widowControl/>
        <w:numPr>
          <w:ilvl w:val="0"/>
          <w:numId w:val="2"/>
        </w:numPr>
        <w:rPr/>
      </w:pPr>
      <w:r>
        <w:rPr>
          <w:b/>
          <w:bCs/>
        </w:rPr>
        <w:t>Business area:</w:t>
      </w:r>
      <w:r>
        <w:rPr/>
        <w:t xml:space="preserve"> Investment</w:t>
      </w:r>
    </w:p>
    <w:p>
      <w:pPr>
        <w:pStyle w:val="ListParagraph"/>
        <w:widowControl/>
        <w:numPr>
          <w:ilvl w:val="0"/>
          <w:numId w:val="2"/>
        </w:numPr>
        <w:rPr/>
      </w:pPr>
      <w:r>
        <w:rPr>
          <w:b/>
          <w:bCs/>
        </w:rPr>
        <w:t>Reporting line:</w:t>
      </w:r>
      <w:r>
        <w:rPr/>
        <w:t xml:space="preserve"> Deputy Director Good Growth Fund </w:t>
      </w:r>
    </w:p>
    <w:p>
      <w:pPr>
        <w:pStyle w:val="ListParagraph"/>
        <w:widowControl/>
        <w:numPr>
          <w:ilvl w:val="0"/>
          <w:numId w:val="2"/>
        </w:numPr>
        <w:rPr/>
      </w:pPr>
      <w:r>
        <w:rPr>
          <w:b/>
          <w:bCs/>
        </w:rPr>
        <w:t>Team:</w:t>
      </w:r>
      <w:r>
        <w:rPr/>
        <w:t xml:space="preserve"> Investment Team</w:t>
      </w:r>
    </w:p>
    <w:p>
      <w:pPr>
        <w:pStyle w:val="Heading2"/>
        <w:ind w:hanging="0" w:left="0"/>
        <w:rPr>
          <w:rFonts w:cs="Arial"/>
          <w:sz w:val="24"/>
          <w:szCs w:val="24"/>
        </w:rPr>
      </w:pPr>
      <w:r>
        <w:rPr>
          <w:rFonts w:cs="Arial"/>
          <w:sz w:val="24"/>
          <w:szCs w:val="24"/>
        </w:rPr>
        <w:t>Job Purpose</w:t>
      </w:r>
    </w:p>
    <w:p>
      <w:pPr>
        <w:pStyle w:val="Normal"/>
        <w:spacing w:lineRule="auto" w:line="276" w:before="0" w:after="0"/>
        <w:jc w:val="both"/>
        <w:rPr>
          <w:color w:val="000000"/>
        </w:rPr>
      </w:pPr>
      <w:r>
        <w:rPr>
          <w:color w:val="000000"/>
        </w:rPr>
        <w:t>The Strategic Investment Performance Manager will lead the establishment and implementation of a new organisation-wide monitoring function, creating a single, trusted view of investment activity, outputs, outcomes and impact across Greater Manchester’s investment portfolio, including the £2bn Good Growth Fund.</w:t>
      </w:r>
    </w:p>
    <w:p>
      <w:pPr>
        <w:pStyle w:val="Normal"/>
        <w:widowControl/>
        <w:spacing w:lineRule="auto" w:line="276" w:before="0" w:after="0"/>
        <w:jc w:val="both"/>
        <w:rPr>
          <w:rFonts w:eastAsia="Calibri" w:cs="Arial"/>
          <w:color w:val="000000"/>
          <w:szCs w:val="24"/>
        </w:rPr>
      </w:pPr>
      <w:r>
        <w:rPr>
          <w:rFonts w:eastAsia="Calibri" w:cs="Arial"/>
          <w:color w:val="000000"/>
          <w:szCs w:val="24"/>
        </w:rPr>
      </w:r>
    </w:p>
    <w:p>
      <w:pPr>
        <w:pStyle w:val="Normal"/>
        <w:spacing w:lineRule="auto" w:line="276" w:before="0" w:after="0"/>
        <w:jc w:val="both"/>
        <w:rPr>
          <w:color w:val="000000"/>
        </w:rPr>
      </w:pPr>
      <w:r>
        <w:rPr>
          <w:color w:val="000000"/>
        </w:rPr>
        <w:t>The role will be responsible for designing and embedding a consistent monitoring framework, establishing robust data collection and reporting processes, and developing a sustainable approach to performance management that enables effective decision-making, accountability and impact reporting.</w:t>
      </w:r>
    </w:p>
    <w:p>
      <w:pPr>
        <w:pStyle w:val="Default"/>
        <w:spacing w:lineRule="auto" w:line="276"/>
        <w:jc w:val="both"/>
        <w:rPr>
          <w:rFonts w:eastAsia="Calibri"/>
        </w:rPr>
      </w:pPr>
      <w:r>
        <w:rPr>
          <w:rFonts w:eastAsia="Calibri"/>
        </w:rPr>
      </w:r>
    </w:p>
    <w:p>
      <w:pPr>
        <w:pStyle w:val="Default"/>
        <w:spacing w:lineRule="auto" w:line="276"/>
        <w:jc w:val="both"/>
        <w:rPr/>
      </w:pPr>
      <w:r>
        <w:rPr/>
        <w:t>Working across GMCA, local authorities, delivery partners and funding recipients, the postholder will ensure monitoring arrangements are clear, proportionate and user-focused, generating high quality evidence that demonstrates the value and impact of all investment and delivery activity. The role will combine programme leadership, stakeholder management, performance reporting, data governance and continuous improvement to create a monitoring function that is clear, consistent, accessible and capable of supporting strategic investment decisions.</w:t>
      </w:r>
    </w:p>
    <w:p>
      <w:pPr>
        <w:pStyle w:val="Heading2"/>
        <w:ind w:hanging="0" w:left="0"/>
        <w:rPr>
          <w:rFonts w:cs="Arial"/>
          <w:sz w:val="24"/>
          <w:szCs w:val="24"/>
        </w:rPr>
      </w:pPr>
      <w:r>
        <w:rPr>
          <w:rFonts w:cs="Arial"/>
          <w:sz w:val="24"/>
          <w:szCs w:val="24"/>
        </w:rPr>
        <w:t>Key working relationships</w:t>
      </w:r>
    </w:p>
    <w:p>
      <w:pPr>
        <w:sectPr>
          <w:headerReference w:type="default" r:id="rId2"/>
          <w:footerReference w:type="default" r:id="rId3"/>
          <w:type w:val="nextPage"/>
          <w:pgSz w:w="11906" w:h="16838"/>
          <w:pgMar w:left="1276" w:right="1410" w:gutter="0" w:header="709" w:top="766" w:footer="0" w:bottom="1418"/>
          <w:pgNumType w:fmt="decimal"/>
          <w:formProt w:val="false"/>
          <w:textDirection w:val="lrTb"/>
          <w:docGrid w:type="default" w:linePitch="326" w:charSpace="0"/>
        </w:sectPr>
        <w:pStyle w:val="ListParagraph"/>
        <w:widowControl/>
        <w:numPr>
          <w:ilvl w:val="0"/>
          <w:numId w:val="3"/>
        </w:numPr>
        <w:jc w:val="both"/>
        <w:rPr/>
      </w:pPr>
      <w:r>
        <w:rPr>
          <w:color w:val="auto"/>
        </w:rPr>
        <w:t>The role holder will work closely with senior leaders, internal teams, local authority partners, delivery organisations and funding recipients to establish consistent, proportionate and user-focused monitoring arrangements.</w:t>
      </w:r>
    </w:p>
    <w:p>
      <w:pPr>
        <w:pStyle w:val="Heading2"/>
        <w:shd w:fill="004F6E" w:val="clear"/>
        <w:ind w:hanging="0" w:left="0"/>
        <w:rPr>
          <w:rFonts w:cs="Arial"/>
          <w:sz w:val="24"/>
          <w:szCs w:val="24"/>
        </w:rPr>
      </w:pPr>
      <w:r>
        <w:rPr>
          <w:rFonts w:cs="Arial"/>
          <w:sz w:val="24"/>
          <w:szCs w:val="24"/>
        </w:rPr>
        <w:t>Key Responsibilities</w:t>
      </w:r>
    </w:p>
    <w:p>
      <w:pPr>
        <w:pStyle w:val="Normal"/>
        <w:widowControl/>
        <w:spacing w:lineRule="auto" w:line="240" w:before="0" w:after="0"/>
        <w:rPr>
          <w:rFonts w:ascii="Calibri" w:hAnsi="Calibri" w:eastAsia="Calibri" w:cs="Calibri"/>
          <w:color w:val="000000"/>
          <w:szCs w:val="24"/>
        </w:rPr>
      </w:pPr>
      <w:r>
        <w:rPr>
          <w:rFonts w:eastAsia="Calibri" w:cs="Calibri" w:ascii="Calibri" w:hAnsi="Calibri"/>
          <w:color w:val="000000"/>
          <w:szCs w:val="24"/>
        </w:rPr>
      </w:r>
    </w:p>
    <w:p>
      <w:pPr>
        <w:pStyle w:val="ListParagraph"/>
        <w:numPr>
          <w:ilvl w:val="0"/>
          <w:numId w:val="5"/>
        </w:numPr>
        <w:jc w:val="both"/>
        <w:rPr/>
      </w:pPr>
      <w:r>
        <w:rPr>
          <w:color w:val="auto"/>
        </w:rPr>
        <w:t>Lead the design, mobilisation and implementation of a new monitoring and performance function across the investment portfolio, including Greater Manchester’s £2bn Good Growth Fund, and establish the operating model, processes, systems and governance arrangements required for delivery.</w:t>
      </w:r>
    </w:p>
    <w:p>
      <w:pPr>
        <w:pStyle w:val="ListParagraph"/>
        <w:widowControl/>
        <w:numPr>
          <w:ilvl w:val="0"/>
          <w:numId w:val="5"/>
        </w:numPr>
        <w:jc w:val="both"/>
        <w:rPr/>
      </w:pPr>
      <w:r>
        <w:rPr>
          <w:color w:val="auto"/>
        </w:rPr>
        <w:t>Develop and embed a comprehensive monitoring framework covering investment activity, revenue generated through delivery activity, Integrated Settlement outputs, Combined Authority outputs, growth, net zero, social value and wider strategic outcomes.</w:t>
      </w:r>
    </w:p>
    <w:p>
      <w:pPr>
        <w:pStyle w:val="ListParagraph"/>
        <w:widowControl/>
        <w:numPr>
          <w:ilvl w:val="0"/>
          <w:numId w:val="5"/>
        </w:numPr>
        <w:jc w:val="both"/>
        <w:rPr/>
      </w:pPr>
      <w:r>
        <w:rPr>
          <w:color w:val="auto"/>
        </w:rPr>
        <w:t>Establish clear definitions, methodologies and performance measures to ensure a consistent approach to monitoring outputs, outcomes, impacts and benefits across programmes and funding streams.</w:t>
      </w:r>
    </w:p>
    <w:p>
      <w:pPr>
        <w:pStyle w:val="ListParagraph"/>
        <w:widowControl/>
        <w:numPr>
          <w:ilvl w:val="0"/>
          <w:numId w:val="5"/>
        </w:numPr>
        <w:jc w:val="both"/>
        <w:rPr/>
      </w:pPr>
      <w:r>
        <w:rPr>
          <w:color w:val="auto"/>
        </w:rPr>
        <w:t>Lead the development of accessible and efficient data collection processes, including digital reporting tools and automated mechanisms where appropriate, working with digital and technology teams to procure, configure or develop solutions.</w:t>
      </w:r>
    </w:p>
    <w:p>
      <w:pPr>
        <w:pStyle w:val="ListParagraph"/>
        <w:widowControl/>
        <w:numPr>
          <w:ilvl w:val="0"/>
          <w:numId w:val="5"/>
        </w:numPr>
        <w:jc w:val="both"/>
        <w:rPr/>
      </w:pPr>
      <w:r>
        <w:rPr>
          <w:color w:val="auto"/>
        </w:rPr>
        <w:t>Improve data quality, consistency, accessibility, governance, security and audit compliance across all programmes.</w:t>
      </w:r>
    </w:p>
    <w:p>
      <w:pPr>
        <w:pStyle w:val="ListParagraph"/>
        <w:widowControl/>
        <w:numPr>
          <w:ilvl w:val="0"/>
          <w:numId w:val="5"/>
        </w:numPr>
        <w:jc w:val="both"/>
        <w:rPr/>
      </w:pPr>
      <w:r>
        <w:rPr>
          <w:color w:val="auto"/>
        </w:rPr>
        <w:t>Develop a reporting framework and regular monthly reporting cycle that provides clear, meaningful insight for senior leaders, boards, committees and other audiences.</w:t>
      </w:r>
    </w:p>
    <w:p>
      <w:pPr>
        <w:pStyle w:val="ListParagraph"/>
        <w:widowControl/>
        <w:numPr>
          <w:ilvl w:val="0"/>
          <w:numId w:val="5"/>
        </w:numPr>
        <w:jc w:val="both"/>
        <w:rPr/>
      </w:pPr>
      <w:r>
        <w:rPr>
          <w:color w:val="auto"/>
        </w:rPr>
        <w:t>Produce strategic reports, dashboards and performance packs that move beyond data reporting to explain performance, impact, risks, opportunities and emerging trends.</w:t>
      </w:r>
    </w:p>
    <w:p>
      <w:pPr>
        <w:pStyle w:val="ListParagraph"/>
        <w:widowControl/>
        <w:numPr>
          <w:ilvl w:val="0"/>
          <w:numId w:val="5"/>
        </w:numPr>
        <w:jc w:val="both"/>
        <w:rPr/>
      </w:pPr>
      <w:r>
        <w:rPr>
          <w:color w:val="auto"/>
        </w:rPr>
        <w:t>Build and maintain effective relationships with stakeholders to ensure monitoring requirements are understood, consistently applied and capable of supporting strategic investment decisions.</w:t>
      </w:r>
    </w:p>
    <w:p>
      <w:pPr>
        <w:pStyle w:val="ListParagraph"/>
        <w:widowControl/>
        <w:numPr>
          <w:ilvl w:val="0"/>
          <w:numId w:val="5"/>
        </w:numPr>
        <w:jc w:val="both"/>
        <w:rPr/>
      </w:pPr>
      <w:r>
        <w:rPr>
          <w:color w:val="auto"/>
        </w:rPr>
        <w:t>Establish governance, quality assurance and compliance procedures for monitoring and reporting activities, recommending action where improvement is required.</w:t>
      </w:r>
    </w:p>
    <w:p>
      <w:pPr>
        <w:sectPr>
          <w:headerReference w:type="default" r:id="rId4"/>
          <w:headerReference w:type="first" r:id="rId5"/>
          <w:footerReference w:type="default" r:id="rId6"/>
          <w:footerReference w:type="first" r:id="rId7"/>
          <w:type w:val="nextPage"/>
          <w:pgSz w:w="11906" w:h="16838"/>
          <w:pgMar w:left="720" w:right="720" w:gutter="0" w:header="709" w:top="766" w:footer="0" w:bottom="720"/>
          <w:pgNumType w:fmt="decimal"/>
          <w:formProt w:val="false"/>
          <w:titlePg/>
          <w:textDirection w:val="lrTb"/>
          <w:docGrid w:type="default" w:linePitch="326" w:charSpace="0"/>
        </w:sectPr>
        <w:pStyle w:val="ListParagraph"/>
        <w:widowControl/>
        <w:numPr>
          <w:ilvl w:val="0"/>
          <w:numId w:val="5"/>
        </w:numPr>
        <w:jc w:val="both"/>
        <w:rPr/>
      </w:pPr>
      <w:r>
        <w:rPr>
          <w:color w:val="auto"/>
        </w:rPr>
        <w:t>Promote a culture of evidence-based decision making, continuous improvement and streamlined reporting that reduces administrative burden on delivery partners.</w:t>
      </w:r>
    </w:p>
    <w:p>
      <w:pPr>
        <w:pStyle w:val="Normal"/>
        <w:widowControl/>
        <w:spacing w:lineRule="auto" w:line="276" w:before="0" w:after="0"/>
        <w:jc w:val="both"/>
        <w:rPr>
          <w:rFonts w:eastAsia="Calibri" w:cs="Arial"/>
          <w:color w:val="auto"/>
          <w:szCs w:val="24"/>
        </w:rPr>
      </w:pPr>
      <w:r>
        <w:rPr>
          <w:rFonts w:eastAsia="Calibri" w:cs="Arial"/>
          <w:color w:val="auto"/>
          <w:szCs w:val="24"/>
        </w:rPr>
      </w:r>
    </w:p>
    <w:p>
      <w:pPr>
        <w:pStyle w:val="Normal"/>
        <w:widowControl/>
        <w:spacing w:lineRule="auto" w:line="276" w:before="0" w:after="0"/>
        <w:jc w:val="both"/>
        <w:rPr>
          <w:rFonts w:eastAsia="Calibri" w:cs="Arial"/>
          <w:color w:val="auto"/>
          <w:szCs w:val="24"/>
        </w:rPr>
      </w:pPr>
      <w:r>
        <w:rPr>
          <w:rFonts w:eastAsia="Calibri" w:cs="Arial"/>
          <w:color w:val="auto"/>
          <w:szCs w:val="24"/>
        </w:rPr>
      </w:r>
    </w:p>
    <w:p>
      <w:pPr>
        <w:pStyle w:val="Normal"/>
        <w:widowControl/>
        <w:spacing w:lineRule="auto" w:line="276" w:before="0" w:after="0"/>
        <w:jc w:val="both"/>
        <w:rPr>
          <w:rFonts w:eastAsia="Calibri" w:cs="Arial"/>
          <w:color w:val="auto"/>
          <w:szCs w:val="24"/>
        </w:rPr>
      </w:pPr>
      <w:r>
        <w:rPr>
          <w:rFonts w:eastAsia="Calibri" w:cs="Arial"/>
          <w:color w:val="auto"/>
          <w:szCs w:val="24"/>
        </w:rPr>
      </w:r>
    </w:p>
    <w:p>
      <w:pPr>
        <w:pStyle w:val="Normal"/>
        <w:widowControl/>
        <w:spacing w:lineRule="auto" w:line="276" w:before="0" w:after="0"/>
        <w:jc w:val="both"/>
        <w:rPr>
          <w:rFonts w:eastAsia="Calibri" w:cs="Arial"/>
          <w:color w:val="auto"/>
          <w:szCs w:val="24"/>
        </w:rPr>
      </w:pPr>
      <w:r>
        <w:rPr>
          <w:rFonts w:eastAsia="Calibri" w:cs="Arial"/>
          <w:color w:val="auto"/>
          <w:szCs w:val="24"/>
        </w:rPr>
      </w:r>
    </w:p>
    <w:p>
      <w:pPr>
        <w:pStyle w:val="Heading2"/>
        <w:ind w:hanging="0" w:left="0"/>
        <w:rPr>
          <w:rFonts w:cs="Arial"/>
          <w:sz w:val="24"/>
          <w:szCs w:val="24"/>
        </w:rPr>
      </w:pPr>
      <w:r>
        <w:rPr>
          <w:rFonts w:cs="Arial"/>
          <w:sz w:val="24"/>
          <w:szCs w:val="24"/>
        </w:rPr>
        <w:t>General</w:t>
      </w:r>
    </w:p>
    <w:p>
      <w:pPr>
        <w:pStyle w:val="ListParagraph"/>
        <w:widowControl/>
        <w:numPr>
          <w:ilvl w:val="0"/>
          <w:numId w:val="5"/>
        </w:numPr>
        <w:spacing w:lineRule="auto" w:line="276" w:before="60" w:after="0"/>
        <w:jc w:val="both"/>
        <w:rPr/>
      </w:pPr>
      <w:r>
        <w:rPr>
          <w:rFonts w:eastAsia="Calibri" w:cs="Arial"/>
          <w:color w:val="auto"/>
          <w:szCs w:val="24"/>
        </w:rPr>
        <w:t xml:space="preserve">Communication: Is able to effectively transfer key and complex information to all levels of staff, adapting the style of communication as necessary and ensuring that this information is understood. </w:t>
      </w:r>
    </w:p>
    <w:p>
      <w:pPr>
        <w:pStyle w:val="ListParagraph"/>
        <w:widowControl/>
        <w:numPr>
          <w:ilvl w:val="0"/>
          <w:numId w:val="5"/>
        </w:numPr>
        <w:spacing w:lineRule="auto" w:line="276" w:before="60" w:after="0"/>
        <w:jc w:val="both"/>
        <w:rPr/>
      </w:pPr>
      <w:r>
        <w:rPr>
          <w:rFonts w:eastAsia="Calibri" w:cs="Arial"/>
          <w:color w:val="auto"/>
          <w:szCs w:val="24"/>
        </w:rPr>
        <w:t xml:space="preserve">Analytical: Application of strong analytical reasoning skills and intellectual focus, taking in the wider external and internal environments. Proactively think through problems rather than reactively following a procedure-driven approach. </w:t>
      </w:r>
    </w:p>
    <w:p>
      <w:pPr>
        <w:pStyle w:val="ListParagraph"/>
        <w:widowControl/>
        <w:numPr>
          <w:ilvl w:val="0"/>
          <w:numId w:val="5"/>
        </w:numPr>
        <w:spacing w:lineRule="auto" w:line="276" w:before="60" w:after="0"/>
        <w:jc w:val="both"/>
        <w:rPr/>
      </w:pPr>
      <w:r>
        <w:rPr>
          <w:rFonts w:eastAsia="Calibri" w:cs="Arial"/>
          <w:color w:val="auto"/>
          <w:szCs w:val="24"/>
        </w:rPr>
        <w:t xml:space="preserve">Commercial: Demonstrates sound business intelligence and ability to identify commercially viable opportunities and secure value for money in service delivery. </w:t>
      </w:r>
    </w:p>
    <w:p>
      <w:pPr>
        <w:pStyle w:val="ListParagraph"/>
        <w:widowControl/>
        <w:numPr>
          <w:ilvl w:val="0"/>
          <w:numId w:val="5"/>
        </w:numPr>
        <w:spacing w:lineRule="auto" w:line="276" w:before="60" w:after="0"/>
        <w:jc w:val="both"/>
        <w:rPr/>
      </w:pPr>
      <w:r>
        <w:rPr>
          <w:rFonts w:eastAsia="Calibri" w:cs="Arial"/>
          <w:color w:val="auto"/>
          <w:szCs w:val="24"/>
        </w:rPr>
        <w:t>Problem Solving and Decision Making: Ability to react to immediate problems of a highly complex nature with associated risk factors and deliver pragmatic solutions sometimes under extreme pressure.</w:t>
      </w:r>
    </w:p>
    <w:p>
      <w:pPr>
        <w:pStyle w:val="ListParagraph"/>
        <w:widowControl/>
        <w:numPr>
          <w:ilvl w:val="0"/>
          <w:numId w:val="5"/>
        </w:numPr>
        <w:spacing w:lineRule="auto" w:line="276" w:before="60" w:after="0"/>
        <w:jc w:val="both"/>
        <w:rPr/>
      </w:pPr>
      <w:r>
        <w:rPr>
          <w:rFonts w:eastAsia="Calibri" w:cs="Arial"/>
          <w:color w:val="auto"/>
          <w:szCs w:val="24"/>
        </w:rPr>
        <w:t>Financial Management: Ability to represent the organisation at a senior level in financial, commercial and general management relationships with other organisations in both public and private sectors.</w:t>
      </w:r>
    </w:p>
    <w:p>
      <w:pPr>
        <w:pStyle w:val="ListParagraph"/>
        <w:widowControl/>
        <w:numPr>
          <w:ilvl w:val="0"/>
          <w:numId w:val="5"/>
        </w:numPr>
        <w:spacing w:lineRule="auto" w:line="276" w:before="60" w:after="0"/>
        <w:jc w:val="both"/>
        <w:rPr/>
      </w:pPr>
      <w:r>
        <w:rPr>
          <w:rFonts w:eastAsia="Calibri" w:cs="Arial"/>
          <w:color w:val="auto"/>
          <w:szCs w:val="24"/>
        </w:rPr>
        <w:t xml:space="preserve">Programme Management: Ability to identify, assess and respond to the key risks to the achievement of strategic and operational objectives. </w:t>
      </w:r>
    </w:p>
    <w:p>
      <w:pPr>
        <w:pStyle w:val="ListParagraph"/>
        <w:widowControl/>
        <w:numPr>
          <w:ilvl w:val="0"/>
          <w:numId w:val="5"/>
        </w:numPr>
        <w:spacing w:lineRule="auto" w:line="276" w:before="60" w:after="0"/>
        <w:jc w:val="both"/>
        <w:rPr/>
      </w:pPr>
      <w:r>
        <w:rPr>
          <w:rFonts w:eastAsia="Calibri" w:cs="Arial"/>
          <w:color w:val="auto"/>
          <w:szCs w:val="24"/>
        </w:rPr>
        <w:t>To always hold yourself and others to a high standard of professionalism at all times, demonstrating your commitment to our values and behaviours as well as ensuring service confidentiality is maintained throughout all we do.</w:t>
      </w:r>
    </w:p>
    <w:p>
      <w:pPr>
        <w:pStyle w:val="ListParagraph"/>
        <w:widowControl/>
        <w:numPr>
          <w:ilvl w:val="0"/>
          <w:numId w:val="5"/>
        </w:numPr>
        <w:spacing w:lineRule="auto" w:line="276" w:before="60" w:after="0"/>
        <w:jc w:val="both"/>
        <w:rPr/>
      </w:pPr>
      <w:r>
        <w:rPr>
          <w:rFonts w:eastAsia="Calibri" w:cs="Arial"/>
          <w:color w:val="auto"/>
          <w:szCs w:val="24"/>
        </w:rPr>
        <w:t>Working with other teams internally and externally collaboration is maximised and supporting on activity where appropriate.</w:t>
      </w:r>
    </w:p>
    <w:p>
      <w:pPr>
        <w:pStyle w:val="ListParagraph"/>
        <w:widowControl/>
        <w:numPr>
          <w:ilvl w:val="0"/>
          <w:numId w:val="5"/>
        </w:numPr>
        <w:spacing w:lineRule="auto" w:line="276" w:before="60" w:after="0"/>
        <w:jc w:val="both"/>
        <w:rPr/>
      </w:pPr>
      <w:r>
        <w:rPr>
          <w:rFonts w:eastAsia="Calibri" w:cs="Arial"/>
          <w:color w:val="auto"/>
          <w:szCs w:val="24"/>
        </w:rPr>
        <w:t xml:space="preserve">Ensure the services delivered internally and externally are inclusive and accessible, integrated with the service. </w:t>
      </w:r>
    </w:p>
    <w:p>
      <w:pPr>
        <w:pStyle w:val="ListParagraph"/>
        <w:widowControl/>
        <w:numPr>
          <w:ilvl w:val="0"/>
          <w:numId w:val="5"/>
        </w:numPr>
        <w:spacing w:lineRule="auto" w:line="276" w:before="60" w:after="0"/>
        <w:jc w:val="both"/>
        <w:rPr/>
      </w:pPr>
      <w:r>
        <w:rPr>
          <w:rFonts w:eastAsia="Calibri" w:cs="Arial"/>
          <w:color w:val="auto"/>
          <w:szCs w:val="24"/>
        </w:rPr>
        <w:t>To align work area to the Sustainability Strategy and ensure work practices are inclusive of this value &amp; strategic intent.</w:t>
      </w:r>
    </w:p>
    <w:p>
      <w:pPr>
        <w:pStyle w:val="ListParagraph"/>
        <w:widowControl/>
        <w:numPr>
          <w:ilvl w:val="0"/>
          <w:numId w:val="5"/>
        </w:numPr>
        <w:spacing w:lineRule="auto" w:line="276" w:before="60" w:after="0"/>
        <w:jc w:val="both"/>
        <w:rPr/>
      </w:pPr>
      <w:r>
        <w:rPr>
          <w:rFonts w:eastAsia="Calibri" w:cs="Arial"/>
          <w:color w:val="auto"/>
          <w:szCs w:val="24"/>
        </w:rPr>
        <w:t>Ensure that resources are commissioned and co-ordinated in a well-planned and controlled manner, ensuring that requirements and resource levels are fully identified.</w:t>
      </w:r>
    </w:p>
    <w:p>
      <w:pPr>
        <w:pStyle w:val="ListParagraph"/>
        <w:widowControl/>
        <w:numPr>
          <w:ilvl w:val="0"/>
          <w:numId w:val="5"/>
        </w:numPr>
        <w:spacing w:lineRule="auto" w:line="276" w:before="60" w:after="0"/>
        <w:jc w:val="both"/>
        <w:rPr/>
      </w:pPr>
      <w:r>
        <w:rPr>
          <w:rFonts w:eastAsia="Calibri" w:cs="Arial"/>
          <w:color w:val="auto"/>
          <w:szCs w:val="24"/>
        </w:rPr>
        <w:t>Ensure effective communication through high quality reports, informal briefings and presentations to GMCA governance bodies, elected Members, MPs and organisations from the public, private and voluntary sectors.</w:t>
      </w:r>
    </w:p>
    <w:p>
      <w:pPr>
        <w:pStyle w:val="ListParagraph"/>
        <w:widowControl/>
        <w:numPr>
          <w:ilvl w:val="0"/>
          <w:numId w:val="5"/>
        </w:numPr>
        <w:spacing w:lineRule="auto" w:line="276" w:before="60" w:after="0"/>
        <w:jc w:val="both"/>
        <w:rPr/>
      </w:pPr>
      <w:r>
        <w:rPr>
          <w:rFonts w:eastAsia="Calibri" w:cs="Arial"/>
          <w:color w:val="auto"/>
          <w:szCs w:val="24"/>
        </w:rPr>
        <w:t>Ensure that GMCA corporate requirements are consistently met, including for business planning, performance management and budget monitoring</w:t>
      </w:r>
      <w:r>
        <w:rPr>
          <w:rFonts w:cs="Arial"/>
        </w:rPr>
        <w:t>.</w:t>
      </w:r>
    </w:p>
    <w:p>
      <w:pPr>
        <w:pStyle w:val="ListParagraph"/>
        <w:widowControl/>
        <w:numPr>
          <w:ilvl w:val="0"/>
          <w:numId w:val="5"/>
        </w:numPr>
        <w:spacing w:lineRule="auto" w:line="276" w:before="60" w:after="0"/>
        <w:jc w:val="both"/>
        <w:rPr/>
      </w:pPr>
      <w:r>
        <w:rPr>
          <w:rFonts w:eastAsia="Calibri" w:cs="Arial"/>
          <w:color w:val="auto"/>
          <w:szCs w:val="24"/>
        </w:rPr>
        <w:t>Be prepared to work positively in a team environment, within a broad matrix management culture.</w:t>
      </w:r>
    </w:p>
    <w:p>
      <w:pPr>
        <w:pStyle w:val="ListParagraph"/>
        <w:widowControl/>
        <w:numPr>
          <w:ilvl w:val="0"/>
          <w:numId w:val="5"/>
        </w:numPr>
        <w:spacing w:lineRule="auto" w:line="276" w:before="60" w:after="0"/>
        <w:jc w:val="both"/>
        <w:rPr/>
      </w:pPr>
      <w:r>
        <w:rPr>
          <w:rFonts w:eastAsia="Calibri" w:cs="Arial"/>
          <w:color w:val="auto"/>
          <w:szCs w:val="24"/>
        </w:rPr>
        <w:t xml:space="preserve">To work collaboratively across teams and undertake work as necessary to fulfil the objectives of GMCA.  </w:t>
      </w:r>
    </w:p>
    <w:p>
      <w:pPr>
        <w:pStyle w:val="Normal"/>
        <w:widowControl/>
        <w:spacing w:lineRule="auto" w:line="240" w:before="0" w:after="0"/>
        <w:ind w:left="720" w:right="0"/>
        <w:rPr>
          <w:rFonts w:cs="Arial"/>
        </w:rPr>
      </w:pPr>
      <w:r>
        <w:rPr>
          <w:rFonts w:cs="Arial"/>
        </w:rPr>
      </w:r>
    </w:p>
    <w:p>
      <w:pPr>
        <w:pStyle w:val="Normal"/>
        <w:rPr>
          <w:rFonts w:cs="Arial"/>
          <w:b/>
          <w:color w:val="auto"/>
        </w:rPr>
      </w:pPr>
      <w:r>
        <w:rPr>
          <w:rFonts w:cs="Arial"/>
          <w:b/>
          <w:color w:val="auto"/>
        </w:rPr>
        <w:t>NB: This list of duties and responsibilities is by no means exhaustive, and the post holder may be required to undertake other relevant and appropriate duties as required.</w:t>
      </w:r>
    </w:p>
    <w:p>
      <w:pPr>
        <w:pStyle w:val="Normal"/>
        <w:rPr>
          <w:rFonts w:cs="Arial"/>
          <w:b/>
          <w:color w:val="auto"/>
        </w:rPr>
      </w:pPr>
      <w:r>
        <w:rPr>
          <w:rFonts w:cs="Arial"/>
          <w:b/>
          <w:color w:val="auto"/>
        </w:rPr>
      </w:r>
    </w:p>
    <w:p>
      <w:pPr>
        <w:pStyle w:val="Normal"/>
        <w:rPr>
          <w:rFonts w:cs="Arial"/>
          <w:b/>
          <w:color w:val="auto"/>
        </w:rPr>
      </w:pPr>
      <w:r>
        <w:rPr>
          <w:rFonts w:cs="Arial"/>
          <w:b/>
          <w:color w:val="auto"/>
        </w:rPr>
      </w:r>
    </w:p>
    <w:p>
      <w:pPr>
        <w:pStyle w:val="Heading2"/>
        <w:ind w:hanging="0" w:left="0"/>
        <w:rPr>
          <w:rFonts w:cs="Arial"/>
          <w:sz w:val="24"/>
          <w:szCs w:val="24"/>
        </w:rPr>
      </w:pPr>
      <w:r>
        <w:rPr>
          <w:rFonts w:cs="Arial"/>
          <w:sz w:val="24"/>
          <w:szCs w:val="24"/>
        </w:rPr>
        <w:t>Knowledge, Skills, and Experience</w:t>
      </w:r>
    </w:p>
    <w:p>
      <w:pPr>
        <w:pStyle w:val="Heading3"/>
        <w:ind w:hanging="0" w:left="0"/>
        <w:rPr>
          <w:rFonts w:cs="Arial"/>
          <w:b/>
          <w:bCs/>
          <w:sz w:val="24"/>
        </w:rPr>
      </w:pPr>
      <w:r>
        <w:rPr>
          <w:rFonts w:cs="Arial"/>
          <w:b/>
          <w:bCs/>
          <w:sz w:val="24"/>
        </w:rPr>
        <w:t>Knowledge &amp; Experience</w:t>
      </w:r>
    </w:p>
    <w:p>
      <w:pPr>
        <w:pStyle w:val="ListParagraph"/>
        <w:widowControl/>
        <w:numPr>
          <w:ilvl w:val="0"/>
          <w:numId w:val="3"/>
        </w:numPr>
        <w:jc w:val="both"/>
        <w:rPr/>
      </w:pPr>
      <w:r>
        <w:rPr>
          <w:color w:val="000000"/>
        </w:rPr>
        <w:t>Significant experience of establishing and managing complex programmes or functions within a public sector, investment, economic development or regeneration environment.</w:t>
      </w:r>
    </w:p>
    <w:p>
      <w:pPr>
        <w:pStyle w:val="ListParagraph"/>
        <w:widowControl/>
        <w:numPr>
          <w:ilvl w:val="0"/>
          <w:numId w:val="3"/>
        </w:numPr>
        <w:jc w:val="both"/>
        <w:rPr/>
      </w:pPr>
      <w:r>
        <w:rPr>
          <w:color w:val="000000"/>
        </w:rPr>
        <w:t>Experience designing and implementing performance management, monitoring or reporting frameworks.</w:t>
      </w:r>
    </w:p>
    <w:p>
      <w:pPr>
        <w:pStyle w:val="ListParagraph"/>
        <w:widowControl/>
        <w:numPr>
          <w:ilvl w:val="0"/>
          <w:numId w:val="3"/>
        </w:numPr>
        <w:jc w:val="both"/>
        <w:rPr/>
      </w:pPr>
      <w:r>
        <w:rPr>
          <w:color w:val="000000"/>
        </w:rPr>
        <w:t>Experience developing governance arrangements, assurance processes and approaches that support audit, compliance and accountability.</w:t>
      </w:r>
    </w:p>
    <w:p>
      <w:pPr>
        <w:pStyle w:val="ListParagraph"/>
        <w:widowControl/>
        <w:numPr>
          <w:ilvl w:val="0"/>
          <w:numId w:val="3"/>
        </w:numPr>
        <w:jc w:val="both"/>
        <w:rPr/>
      </w:pPr>
      <w:r>
        <w:rPr>
          <w:color w:val="000000"/>
        </w:rPr>
        <w:t>Experience managing complex stakeholder relationships across multiple organisations and levels of seniority.</w:t>
      </w:r>
    </w:p>
    <w:p>
      <w:pPr>
        <w:pStyle w:val="ListParagraph"/>
        <w:widowControl/>
        <w:numPr>
          <w:ilvl w:val="0"/>
          <w:numId w:val="3"/>
        </w:numPr>
        <w:jc w:val="both"/>
        <w:rPr/>
      </w:pPr>
      <w:r>
        <w:rPr>
          <w:color w:val="000000"/>
        </w:rPr>
        <w:t>Experience producing strategic performance reports and presenting insight to senior leaders and decision makers.</w:t>
      </w:r>
    </w:p>
    <w:p>
      <w:pPr>
        <w:pStyle w:val="ListParagraph"/>
        <w:widowControl/>
        <w:numPr>
          <w:ilvl w:val="0"/>
          <w:numId w:val="3"/>
        </w:numPr>
        <w:jc w:val="both"/>
        <w:rPr/>
      </w:pPr>
      <w:r>
        <w:rPr>
          <w:color w:val="000000"/>
        </w:rPr>
        <w:t>Experience managing change and embedding new ways of working across teams, organisations or partnerships.</w:t>
      </w:r>
    </w:p>
    <w:p>
      <w:pPr>
        <w:pStyle w:val="ListParagraph"/>
        <w:widowControl/>
        <w:numPr>
          <w:ilvl w:val="0"/>
          <w:numId w:val="3"/>
        </w:numPr>
        <w:jc w:val="both"/>
        <w:rPr/>
      </w:pPr>
      <w:r>
        <w:rPr>
          <w:color w:val="000000"/>
        </w:rPr>
        <w:t>Strong understanding of project and programme management methodologies.</w:t>
      </w:r>
    </w:p>
    <w:p>
      <w:pPr>
        <w:pStyle w:val="ListParagraph"/>
        <w:widowControl/>
        <w:numPr>
          <w:ilvl w:val="0"/>
          <w:numId w:val="3"/>
        </w:numPr>
        <w:jc w:val="both"/>
        <w:rPr/>
      </w:pPr>
      <w:r>
        <w:rPr>
          <w:color w:val="000000"/>
        </w:rPr>
        <w:t>Desirable experience includes working with investment funds, economic development programmes or local government finance; implementing digital reporting platforms or business intelligence solutions; and applying monitoring and evaluation methodologies, social value measurement, outcomes frameworks or public sector performance reporting.</w:t>
      </w:r>
    </w:p>
    <w:p>
      <w:pPr>
        <w:pStyle w:val="Default"/>
        <w:rPr/>
      </w:pPr>
      <w:r>
        <w:rPr/>
      </w:r>
    </w:p>
    <w:p>
      <w:pPr>
        <w:pStyle w:val="Heading3"/>
        <w:ind w:hanging="0" w:left="0"/>
        <w:rPr/>
      </w:pPr>
      <w:r>
        <w:rPr>
          <w:rFonts w:cs="Arial"/>
          <w:b/>
          <w:bCs/>
          <w:sz w:val="24"/>
        </w:rPr>
        <w:t>Skills, Values</w:t>
      </w:r>
      <w:r>
        <w:rPr>
          <w:rFonts w:cs="Arial"/>
          <w:b/>
          <w:bCs/>
          <w:spacing w:val="-3"/>
          <w:sz w:val="24"/>
        </w:rPr>
        <w:t xml:space="preserve"> </w:t>
      </w:r>
      <w:r>
        <w:rPr>
          <w:rFonts w:cs="Arial"/>
          <w:b/>
          <w:bCs/>
          <w:sz w:val="24"/>
        </w:rPr>
        <w:t>&amp;</w:t>
      </w:r>
      <w:r>
        <w:rPr>
          <w:rFonts w:cs="Arial"/>
          <w:b/>
          <w:bCs/>
          <w:spacing w:val="-3"/>
          <w:sz w:val="24"/>
        </w:rPr>
        <w:t xml:space="preserve"> </w:t>
      </w:r>
      <w:r>
        <w:rPr>
          <w:rFonts w:cs="Arial"/>
          <w:b/>
          <w:bCs/>
          <w:sz w:val="24"/>
        </w:rPr>
        <w:t>Behaviours</w:t>
      </w:r>
    </w:p>
    <w:p>
      <w:pPr>
        <w:pStyle w:val="ListParagraph"/>
        <w:widowControl/>
        <w:numPr>
          <w:ilvl w:val="0"/>
          <w:numId w:val="4"/>
        </w:numPr>
        <w:jc w:val="both"/>
        <w:rPr/>
      </w:pPr>
      <w:r>
        <w:rPr>
          <w:color w:val="000000"/>
        </w:rPr>
        <w:t>Exceptional programme and project management skills, with the ability to establish new functions, manage complex implementation plans and deliver through multiple stakeholders.</w:t>
      </w:r>
    </w:p>
    <w:p>
      <w:pPr>
        <w:pStyle w:val="ListParagraph"/>
        <w:widowControl/>
        <w:numPr>
          <w:ilvl w:val="0"/>
          <w:numId w:val="4"/>
        </w:numPr>
        <w:jc w:val="both"/>
        <w:rPr/>
      </w:pPr>
      <w:r>
        <w:rPr>
          <w:color w:val="000000"/>
        </w:rPr>
        <w:t>Strong analytical and problem-solving capability, including the ability to translate complex data into clear, meaningful insight.</w:t>
      </w:r>
    </w:p>
    <w:p>
      <w:pPr>
        <w:pStyle w:val="ListParagraph"/>
        <w:widowControl/>
        <w:numPr>
          <w:ilvl w:val="0"/>
          <w:numId w:val="4"/>
        </w:numPr>
        <w:jc w:val="both"/>
        <w:rPr/>
      </w:pPr>
      <w:r>
        <w:rPr>
          <w:color w:val="000000"/>
        </w:rPr>
        <w:t>Excellent communication and influencing skills, with the confidence to advise senior leaders and present performance information clearly to different audiences.</w:t>
      </w:r>
    </w:p>
    <w:p>
      <w:pPr>
        <w:pStyle w:val="ListParagraph"/>
        <w:widowControl/>
        <w:numPr>
          <w:ilvl w:val="0"/>
          <w:numId w:val="4"/>
        </w:numPr>
        <w:jc w:val="both"/>
        <w:rPr/>
      </w:pPr>
      <w:r>
        <w:rPr>
          <w:color w:val="000000"/>
        </w:rPr>
        <w:t>Strong stakeholder management and partnership-building skills, including the ability to secure buy-in to new approaches and ways of working.</w:t>
      </w:r>
    </w:p>
    <w:p>
      <w:pPr>
        <w:pStyle w:val="ListParagraph"/>
        <w:widowControl/>
        <w:numPr>
          <w:ilvl w:val="0"/>
          <w:numId w:val="4"/>
        </w:numPr>
        <w:jc w:val="both"/>
        <w:rPr/>
      </w:pPr>
      <w:r>
        <w:rPr>
          <w:color w:val="000000"/>
        </w:rPr>
        <w:t>Ability to work strategically while maintaining attention to detail, ensuring data, processes and reporting arrangements are robust, proportionate and fit for purpose.</w:t>
      </w:r>
    </w:p>
    <w:p>
      <w:pPr>
        <w:pStyle w:val="ListParagraph"/>
        <w:widowControl/>
        <w:numPr>
          <w:ilvl w:val="0"/>
          <w:numId w:val="4"/>
        </w:numPr>
        <w:jc w:val="both"/>
        <w:rPr/>
      </w:pPr>
      <w:r>
        <w:rPr>
          <w:color w:val="000000"/>
        </w:rPr>
        <w:t>Strong organisational skills with the ability to manage multiple priorities, dependencies and deadlines.</w:t>
      </w:r>
    </w:p>
    <w:p>
      <w:pPr>
        <w:pStyle w:val="ListParagraph"/>
        <w:widowControl/>
        <w:numPr>
          <w:ilvl w:val="0"/>
          <w:numId w:val="4"/>
        </w:numPr>
        <w:jc w:val="both"/>
        <w:rPr/>
      </w:pPr>
      <w:r>
        <w:rPr>
          <w:color w:val="000000"/>
        </w:rPr>
        <w:t>Commitment to continuous improvement, evidence-based decision making and reducing unnecessary reporting burdens on delivery partners.</w:t>
      </w:r>
    </w:p>
    <w:p>
      <w:pPr>
        <w:pStyle w:val="Heading2"/>
        <w:ind w:hanging="0" w:left="0"/>
        <w:rPr>
          <w:sz w:val="24"/>
          <w:szCs w:val="24"/>
        </w:rPr>
      </w:pPr>
      <w:r>
        <w:rPr>
          <w:sz w:val="24"/>
          <w:szCs w:val="24"/>
        </w:rPr>
        <w:t>Key Performance Measures</w:t>
      </w:r>
    </w:p>
    <w:p>
      <w:pPr>
        <w:pStyle w:val="ListParagraph"/>
        <w:widowControl/>
        <w:numPr>
          <w:ilvl w:val="0"/>
          <w:numId w:val="6"/>
        </w:numPr>
        <w:jc w:val="both"/>
        <w:rPr/>
      </w:pPr>
      <w:r>
        <w:rPr>
          <w:color w:val="000000"/>
        </w:rPr>
        <w:t>Successful implementation of a new monitoring function and operating model.</w:t>
      </w:r>
    </w:p>
    <w:p>
      <w:pPr>
        <w:pStyle w:val="ListParagraph"/>
        <w:widowControl/>
        <w:numPr>
          <w:ilvl w:val="0"/>
          <w:numId w:val="6"/>
        </w:numPr>
        <w:jc w:val="both"/>
        <w:rPr/>
      </w:pPr>
      <w:r>
        <w:rPr>
          <w:color w:val="000000"/>
        </w:rPr>
        <w:t>Delivery of a consistent monitoring framework across all investment programmes.</w:t>
      </w:r>
    </w:p>
    <w:p>
      <w:pPr>
        <w:pStyle w:val="ListParagraph"/>
        <w:widowControl/>
        <w:numPr>
          <w:ilvl w:val="0"/>
          <w:numId w:val="6"/>
        </w:numPr>
        <w:jc w:val="both"/>
        <w:rPr/>
      </w:pPr>
      <w:r>
        <w:rPr>
          <w:color w:val="000000"/>
        </w:rPr>
        <w:t>Establishment of a monthly reporting and performance management cycle.</w:t>
      </w:r>
    </w:p>
    <w:p>
      <w:pPr>
        <w:pStyle w:val="ListParagraph"/>
        <w:widowControl/>
        <w:numPr>
          <w:ilvl w:val="0"/>
          <w:numId w:val="6"/>
        </w:numPr>
        <w:jc w:val="both"/>
        <w:rPr/>
      </w:pPr>
      <w:r>
        <w:rPr>
          <w:color w:val="000000"/>
        </w:rPr>
        <w:t>Improved quality, consistency and accessibility of monitoring data.</w:t>
      </w:r>
    </w:p>
    <w:p>
      <w:pPr>
        <w:pStyle w:val="ListParagraph"/>
        <w:widowControl/>
        <w:numPr>
          <w:ilvl w:val="0"/>
          <w:numId w:val="6"/>
        </w:numPr>
        <w:jc w:val="both"/>
        <w:rPr/>
      </w:pPr>
      <w:r>
        <w:rPr>
          <w:color w:val="000000"/>
        </w:rPr>
        <w:t>Reduction in reporting burden for delivery partners through streamlined processes.</w:t>
      </w:r>
    </w:p>
    <w:p>
      <w:pPr>
        <w:pStyle w:val="ListParagraph"/>
        <w:widowControl/>
        <w:numPr>
          <w:ilvl w:val="0"/>
          <w:numId w:val="6"/>
        </w:numPr>
        <w:jc w:val="both"/>
        <w:rPr/>
      </w:pPr>
      <w:r>
        <w:rPr>
          <w:color w:val="000000"/>
        </w:rPr>
        <w:t>Increased stakeholder satisfaction with monitoring and reporting arrangements.</w:t>
      </w:r>
    </w:p>
    <w:p>
      <w:pPr>
        <w:pStyle w:val="ListParagraph"/>
        <w:widowControl/>
        <w:numPr>
          <w:ilvl w:val="0"/>
          <w:numId w:val="6"/>
        </w:numPr>
        <w:jc w:val="both"/>
        <w:rPr/>
      </w:pPr>
      <w:r>
        <w:rPr>
          <w:color w:val="000000"/>
        </w:rPr>
        <w:t>Production of robust evidence demonstrating investment outputs, outcomes and impact.</w:t>
      </w:r>
    </w:p>
    <w:p>
      <w:pPr>
        <w:pStyle w:val="ListParagraph"/>
        <w:widowControl/>
        <w:numPr>
          <w:ilvl w:val="0"/>
          <w:numId w:val="6"/>
        </w:numPr>
        <w:jc w:val="both"/>
        <w:rPr/>
      </w:pPr>
      <w:r>
        <w:rPr>
          <w:color w:val="000000"/>
        </w:rPr>
        <w:t>Delivery of reliable performance information that supports strategic decision-making.</w:t>
      </w:r>
    </w:p>
    <w:p>
      <w:pPr>
        <w:pStyle w:val="Normal"/>
        <w:rPr>
          <w:rFonts w:cs="Arial"/>
          <w:szCs w:val="24"/>
        </w:rPr>
      </w:pPr>
      <w:r>
        <w:rPr>
          <w:rFonts w:cs="Arial"/>
          <w:szCs w:val="24"/>
        </w:rPr>
      </w:r>
    </w:p>
    <w:p>
      <w:pPr>
        <w:pStyle w:val="Normal"/>
        <w:rPr>
          <w:rFonts w:cs="Arial"/>
          <w:szCs w:val="24"/>
        </w:rPr>
      </w:pPr>
      <w:r>
        <w:rPr>
          <w:rFonts w:cs="Arial"/>
          <w:szCs w:val="24"/>
        </w:rPr>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8"/>
      <w:headerReference w:type="first" r:id="rId9"/>
      <w:footerReference w:type="default" r:id="rId10"/>
      <w:footerReference w:type="first" r:id="rId11"/>
      <w:type w:val="nextPage"/>
      <w:pgSz w:w="11906" w:h="16838"/>
      <w:pgMar w:left="720" w:right="720" w:gutter="0" w:header="709" w:top="766" w:footer="0" w:bottom="72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w:t>
    </w:r>
    <w:r>
      <w:rPr/>
      <w:fldChar w:fldCharType="end"/>
    </w:r>
  </w:p>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3</w:t>
    </w:r>
    <w:r>
      <w:rPr/>
      <w:fldChar w:fldCharType="end"/>
    </w:r>
  </w:p>
  <w:p>
    <w:pPr>
      <w:pStyle w:val="BodyText"/>
      <w:spacing w:before="0" w:after="2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p>
    <w:pPr>
      <w:pStyle w:val="Footer"/>
      <w:spacing w:before="0" w:after="24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8</w:t>
    </w:r>
    <w:r>
      <w:rPr/>
      <w:fldChar w:fldCharType="end"/>
    </w:r>
  </w:p>
  <w:p>
    <w:pPr>
      <w:pStyle w:val="BodyText"/>
      <w:spacing w:before="0" w:after="24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drawing>
        <wp:anchor behindDoc="1" distT="0" distB="0" distL="0" distR="0" simplePos="0" locked="0" layoutInCell="1" allowOverlap="1" relativeHeight="2">
          <wp:simplePos x="0" y="0"/>
          <wp:positionH relativeFrom="column">
            <wp:posOffset>4396740</wp:posOffset>
          </wp:positionH>
          <wp:positionV relativeFrom="paragraph">
            <wp:posOffset>-304165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r>
      <w:rPr/>
      <w:t>Last reviewed: April 2024</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spacing w:before="0" w:after="24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3">
          <wp:simplePos x="0" y="0"/>
          <wp:positionH relativeFrom="column">
            <wp:posOffset>4718050</wp:posOffset>
          </wp:positionH>
          <wp:positionV relativeFrom="paragraph">
            <wp:posOffset>-343535</wp:posOffset>
          </wp:positionV>
          <wp:extent cx="2190115" cy="68643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w:r>
  </w:p>
  <w:p>
    <w:pPr>
      <w:pStyle w:val="Header"/>
      <w:spacing w:before="0" w:after="24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sz w:val="20"/>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