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sz w:val="22"/>
          <w:szCs w:val="22"/>
        </w:rPr>
      </w:pPr>
      <w:r>
        <w:rPr>
          <w:sz w:val="22"/>
          <w:szCs w:val="22"/>
        </w:rPr>
        <w:t>Role profile</w:t>
        <w:br/>
        <w:t>Strategic Programme Manager – Performance &amp; Contracts</w:t>
      </w:r>
    </w:p>
    <w:p>
      <w:pPr>
        <w:pStyle w:val="ListParagraph"/>
        <w:widowControl/>
        <w:numPr>
          <w:ilvl w:val="0"/>
          <w:numId w:val="2"/>
        </w:numPr>
        <w:rPr/>
      </w:pPr>
      <w:r>
        <w:rPr>
          <w:b/>
          <w:bCs/>
          <w:color w:val="auto"/>
          <w:sz w:val="22"/>
        </w:rPr>
        <w:t>Grade:</w:t>
      </w:r>
      <w:r>
        <w:rPr>
          <w:color w:val="auto"/>
          <w:sz w:val="22"/>
        </w:rPr>
        <w:t xml:space="preserve"> Grade 10</w:t>
      </w:r>
    </w:p>
    <w:p>
      <w:pPr>
        <w:pStyle w:val="ListParagraph"/>
        <w:widowControl/>
        <w:numPr>
          <w:ilvl w:val="0"/>
          <w:numId w:val="2"/>
        </w:numPr>
        <w:rPr/>
      </w:pPr>
      <w:r>
        <w:rPr>
          <w:b/>
          <w:bCs/>
          <w:color w:val="auto"/>
          <w:sz w:val="22"/>
        </w:rPr>
        <w:t>Business area:</w:t>
      </w:r>
      <w:r>
        <w:rPr>
          <w:color w:val="auto"/>
          <w:sz w:val="22"/>
        </w:rPr>
        <w:t xml:space="preserve"> Education, Work and Skills</w:t>
      </w:r>
    </w:p>
    <w:p>
      <w:pPr>
        <w:pStyle w:val="ListParagraph"/>
        <w:widowControl/>
        <w:numPr>
          <w:ilvl w:val="0"/>
          <w:numId w:val="2"/>
        </w:numPr>
        <w:rPr/>
      </w:pPr>
      <w:r>
        <w:rPr>
          <w:b/>
          <w:bCs/>
          <w:color w:val="auto"/>
          <w:sz w:val="22"/>
        </w:rPr>
        <w:t>Job title:</w:t>
      </w:r>
      <w:r>
        <w:rPr>
          <w:color w:val="auto"/>
          <w:sz w:val="22"/>
        </w:rPr>
        <w:t xml:space="preserve"> Strategic Programme Manager – Performance &amp; Contracts</w:t>
      </w:r>
    </w:p>
    <w:p>
      <w:pPr>
        <w:pStyle w:val="ListParagraph"/>
        <w:widowControl/>
        <w:numPr>
          <w:ilvl w:val="0"/>
          <w:numId w:val="2"/>
        </w:numPr>
        <w:rPr/>
      </w:pPr>
      <w:r>
        <w:rPr>
          <w:b/>
          <w:bCs/>
          <w:color w:val="auto"/>
          <w:sz w:val="22"/>
        </w:rPr>
        <w:t>Reporting line:</w:t>
      </w:r>
      <w:r>
        <w:rPr>
          <w:color w:val="auto"/>
          <w:sz w:val="22"/>
        </w:rPr>
        <w:t xml:space="preserve"> Principal Performance &amp; Contracts Manager</w:t>
      </w:r>
    </w:p>
    <w:p>
      <w:pPr>
        <w:pStyle w:val="ListParagraph"/>
        <w:widowControl/>
        <w:numPr>
          <w:ilvl w:val="0"/>
          <w:numId w:val="2"/>
        </w:numPr>
        <w:rPr/>
      </w:pPr>
      <w:r>
        <w:rPr>
          <w:b/>
          <w:bCs/>
          <w:color w:val="auto"/>
          <w:sz w:val="22"/>
        </w:rPr>
        <w:t>Team:</w:t>
      </w:r>
      <w:r>
        <w:rPr>
          <w:color w:val="auto"/>
          <w:sz w:val="22"/>
        </w:rPr>
        <w:t xml:space="preserve"> Performance &amp; Contracts Team</w:t>
      </w:r>
    </w:p>
    <w:p>
      <w:pPr>
        <w:pStyle w:val="Heading2"/>
        <w:shd w:fill="004F6E" w:val="clear"/>
        <w:rPr>
          <w:rFonts w:cs="Arial"/>
          <w:sz w:val="22"/>
          <w:szCs w:val="22"/>
        </w:rPr>
      </w:pPr>
      <w:r>
        <w:rPr>
          <w:rFonts w:cs="Arial"/>
          <w:sz w:val="22"/>
          <w:szCs w:val="22"/>
        </w:rPr>
        <w:t>Job Purpose</w:t>
      </w:r>
    </w:p>
    <w:p>
      <w:pPr>
        <w:pStyle w:val="Paragraph"/>
        <w:shd w:fill="FFFFFF" w:val="clear"/>
        <w:spacing w:before="0" w:after="0"/>
        <w:textAlignment w:val="baseline"/>
        <w:rPr/>
      </w:pPr>
      <w:r>
        <w:rPr>
          <w:rStyle w:val="Normaltextrun"/>
          <w:rFonts w:cs="Arial" w:ascii="Arial" w:hAnsi="Arial"/>
          <w:color w:val="242424"/>
          <w:lang w:val="en-US"/>
        </w:rPr>
        <w:t>Greater Manchester Combined Authority have an exciting opportunity for an experienced Strategic Programme Manager to play a key role leading the delivery of the strategic priorities of the GMCA into programmes and projects to support the places, businesses and residents of Greater Manchester.</w:t>
      </w:r>
      <w:r>
        <w:rPr>
          <w:rStyle w:val="Eop"/>
          <w:color w:val="242424"/>
        </w:rPr>
        <w:t> </w:t>
      </w:r>
    </w:p>
    <w:p>
      <w:pPr>
        <w:pStyle w:val="Paragraph"/>
        <w:shd w:fill="FFFFFF" w:val="clear"/>
        <w:spacing w:before="0" w:after="0"/>
        <w:textAlignment w:val="baseline"/>
        <w:rPr/>
      </w:pPr>
      <w:r>
        <w:rPr>
          <w:rStyle w:val="Eop"/>
          <w:color w:val="242424"/>
        </w:rPr>
        <w:t> </w:t>
      </w:r>
    </w:p>
    <w:p>
      <w:pPr>
        <w:pStyle w:val="Paragraph"/>
        <w:shd w:fill="FFFFFF" w:val="clear"/>
        <w:spacing w:before="0" w:after="0"/>
        <w:textAlignment w:val="baseline"/>
        <w:rPr/>
      </w:pPr>
      <w:r>
        <w:rPr>
          <w:rStyle w:val="Normaltextrun"/>
          <w:rFonts w:cs="Arial" w:ascii="Arial" w:hAnsi="Arial"/>
          <w:color w:val="242424"/>
          <w:lang w:val="en-US"/>
        </w:rPr>
        <w:t xml:space="preserve">Working as part of a team and closely with the Mayor of Greater Manchester, Local Authorities, government departments, businesses, providers, voluntary and community sector enterprises and a broad range of local partners, you will </w:t>
      </w:r>
      <w:r>
        <w:rPr>
          <w:rStyle w:val="Normaltextrun"/>
          <w:rFonts w:cs="Arial" w:ascii="Arial" w:hAnsi="Arial"/>
        </w:rPr>
        <w:t>lead the successful delivery of the goals of the GMCA’s, Education, Work&amp; Skills Directorate commissioned services through the provision of high-quality programme/contract  management.  This will include working with teams across the directorate and wider GMCA colleagues to support with design and commission activity, manage projects, stakeholder management, coordination of performance management and monitoring that fits the requirements of Government and GMCA’s Contract Management Framework.</w:t>
      </w:r>
    </w:p>
    <w:p>
      <w:pPr>
        <w:pStyle w:val="Paragraph"/>
        <w:shd w:fill="FFFFFF" w:val="clear"/>
        <w:spacing w:before="0" w:after="0"/>
        <w:textAlignment w:val="baseline"/>
        <w:rPr/>
      </w:pPr>
      <w:r>
        <w:rPr>
          <w:rStyle w:val="Eop"/>
          <w:color w:val="242424"/>
        </w:rPr>
        <w:t> </w:t>
      </w:r>
    </w:p>
    <w:p>
      <w:pPr>
        <w:pStyle w:val="Paragraph"/>
        <w:shd w:fill="FFFFFF" w:val="clear"/>
        <w:spacing w:before="0" w:after="0"/>
        <w:textAlignment w:val="baseline"/>
        <w:rPr/>
      </w:pPr>
      <w:r>
        <w:rPr>
          <w:rStyle w:val="Normaltextrun"/>
          <w:rFonts w:cs="Arial" w:ascii="Arial" w:hAnsi="Arial"/>
          <w:color w:val="242424"/>
          <w:lang w:val="en-US"/>
        </w:rPr>
        <w:t xml:space="preserve">As part of the Performance &amp; Contracts Team, you will drive the delivery of Skill and Employment commissioned activity </w:t>
      </w:r>
      <w:r>
        <w:rPr>
          <w:rStyle w:val="Normaltextrun"/>
          <w:rFonts w:cs="Arial" w:ascii="Arial" w:hAnsi="Arial"/>
          <w:color w:val="242424"/>
        </w:rPr>
        <w:t xml:space="preserve">and in doing so will directly manage a small team and matrix manage wider relationships in </w:t>
      </w:r>
      <w:r>
        <w:rPr>
          <w:rStyle w:val="Normaltextrun"/>
          <w:rFonts w:cs="Arial" w:ascii="Arial" w:hAnsi="Arial"/>
        </w:rPr>
        <w:t xml:space="preserve">ensuring alignment of priorities, opportunity and effective use of Education, Work and Skills resources, processes and tools wherever possible resources wherever possible. </w:t>
      </w:r>
      <w:r>
        <w:rPr>
          <w:rStyle w:val="Normaltextrun"/>
          <w:rFonts w:cs="Arial" w:ascii="Arial" w:hAnsi="Arial"/>
          <w:lang w:val="en-US"/>
        </w:rPr>
        <w:t xml:space="preserve"> </w:t>
      </w:r>
    </w:p>
    <w:p>
      <w:pPr>
        <w:pStyle w:val="Paragraph"/>
        <w:shd w:fill="FFFFFF" w:val="clear"/>
        <w:spacing w:before="0" w:after="0"/>
        <w:textAlignment w:val="baseline"/>
        <w:rPr>
          <w:rFonts w:ascii="Arial" w:hAnsi="Arial" w:cs="Arial"/>
          <w:color w:val="242424"/>
          <w:lang w:val="en-US"/>
        </w:rPr>
      </w:pPr>
      <w:r>
        <w:rPr>
          <w:rFonts w:cs="Arial" w:ascii="Arial" w:hAnsi="Arial"/>
          <w:color w:val="242424"/>
          <w:lang w:val="en-US"/>
        </w:rPr>
      </w:r>
    </w:p>
    <w:p>
      <w:pPr>
        <w:pStyle w:val="Body"/>
        <w:pBdr/>
        <w:spacing w:before="120" w:after="240"/>
        <w:rPr/>
      </w:pPr>
      <w:r>
        <w:rPr>
          <w:rStyle w:val="Normaltextrun"/>
          <w:rFonts w:eastAsia="Times New Roman"/>
          <w:color w:val="242424"/>
          <w:sz w:val="24"/>
          <w:szCs w:val="24"/>
          <w:lang w:val="en-US" w:eastAsia="en-GB"/>
        </w:rPr>
        <w:t xml:space="preserve">Working to the Principal Performance &amp; Contracts Manager, you will deploy and coordinate resources to ensure programme, project and contract management requirements and resource levels are fully identified. You will ensure that the programme of work is managed effectively using project management methodologies and techniques working with both relevant teams in GMCA and other key stakeholders. Through this, you will also ensure that all Integrated Settlement Outcomes requirements are met. </w:t>
      </w:r>
    </w:p>
    <w:p>
      <w:pPr>
        <w:pStyle w:val="Normal"/>
        <w:rPr>
          <w:kern w:val="2"/>
          <w:szCs w:val="24"/>
          <w:lang w:eastAsia="en-GB"/>
        </w:rPr>
      </w:pPr>
      <w:r>
        <w:rPr>
          <w:kern w:val="2"/>
          <w:szCs w:val="24"/>
          <w:lang w:eastAsia="en-GB"/>
        </w:rPr>
      </w:r>
    </w:p>
    <w:p>
      <w:pPr>
        <w:pStyle w:val="Heading2"/>
        <w:shd w:fill="004F6E" w:val="clear"/>
        <w:rPr>
          <w:rFonts w:cs="Arial"/>
          <w:sz w:val="22"/>
          <w:szCs w:val="22"/>
        </w:rPr>
      </w:pPr>
      <w:r>
        <w:rPr>
          <w:rFonts w:cs="Arial"/>
          <w:sz w:val="22"/>
          <w:szCs w:val="22"/>
        </w:rPr>
        <w:t>Key working relationships</w:t>
      </w:r>
    </w:p>
    <w:p>
      <w:pPr>
        <w:pStyle w:val="ListParagraph"/>
        <w:numPr>
          <w:ilvl w:val="0"/>
          <w:numId w:val="3"/>
        </w:numPr>
        <w:rPr/>
      </w:pPr>
      <w:r>
        <w:rPr/>
        <w:t>Internal and external customer groups and strategic partners.</w:t>
      </w:r>
    </w:p>
    <w:p>
      <w:pPr>
        <w:pStyle w:val="ListParagraph"/>
        <w:numPr>
          <w:ilvl w:val="0"/>
          <w:numId w:val="3"/>
        </w:numPr>
        <w:rPr/>
      </w:pPr>
      <w:r>
        <w:rPr/>
        <w:t>Senior Managers from across Greater Manchester’s public sector.</w:t>
      </w:r>
    </w:p>
    <w:p>
      <w:pPr>
        <w:pStyle w:val="ListParagraph"/>
        <w:numPr>
          <w:ilvl w:val="0"/>
          <w:numId w:val="3"/>
        </w:numPr>
        <w:rPr/>
      </w:pPr>
      <w:r>
        <w:rPr/>
        <w:t>Senior Managers within GMCA.</w:t>
      </w:r>
    </w:p>
    <w:p>
      <w:pPr>
        <w:pStyle w:val="ListParagraph"/>
        <w:numPr>
          <w:ilvl w:val="0"/>
          <w:numId w:val="3"/>
        </w:numPr>
        <w:rPr/>
      </w:pPr>
      <w:r>
        <w:rPr/>
        <w:t>Commissioned service providers.</w:t>
      </w:r>
    </w:p>
    <w:p>
      <w:pPr>
        <w:pStyle w:val="ListParagraph"/>
        <w:numPr>
          <w:ilvl w:val="0"/>
          <w:numId w:val="3"/>
        </w:numPr>
        <w:rPr/>
      </w:pPr>
      <w:r>
        <w:rPr/>
        <w:t>Officials from across Government.</w:t>
      </w:r>
    </w:p>
    <w:p>
      <w:pPr>
        <w:pStyle w:val="Normal"/>
        <w:rPr/>
      </w:pPr>
      <w:r>
        <w:rPr/>
        <w:t>The role holder will report to the Principal Performance &amp; Contracts Manager and will be expected to work within a matrix management system across GMCA and the Education, Work and Skills Directorate.</w:t>
      </w:r>
    </w:p>
    <w:p>
      <w:pPr>
        <w:pStyle w:val="Heading2"/>
        <w:shd w:fill="004F6E" w:val="clear"/>
        <w:rPr>
          <w:rFonts w:cs="Arial"/>
          <w:sz w:val="22"/>
          <w:szCs w:val="22"/>
        </w:rPr>
      </w:pPr>
      <w:r>
        <w:rPr>
          <w:rFonts w:cs="Arial"/>
          <w:sz w:val="22"/>
          <w:szCs w:val="22"/>
        </w:rPr>
        <w:t>Key Responsibilities</w:t>
      </w:r>
    </w:p>
    <w:p>
      <w:pPr>
        <w:pStyle w:val="Normal"/>
        <w:spacing w:before="120" w:after="240"/>
        <w:rPr>
          <w:rFonts w:cs="Arial"/>
        </w:rPr>
      </w:pPr>
      <w:r>
        <w:rPr>
          <w:rFonts w:cs="Arial"/>
        </w:rPr>
        <w:t xml:space="preserve">The Strategic Programme Manager will have responsibility for leading, developing and managing priority and high value programmes of work to support the delivery of the Greater Manchester’s strategic priorities and outcomes within GM’s Integrated Settlement. </w:t>
      </w:r>
    </w:p>
    <w:p>
      <w:pPr>
        <w:pStyle w:val="Normal"/>
        <w:spacing w:before="120" w:after="240"/>
        <w:rPr>
          <w:rFonts w:cs="Arial"/>
        </w:rPr>
      </w:pPr>
      <w:r>
        <w:rPr>
          <w:rFonts w:cs="Arial"/>
        </w:rPr>
        <w:t>Key responsibilities include:</w:t>
      </w:r>
    </w:p>
    <w:p>
      <w:pPr>
        <w:pStyle w:val="ListParagraph"/>
        <w:widowControl/>
        <w:numPr>
          <w:ilvl w:val="0"/>
          <w:numId w:val="4"/>
        </w:numPr>
        <w:spacing w:lineRule="auto" w:line="240" w:before="120" w:after="0"/>
        <w:ind w:left="629" w:right="0" w:hanging="360"/>
        <w:rPr>
          <w:szCs w:val="24"/>
        </w:rPr>
      </w:pPr>
      <w:r>
        <w:rPr>
          <w:szCs w:val="24"/>
        </w:rPr>
        <w:t>Providing strong leadership for the programmes of work, motivating and allocating tasks to team members/stakeholders, ensuring that project scope and objectives are clearly articulated and understood.</w:t>
      </w:r>
    </w:p>
    <w:p>
      <w:pPr>
        <w:pStyle w:val="ListParagraph"/>
        <w:widowControl/>
        <w:numPr>
          <w:ilvl w:val="0"/>
          <w:numId w:val="4"/>
        </w:numPr>
        <w:spacing w:lineRule="auto" w:line="240" w:before="120" w:after="0"/>
        <w:ind w:left="629" w:right="0" w:hanging="360"/>
        <w:rPr>
          <w:szCs w:val="24"/>
        </w:rPr>
      </w:pPr>
      <w:r>
        <w:rPr>
          <w:szCs w:val="24"/>
        </w:rPr>
        <w:t>Developing and monitoring programme and project plans and supporting documentation, and play a key role in supporting clear governance arrangements, reporting against project delivery milestones across key stakeholders.</w:t>
      </w:r>
    </w:p>
    <w:p>
      <w:pPr>
        <w:pStyle w:val="ListParagraph"/>
        <w:widowControl/>
        <w:numPr>
          <w:ilvl w:val="0"/>
          <w:numId w:val="4"/>
        </w:numPr>
        <w:spacing w:lineRule="auto" w:line="240" w:before="120" w:after="0"/>
        <w:ind w:left="629" w:right="0" w:hanging="360"/>
        <w:rPr>
          <w:szCs w:val="24"/>
        </w:rPr>
      </w:pPr>
      <w:r>
        <w:rPr>
          <w:szCs w:val="24"/>
        </w:rPr>
        <w:t>Overall responsibility for the success of the EWS contract management requirements including direction setting for the team, pipeline planning, ensuring feed into corporate structures and frameworks, sharing and adopting best practice.  You will proactively support procurement and work closely with the Commissioning, Adult Skills, Inclusive Employment and Youth Employment Opportunities teams and policy leads to ensure the delivery of quality outcomes, effective risk management and mitigation.</w:t>
      </w:r>
    </w:p>
    <w:p>
      <w:pPr>
        <w:pStyle w:val="ListParagraph"/>
        <w:widowControl/>
        <w:numPr>
          <w:ilvl w:val="0"/>
          <w:numId w:val="4"/>
        </w:numPr>
        <w:spacing w:lineRule="auto" w:line="240" w:before="120" w:after="0"/>
        <w:ind w:left="629" w:right="0" w:hanging="360"/>
        <w:rPr>
          <w:szCs w:val="24"/>
        </w:rPr>
      </w:pPr>
      <w:r>
        <w:rPr>
          <w:szCs w:val="24"/>
        </w:rPr>
        <w:t xml:space="preserve">Lead accountability for ensuring project requirements and resource levels are fully supported throughout the lifecycle of the programmes. </w:t>
      </w:r>
    </w:p>
    <w:p>
      <w:pPr>
        <w:pStyle w:val="ListParagraph"/>
        <w:widowControl/>
        <w:numPr>
          <w:ilvl w:val="0"/>
          <w:numId w:val="4"/>
        </w:numPr>
        <w:spacing w:lineRule="auto" w:line="240" w:before="120" w:after="0"/>
        <w:ind w:left="629" w:right="0" w:hanging="360"/>
        <w:rPr>
          <w:szCs w:val="24"/>
          <w:lang w:eastAsia="en-GB"/>
        </w:rPr>
      </w:pPr>
      <w:r>
        <w:rPr>
          <w:szCs w:val="24"/>
          <w:lang w:eastAsia="en-GB"/>
        </w:rPr>
        <w:t>Lead accountability for the successful delivery of a programme of complex projects on time, to budget and of the right quality.</w:t>
      </w:r>
    </w:p>
    <w:p>
      <w:pPr>
        <w:pStyle w:val="ListParagraph"/>
        <w:widowControl/>
        <w:numPr>
          <w:ilvl w:val="0"/>
          <w:numId w:val="4"/>
        </w:numPr>
        <w:spacing w:lineRule="auto" w:line="240" w:before="120" w:after="0"/>
        <w:ind w:left="629" w:right="0" w:hanging="360"/>
        <w:rPr/>
      </w:pPr>
      <w:r>
        <w:rPr>
          <w:color w:val="auto"/>
          <w:szCs w:val="24"/>
        </w:rPr>
        <w:t xml:space="preserve">Establishing, developing and managing multiple </w:t>
      </w:r>
      <w:r>
        <w:rPr>
          <w:szCs w:val="24"/>
        </w:rPr>
        <w:t xml:space="preserve">strategic relationships with stakeholders including internal colleagues in GMCA and senior external colleagues in local authorities, delivery partners, government departments and other Mayoral Combined Authorities. </w:t>
      </w:r>
    </w:p>
    <w:p>
      <w:pPr>
        <w:pStyle w:val="ListParagraph"/>
        <w:widowControl/>
        <w:numPr>
          <w:ilvl w:val="0"/>
          <w:numId w:val="4"/>
        </w:numPr>
        <w:spacing w:lineRule="auto" w:line="240" w:before="120" w:after="0"/>
        <w:ind w:left="629" w:right="0" w:hanging="360"/>
        <w:rPr>
          <w:szCs w:val="24"/>
        </w:rPr>
      </w:pPr>
      <w:r>
        <w:rPr>
          <w:szCs w:val="24"/>
        </w:rPr>
        <w:t xml:space="preserve">Analysing, interpreting and synthesising complex information from a range of sources for use in project, policy and strategy response and development, presenting this to a variety of audiences in appropriate formats, with the ability to respond to queries in relation to the information. </w:t>
      </w:r>
    </w:p>
    <w:p>
      <w:pPr>
        <w:pStyle w:val="ListParagraph"/>
        <w:widowControl/>
        <w:numPr>
          <w:ilvl w:val="0"/>
          <w:numId w:val="4"/>
        </w:numPr>
        <w:spacing w:lineRule="auto" w:line="240" w:before="120" w:after="0"/>
        <w:ind w:left="629" w:right="0" w:hanging="360"/>
        <w:rPr>
          <w:szCs w:val="24"/>
        </w:rPr>
      </w:pPr>
      <w:r>
        <w:rPr>
          <w:szCs w:val="24"/>
        </w:rPr>
        <w:t xml:space="preserve">Working to deliver and support commissioning priorities, by supporting the commissioning of cross thematic products and services. </w:t>
      </w:r>
    </w:p>
    <w:p>
      <w:pPr>
        <w:pStyle w:val="ListParagraph"/>
        <w:widowControl/>
        <w:numPr>
          <w:ilvl w:val="0"/>
          <w:numId w:val="4"/>
        </w:numPr>
        <w:spacing w:lineRule="auto" w:line="240" w:before="120" w:after="0"/>
        <w:ind w:left="629" w:right="0" w:hanging="360"/>
        <w:rPr>
          <w:szCs w:val="24"/>
        </w:rPr>
      </w:pPr>
      <w:r>
        <w:rPr>
          <w:szCs w:val="24"/>
        </w:rPr>
        <w:t>Influencing local and national policy and ways of working across geographies and services to support the delivery of the Greater Manchester Strategy and a future Integrated Settlement.</w:t>
      </w:r>
    </w:p>
    <w:p>
      <w:pPr>
        <w:pStyle w:val="ListParagraph"/>
        <w:widowControl/>
        <w:numPr>
          <w:ilvl w:val="0"/>
          <w:numId w:val="4"/>
        </w:numPr>
        <w:spacing w:lineRule="auto" w:line="240" w:before="120" w:after="0"/>
        <w:ind w:left="629" w:right="0" w:hanging="360"/>
        <w:rPr>
          <w:szCs w:val="24"/>
        </w:rPr>
      </w:pPr>
      <w:r>
        <w:rPr>
          <w:szCs w:val="24"/>
        </w:rPr>
        <w:t>Supporting the development of the devolution agenda by participating in meetings with Governmental departments and contributing to the development and implementation of projects and plans.</w:t>
      </w:r>
    </w:p>
    <w:p>
      <w:pPr>
        <w:pStyle w:val="ListParagraph"/>
        <w:widowControl/>
        <w:numPr>
          <w:ilvl w:val="0"/>
          <w:numId w:val="4"/>
        </w:numPr>
        <w:spacing w:lineRule="auto" w:line="240" w:before="120" w:after="0"/>
        <w:ind w:left="629" w:right="0" w:hanging="360"/>
        <w:rPr>
          <w:szCs w:val="24"/>
        </w:rPr>
      </w:pPr>
      <w:r>
        <w:rPr>
          <w:szCs w:val="24"/>
        </w:rPr>
        <w:t>Writing relevant reports and papers for EWS/GMCA approval, Programme Boards and other governance meetings.</w:t>
      </w:r>
    </w:p>
    <w:p>
      <w:pPr>
        <w:pStyle w:val="ListParagraph"/>
        <w:widowControl/>
        <w:numPr>
          <w:ilvl w:val="0"/>
          <w:numId w:val="4"/>
        </w:numPr>
        <w:spacing w:lineRule="auto" w:line="240" w:before="120" w:after="0"/>
        <w:ind w:left="629" w:right="0" w:hanging="360"/>
        <w:rPr>
          <w:szCs w:val="24"/>
        </w:rPr>
      </w:pPr>
      <w:r>
        <w:rPr>
          <w:szCs w:val="24"/>
        </w:rPr>
        <w:t xml:space="preserve">Deputising for the Principal Performance &amp; Contracts Manager (including chairing meetings). </w:t>
      </w:r>
    </w:p>
    <w:p>
      <w:pPr>
        <w:pStyle w:val="ListParagraph"/>
        <w:widowControl/>
        <w:numPr>
          <w:ilvl w:val="0"/>
          <w:numId w:val="4"/>
        </w:numPr>
        <w:spacing w:lineRule="auto" w:line="240" w:before="120" w:after="0"/>
        <w:ind w:left="629" w:right="0" w:hanging="360"/>
        <w:rPr>
          <w:szCs w:val="24"/>
        </w:rPr>
      </w:pPr>
      <w:r>
        <w:rPr>
          <w:szCs w:val="24"/>
        </w:rPr>
        <w:t>Being responsible for contributing to the identification of own personal development needs and demonstrate a commitment to continuous self-development.</w:t>
      </w:r>
    </w:p>
    <w:p>
      <w:pPr>
        <w:pStyle w:val="ListParagraph"/>
        <w:widowControl/>
        <w:numPr>
          <w:ilvl w:val="0"/>
          <w:numId w:val="4"/>
        </w:numPr>
        <w:spacing w:lineRule="auto" w:line="240" w:before="120" w:after="0"/>
        <w:ind w:left="629" w:right="0" w:hanging="360"/>
        <w:rPr>
          <w:szCs w:val="24"/>
        </w:rPr>
      </w:pPr>
      <w:r>
        <w:rPr>
          <w:szCs w:val="24"/>
        </w:rPr>
        <w:t>Line managing staff and resources where required and commensurate with the level of this role, and maximizing the effectiveness of the matrix management approach taken by GMCA</w:t>
      </w:r>
    </w:p>
    <w:p>
      <w:pPr>
        <w:pStyle w:val="ListParagraph"/>
        <w:widowControl/>
        <w:numPr>
          <w:ilvl w:val="0"/>
          <w:numId w:val="4"/>
        </w:numPr>
        <w:spacing w:lineRule="auto" w:line="240" w:before="120" w:after="0"/>
        <w:ind w:left="629" w:right="0" w:hanging="360"/>
        <w:rPr>
          <w:szCs w:val="24"/>
        </w:rPr>
      </w:pPr>
      <w:r>
        <w:rPr>
          <w:szCs w:val="24"/>
        </w:rPr>
        <w:t>Through personal example, open commitment and clear action, ensure diversity is positively valued, resulting in equal access and treatment in employment, service delivery and communications.</w:t>
      </w:r>
    </w:p>
    <w:p>
      <w:pPr>
        <w:pStyle w:val="Default"/>
        <w:spacing w:before="120" w:after="240"/>
        <w:rPr/>
      </w:pPr>
      <w:r>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pPr>
        <w:pStyle w:val="Normal"/>
        <w:rPr/>
      </w:pPr>
      <w:r>
        <w:rPr/>
      </w:r>
    </w:p>
    <w:p>
      <w:pPr>
        <w:pStyle w:val="Normal"/>
        <w:rPr/>
      </w:pPr>
      <w:r>
        <w:rPr/>
      </w:r>
    </w:p>
    <w:p>
      <w:pPr>
        <w:pStyle w:val="Normal"/>
        <w:rPr/>
      </w:pPr>
      <w:r>
        <w:rPr/>
      </w:r>
    </w:p>
    <w:p>
      <w:pPr>
        <w:pStyle w:val="Heading2"/>
        <w:shd w:fill="004F6E" w:val="clear"/>
        <w:rPr>
          <w:rFonts w:cs="Arial"/>
          <w:sz w:val="22"/>
          <w:szCs w:val="22"/>
        </w:rPr>
      </w:pPr>
      <w:r>
        <w:rPr>
          <w:rFonts w:cs="Arial"/>
          <w:sz w:val="22"/>
          <w:szCs w:val="22"/>
        </w:rPr>
        <w:t>Knowledge, Skills, and Experience</w:t>
      </w:r>
    </w:p>
    <w:p>
      <w:pPr>
        <w:pStyle w:val="Normal"/>
        <w:spacing w:before="120" w:after="240"/>
        <w:rPr>
          <w:rFonts w:cs="Arial"/>
          <w:b/>
          <w:b/>
          <w:lang w:eastAsia="en-GB"/>
        </w:rPr>
      </w:pPr>
      <w:r>
        <w:rPr>
          <w:rFonts w:cs="Arial"/>
          <w:b/>
          <w:lang w:eastAsia="en-GB"/>
        </w:rPr>
        <w:t>Experience</w:t>
      </w:r>
    </w:p>
    <w:p>
      <w:pPr>
        <w:pStyle w:val="Default"/>
        <w:widowControl/>
        <w:numPr>
          <w:ilvl w:val="0"/>
          <w:numId w:val="5"/>
        </w:numPr>
        <w:spacing w:before="120" w:after="240"/>
        <w:rPr>
          <w:color w:val="auto"/>
        </w:rPr>
      </w:pPr>
      <w:r>
        <w:rPr>
          <w:color w:val="auto"/>
        </w:rPr>
        <w:t>Experience of successfully leading programmes of work in a complex public sector business development environment.</w:t>
      </w:r>
    </w:p>
    <w:p>
      <w:pPr>
        <w:pStyle w:val="ListParagraph"/>
        <w:widowControl/>
        <w:numPr>
          <w:ilvl w:val="0"/>
          <w:numId w:val="5"/>
        </w:numPr>
        <w:spacing w:lineRule="auto" w:line="240" w:before="120" w:after="0"/>
        <w:rPr>
          <w:szCs w:val="24"/>
        </w:rPr>
      </w:pPr>
      <w:r>
        <w:rPr>
          <w:szCs w:val="24"/>
        </w:rPr>
        <w:t xml:space="preserve">Extensive experience of managing significant externally funded programmes of work using programme / project management methodologies and techniques </w:t>
      </w:r>
    </w:p>
    <w:p>
      <w:pPr>
        <w:pStyle w:val="Default"/>
        <w:widowControl/>
        <w:numPr>
          <w:ilvl w:val="0"/>
          <w:numId w:val="5"/>
        </w:numPr>
        <w:spacing w:before="120" w:after="240"/>
        <w:rPr/>
      </w:pPr>
      <w:r>
        <w:rPr/>
        <w:t>Leadership and management qualification at Level 5+ and a project management qualification, or significant and relevant experience in a leadership role</w:t>
      </w:r>
    </w:p>
    <w:p>
      <w:pPr>
        <w:pStyle w:val="ListParagraph"/>
        <w:widowControl/>
        <w:numPr>
          <w:ilvl w:val="0"/>
          <w:numId w:val="5"/>
        </w:numPr>
        <w:spacing w:lineRule="auto" w:line="240" w:before="120" w:after="0"/>
        <w:rPr>
          <w:szCs w:val="24"/>
        </w:rPr>
      </w:pPr>
      <w:r>
        <w:rPr>
          <w:szCs w:val="24"/>
        </w:rPr>
        <w:t>Experience of leading on programmes with multiple stakeholders from different teams and/or organisations and cultures in a complex environment.</w:t>
      </w:r>
    </w:p>
    <w:p>
      <w:pPr>
        <w:pStyle w:val="ListParagraph"/>
        <w:widowControl/>
        <w:numPr>
          <w:ilvl w:val="0"/>
          <w:numId w:val="5"/>
        </w:numPr>
        <w:spacing w:lineRule="auto" w:line="240" w:before="120" w:after="0"/>
        <w:rPr>
          <w:szCs w:val="24"/>
        </w:rPr>
      </w:pPr>
      <w:r>
        <w:rPr>
          <w:szCs w:val="24"/>
        </w:rPr>
        <w:t xml:space="preserve">Experience of commissioning and/ or developing products and services, including working with service providers. </w:t>
      </w:r>
    </w:p>
    <w:p>
      <w:pPr>
        <w:pStyle w:val="Normal"/>
        <w:widowControl/>
        <w:numPr>
          <w:ilvl w:val="0"/>
          <w:numId w:val="5"/>
        </w:numPr>
        <w:spacing w:lineRule="auto" w:line="240" w:before="120" w:after="0"/>
        <w:rPr>
          <w:rFonts w:cs="Arial"/>
        </w:rPr>
      </w:pPr>
      <w:r>
        <w:rPr>
          <w:rFonts w:cs="Arial"/>
        </w:rPr>
        <w:t xml:space="preserve">Experience of analysing government policy / national developments, across the scope of funding landscape and communicating implications to key partners. </w:t>
      </w:r>
    </w:p>
    <w:p>
      <w:pPr>
        <w:pStyle w:val="Normal"/>
        <w:widowControl/>
        <w:numPr>
          <w:ilvl w:val="0"/>
          <w:numId w:val="5"/>
        </w:numPr>
        <w:spacing w:lineRule="auto" w:line="240" w:before="120" w:after="0"/>
        <w:rPr>
          <w:rFonts w:cs="Arial"/>
        </w:rPr>
      </w:pPr>
      <w:r>
        <w:rPr>
          <w:rFonts w:cs="Arial"/>
        </w:rPr>
        <w:t>Proven ability to influence and develop joint objectives with senior stakeholders and decision makers to collaboratively achieve GMCA’s objectives through partnership working.</w:t>
      </w:r>
    </w:p>
    <w:p>
      <w:pPr>
        <w:pStyle w:val="Normal"/>
        <w:spacing w:before="120" w:after="240"/>
        <w:rPr>
          <w:rFonts w:cs="Arial"/>
          <w:highlight w:val="yellow"/>
        </w:rPr>
      </w:pPr>
      <w:r>
        <w:rPr>
          <w:rFonts w:cs="Arial"/>
          <w:highlight w:val="yellow"/>
        </w:rPr>
      </w:r>
    </w:p>
    <w:p>
      <w:pPr>
        <w:pStyle w:val="Normal"/>
        <w:spacing w:before="120" w:after="240"/>
        <w:rPr>
          <w:rFonts w:cs="Arial"/>
          <w:b/>
          <w:b/>
          <w:lang w:eastAsia="en-GB"/>
        </w:rPr>
      </w:pPr>
      <w:r>
        <w:rPr>
          <w:rFonts w:cs="Arial"/>
          <w:b/>
          <w:lang w:eastAsia="en-GB"/>
        </w:rPr>
        <w:t>Knowledge and Skills</w:t>
      </w:r>
    </w:p>
    <w:p>
      <w:pPr>
        <w:pStyle w:val="ListParagraph"/>
        <w:widowControl/>
        <w:numPr>
          <w:ilvl w:val="0"/>
          <w:numId w:val="5"/>
        </w:numPr>
        <w:spacing w:lineRule="auto" w:line="240" w:before="120" w:after="0"/>
        <w:rPr/>
      </w:pPr>
      <w:r>
        <w:rPr>
          <w:szCs w:val="24"/>
        </w:rPr>
        <w:t xml:space="preserve">Ability to work at a </w:t>
      </w:r>
      <w:r>
        <w:rPr>
          <w:b/>
          <w:szCs w:val="24"/>
        </w:rPr>
        <w:t>senior level in a complex environment</w:t>
      </w:r>
      <w:r>
        <w:rPr>
          <w:szCs w:val="24"/>
        </w:rPr>
        <w:t xml:space="preserve"> building and driving effective relationships with multiple stakeholders from different organisations and cultures, taking lead responsibility for ensuring commitments are followed through and impact delivered.</w:t>
      </w:r>
    </w:p>
    <w:p>
      <w:pPr>
        <w:pStyle w:val="Normal"/>
        <w:widowControl/>
        <w:numPr>
          <w:ilvl w:val="0"/>
          <w:numId w:val="5"/>
        </w:numPr>
        <w:spacing w:lineRule="auto" w:line="240" w:before="120" w:after="0"/>
        <w:rPr/>
      </w:pPr>
      <w:r>
        <w:rPr>
          <w:rFonts w:cs="Arial"/>
          <w:b/>
        </w:rPr>
        <w:t>Strategic thinking and planning:</w:t>
      </w:r>
      <w:r>
        <w:rPr>
          <w:rFonts w:cs="Arial"/>
        </w:rPr>
        <w:t xml:space="preserve"> able to work collaboratively to translate strategic and conceptual thinking into tangible proposals and objectives and practical well organised plans. </w:t>
      </w:r>
    </w:p>
    <w:p>
      <w:pPr>
        <w:pStyle w:val="Normal"/>
        <w:widowControl/>
        <w:numPr>
          <w:ilvl w:val="0"/>
          <w:numId w:val="5"/>
        </w:numPr>
        <w:spacing w:lineRule="auto" w:line="240" w:before="120" w:after="0"/>
        <w:rPr/>
      </w:pPr>
      <w:r>
        <w:rPr>
          <w:rFonts w:cs="Arial"/>
          <w:b/>
        </w:rPr>
        <w:t>Programme Management:</w:t>
      </w:r>
      <w:r>
        <w:rPr>
          <w:rFonts w:cs="Arial"/>
        </w:rPr>
        <w:t xml:space="preserve"> able to define, document and manage through to implementation multiple, complex projects with significant business impact, and high-risk dependencies.</w:t>
      </w:r>
    </w:p>
    <w:p>
      <w:pPr>
        <w:pStyle w:val="Normal"/>
        <w:widowControl/>
        <w:numPr>
          <w:ilvl w:val="0"/>
          <w:numId w:val="5"/>
        </w:numPr>
        <w:spacing w:lineRule="auto" w:line="240" w:before="120" w:after="0"/>
        <w:rPr/>
      </w:pPr>
      <w:r>
        <w:rPr>
          <w:rFonts w:cs="Arial"/>
          <w:b/>
        </w:rPr>
        <w:t>Contract management:</w:t>
      </w:r>
      <w:r>
        <w:rPr>
          <w:rFonts w:cs="Arial"/>
        </w:rPr>
        <w:t xml:space="preserve"> including an understanding of the requirements of Government funded and activity</w:t>
      </w:r>
    </w:p>
    <w:p>
      <w:pPr>
        <w:pStyle w:val="Normal"/>
        <w:widowControl/>
        <w:numPr>
          <w:ilvl w:val="0"/>
          <w:numId w:val="5"/>
        </w:numPr>
        <w:spacing w:lineRule="auto" w:line="240" w:before="120" w:after="0"/>
        <w:rPr/>
      </w:pPr>
      <w:r>
        <w:rPr>
          <w:rFonts w:cs="Arial"/>
          <w:b/>
        </w:rPr>
        <w:t>Communication and Influence:</w:t>
      </w:r>
      <w:r>
        <w:rPr>
          <w:rFonts w:cs="Arial"/>
        </w:rPr>
        <w:t xml:space="preserve"> ability to influence and persuade internal or external stakeholders, securing and directing necessary commitment and resources to deliver results. </w:t>
      </w:r>
    </w:p>
    <w:p>
      <w:pPr>
        <w:pStyle w:val="Normal"/>
        <w:widowControl/>
        <w:numPr>
          <w:ilvl w:val="0"/>
          <w:numId w:val="5"/>
        </w:numPr>
        <w:spacing w:lineRule="auto" w:line="240" w:before="120" w:after="0"/>
        <w:rPr/>
      </w:pPr>
      <w:r>
        <w:rPr>
          <w:rFonts w:cs="Arial"/>
          <w:b/>
        </w:rPr>
        <w:t>Commissioning Skills</w:t>
      </w:r>
      <w:r>
        <w:rPr>
          <w:rFonts w:cs="Arial"/>
        </w:rPr>
        <w:t>: demonstrates sound business intelligence and ability to identify commercially viable opportunities and secure value for money in product and service delivery.</w:t>
      </w:r>
    </w:p>
    <w:p>
      <w:pPr>
        <w:pStyle w:val="Normal"/>
        <w:widowControl/>
        <w:numPr>
          <w:ilvl w:val="0"/>
          <w:numId w:val="5"/>
        </w:numPr>
        <w:spacing w:lineRule="auto" w:line="240" w:before="120" w:after="0"/>
        <w:rPr/>
      </w:pPr>
      <w:r>
        <w:rPr>
          <w:rFonts w:cs="Arial"/>
          <w:b/>
        </w:rPr>
        <w:t>Analytical Skills:</w:t>
      </w:r>
      <w:r>
        <w:rPr>
          <w:rFonts w:cs="Arial"/>
        </w:rPr>
        <w:t xml:space="preserve"> Ability to review and interpret research, evidence, policy and strategy and synthesise for a range of audiences in a range of formats.</w:t>
      </w:r>
    </w:p>
    <w:p>
      <w:pPr>
        <w:pStyle w:val="Normal"/>
        <w:widowControl/>
        <w:numPr>
          <w:ilvl w:val="0"/>
          <w:numId w:val="5"/>
        </w:numPr>
        <w:spacing w:lineRule="auto" w:line="240" w:before="120" w:after="0"/>
        <w:rPr/>
      </w:pPr>
      <w:r>
        <w:rPr>
          <w:rFonts w:cs="Arial"/>
          <w:b/>
        </w:rPr>
        <w:t>Financial Management:</w:t>
      </w:r>
      <w:r>
        <w:rPr>
          <w:rFonts w:cs="Arial"/>
        </w:rPr>
        <w:t xml:space="preserve"> excellent financial planning skills to develop short, medium and long term financial plans with an ability to budget proactively. </w:t>
      </w:r>
    </w:p>
    <w:p>
      <w:pPr>
        <w:pStyle w:val="Normal"/>
        <w:widowControl/>
        <w:numPr>
          <w:ilvl w:val="0"/>
          <w:numId w:val="5"/>
        </w:numPr>
        <w:spacing w:lineRule="auto" w:line="240" w:before="120" w:after="0"/>
        <w:rPr/>
      </w:pPr>
      <w:r>
        <w:rPr>
          <w:rFonts w:cs="Arial"/>
          <w:b/>
        </w:rPr>
        <w:t>Excellent written, IT and presentation skills:</w:t>
      </w:r>
      <w:r>
        <w:rPr>
          <w:rFonts w:cs="Arial"/>
        </w:rPr>
        <w:t xml:space="preserve"> capable of constructing and delivering clear ideas and concepts concisely and accurately for diverse audiences. </w:t>
      </w:r>
    </w:p>
    <w:p>
      <w:pPr>
        <w:pStyle w:val="Normal"/>
        <w:widowControl/>
        <w:numPr>
          <w:ilvl w:val="0"/>
          <w:numId w:val="5"/>
        </w:numPr>
        <w:spacing w:lineRule="auto" w:line="240" w:before="120" w:after="0"/>
        <w:rPr/>
      </w:pPr>
      <w:r>
        <w:rPr>
          <w:rFonts w:cs="Arial"/>
        </w:rPr>
        <w:t xml:space="preserve">Knowledge and awareness of the </w:t>
      </w:r>
      <w:r>
        <w:rPr>
          <w:rFonts w:cs="Arial"/>
          <w:b/>
        </w:rPr>
        <w:t>current opportunities and issues facing local government and the wider public sector.</w:t>
      </w:r>
    </w:p>
    <w:p>
      <w:pPr>
        <w:pStyle w:val="Normal"/>
        <w:widowControl/>
        <w:numPr>
          <w:ilvl w:val="0"/>
          <w:numId w:val="5"/>
        </w:numPr>
        <w:spacing w:lineRule="auto" w:line="240" w:before="120" w:after="0"/>
        <w:rPr/>
      </w:pPr>
      <w:r>
        <w:rPr>
          <w:rFonts w:cs="Arial"/>
          <w:b/>
        </w:rPr>
        <w:t>Personally well organised</w:t>
      </w:r>
      <w:r>
        <w:rPr>
          <w:rFonts w:cs="Arial"/>
        </w:rPr>
        <w:t xml:space="preserve"> with the ability to identify and work to priorities. </w:t>
      </w:r>
    </w:p>
    <w:p>
      <w:pPr>
        <w:pStyle w:val="ListParagraph"/>
        <w:numPr>
          <w:ilvl w:val="0"/>
          <w:numId w:val="5"/>
        </w:numPr>
        <w:spacing w:lineRule="auto" w:line="240" w:before="120" w:after="0"/>
        <w:rPr>
          <w:color w:val="auto"/>
          <w:szCs w:val="24"/>
        </w:rPr>
      </w:pPr>
      <w:r>
        <w:rPr>
          <w:color w:val="auto"/>
          <w:szCs w:val="24"/>
        </w:rPr>
        <w:t>Strong management and leadership skills</w:t>
      </w:r>
    </w:p>
    <w:p>
      <w:pPr>
        <w:pStyle w:val="ListParagraph"/>
        <w:numPr>
          <w:ilvl w:val="0"/>
          <w:numId w:val="5"/>
        </w:numPr>
        <w:spacing w:lineRule="auto" w:line="240" w:before="120" w:after="0"/>
        <w:rPr>
          <w:color w:val="auto"/>
          <w:szCs w:val="24"/>
        </w:rPr>
      </w:pPr>
      <w:r>
        <w:rPr>
          <w:color w:val="auto"/>
          <w:szCs w:val="24"/>
        </w:rPr>
        <w:t>To be willing to work flexibly as occasional evening and weekend working may be required</w:t>
      </w:r>
    </w:p>
    <w:p>
      <w:pPr>
        <w:pStyle w:val="ListParagraph"/>
        <w:numPr>
          <w:ilvl w:val="0"/>
          <w:numId w:val="5"/>
        </w:numPr>
        <w:spacing w:lineRule="auto" w:line="240" w:before="120" w:after="0"/>
        <w:rPr>
          <w:color w:val="auto"/>
          <w:szCs w:val="24"/>
        </w:rPr>
      </w:pPr>
      <w:r>
        <w:rPr>
          <w:color w:val="auto"/>
          <w:szCs w:val="24"/>
        </w:rPr>
        <w:t>Willingness and ability to travel across the county when required, within a reasonable time to meet the role demands (individuals providing their own vehicle for use will be eligible for casual car user rate).</w:t>
      </w:r>
    </w:p>
    <w:p>
      <w:pPr>
        <w:pStyle w:val="ListParagraph"/>
        <w:numPr>
          <w:ilvl w:val="0"/>
          <w:numId w:val="5"/>
        </w:numPr>
        <w:spacing w:lineRule="auto" w:line="240" w:before="120" w:after="0"/>
        <w:rPr>
          <w:color w:val="auto"/>
          <w:szCs w:val="24"/>
        </w:rPr>
      </w:pPr>
      <w:r>
        <w:rPr>
          <w:color w:val="auto"/>
          <w:szCs w:val="24"/>
        </w:rPr>
        <w:t>Willingness to travel nationally as required.</w:t>
      </w:r>
    </w:p>
    <w:p>
      <w:pPr>
        <w:pStyle w:val="Heading2"/>
        <w:shd w:fill="004F6E" w:val="clear"/>
        <w:rPr>
          <w:rFonts w:cs="Arial"/>
          <w:sz w:val="22"/>
          <w:szCs w:val="22"/>
        </w:rPr>
      </w:pPr>
      <w:r>
        <w:rPr>
          <w:rFonts w:cs="Arial"/>
          <w:sz w:val="22"/>
          <w:szCs w:val="22"/>
        </w:rPr>
        <w:t>Corporate Duties</w:t>
      </w:r>
    </w:p>
    <w:p>
      <w:pPr>
        <w:pStyle w:val="Normal"/>
        <w:rPr/>
      </w:pPr>
      <w:r>
        <w:rPr/>
        <w:t>Do not behave in way which discriminates against your fellow employees, or potential employees on the grounds of their sex, sexual orientation, marital status, race, religion, creed, colour, nationality, ethnic origin or disability.</w:t>
      </w:r>
    </w:p>
    <w:p>
      <w:pPr>
        <w:pStyle w:val="Normal"/>
        <w:rPr/>
      </w:pPr>
      <w:r>
        <w:rPr/>
        <w:t>Safeguard at all times confidentiality of information relating to staff and pensioners.  Refrain from smoking in any areas of Service premises.</w:t>
      </w:r>
    </w:p>
    <w:p>
      <w:pPr>
        <w:pStyle w:val="Normal"/>
        <w:rPr/>
      </w:pPr>
      <w:r>
        <w:rPr/>
        <w:t>Behave in a manner that ensures the security of property and resources. Abide by all relevant Service Policies and Procedures.</w:t>
      </w:r>
    </w:p>
    <w:p>
      <w:pPr>
        <w:pStyle w:val="Normal"/>
        <w:rPr/>
      </w:pPr>
      <w:r>
        <w:rPr/>
        <w:t>Records Management / Data Protection - As an employee of the GMCA, you have a legal responsibility for all records (including employee health, financial, personal and administrative) that you gather or use as part of your work with the Service. The records may be paper, electronic, audio or videotapes. You must consult your manager if you have any doubt as to the correct management of the records with which you work.</w:t>
      </w:r>
    </w:p>
    <w:p>
      <w:pPr>
        <w:pStyle w:val="Normal"/>
        <w:rPr/>
      </w:pPr>
      <w:r>
        <w:rPr/>
        <w:t>Confidentiality and Information Security - As a GMCA employee you are required to uphold the confidentiality of all records held by the GMCA, whether employee records or GMCA information. This duty lasts indefinitely and will continue after you leave the GMCA employment. All employees must maintain confidentiality and abide by the Data Protection Act.</w:t>
      </w:r>
    </w:p>
    <w:p>
      <w:pPr>
        <w:pStyle w:val="Normal"/>
        <w:rPr/>
      </w:pPr>
      <w:r>
        <w:rPr/>
        <w:t>Data Quality - All staff are personally responsible 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 To ensure data is handled in a secure manner protecting the confidentiality of any personal data held in meeting the requirements of the Data Protection Act.</w:t>
      </w:r>
    </w:p>
    <w:p>
      <w:pPr>
        <w:pStyle w:val="Normal"/>
        <w:rPr/>
      </w:pPr>
      <w:r>
        <w:rPr/>
        <w:t>Health and Safety - All employees of GMCA have a statutory duty of care for their own personal safety and that of others who may be affected by their acts or omissions. Employees are required to co-operate with management to enable GMCA to meet its own legal duties and to report any circumstances that may compromise the health, safety and welfare of those affected by the Service’s undertakings.</w:t>
      </w:r>
    </w:p>
    <w:p>
      <w:pPr>
        <w:pStyle w:val="Normal"/>
        <w:rPr/>
      </w:pPr>
      <w:r>
        <w:rPr/>
        <w:t>Service Policies - All GMCA employees must observe and adhere to the provisions outlined in these policies.</w:t>
      </w:r>
    </w:p>
    <w:p>
      <w:pPr>
        <w:pStyle w:val="Normal"/>
        <w:widowControl w:val="false"/>
        <w:bidi w:val="0"/>
        <w:spacing w:lineRule="auto" w:line="360" w:before="0" w:after="240"/>
        <w:jc w:val="left"/>
        <w:rPr/>
      </w:pPr>
      <w:r>
        <w:rPr/>
        <w:t>Equal Opportunities - 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2"/>
      <w:headerReference w:type="first" r:id="rId3"/>
      <w:footerReference w:type="default" r:id="rId4"/>
      <w:footerReference w:type="first" r:id="rId5"/>
      <w:type w:val="nextPage"/>
      <w:pgSz w:w="11906" w:h="16850"/>
      <w:pgMar w:left="1276" w:right="1410" w:header="709" w:top="1560" w:footer="0" w:bottom="993"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 w:val="22"/>
        <w:rFonts w:cs="Symbol"/>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2"/>
        <w:rFonts w:cs="Symbol"/>
        <w:color w:val="auto"/>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2"/>
        <w:rFonts w:cs="Symbol"/>
        <w:color w:val="auto"/>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ind w:left="1080" w:hanging="360"/>
      </w:pPr>
      <w:rPr>
        <w:rFonts w:ascii="Symbol" w:hAnsi="Symbol" w:cs="Symbol" w:hint="default"/>
        <w:szCs w:val="24"/>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szCs w:val="24"/>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szCs w:val="24"/>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paragraph" w:styleId="Heading4">
    <w:name w:val="Heading 4"/>
    <w:basedOn w:val="Normal"/>
    <w:next w:val="Normal"/>
    <w:qFormat/>
    <w:pPr>
      <w:keepNext w:val="true"/>
      <w:keepLines/>
      <w:numPr>
        <w:ilvl w:val="3"/>
        <w:numId w:val="1"/>
      </w:numPr>
      <w:spacing w:before="40" w:after="0"/>
      <w:outlineLvl w:val="3"/>
    </w:pPr>
    <w:rPr>
      <w:rFonts w:ascii="Cambria" w:hAnsi="Cambria" w:eastAsia="" w:cs=""/>
      <w:i/>
      <w:iCs/>
      <w:color w:val="213B47"/>
    </w:rPr>
  </w:style>
  <w:style w:type="paragraph" w:styleId="Heading5">
    <w:name w:val="Heading 5"/>
    <w:basedOn w:val="Normal"/>
    <w:next w:val="Normal"/>
    <w:qFormat/>
    <w:pPr>
      <w:keepNext w:val="true"/>
      <w:keepLines/>
      <w:numPr>
        <w:ilvl w:val="4"/>
        <w:numId w:val="1"/>
      </w:numPr>
      <w:spacing w:before="40" w:after="0"/>
      <w:outlineLvl w:val="4"/>
    </w:pPr>
    <w:rPr>
      <w:rFonts w:ascii="Cambria" w:hAnsi="Cambria" w:eastAsia="" w:cs=""/>
      <w:color w:val="213B47"/>
    </w:rPr>
  </w:style>
  <w:style w:type="paragraph" w:styleId="Heading6">
    <w:name w:val="Heading 6"/>
    <w:basedOn w:val="Normal"/>
    <w:next w:val="Normal"/>
    <w:qFormat/>
    <w:pPr>
      <w:keepNext w:val="true"/>
      <w:keepLines/>
      <w:numPr>
        <w:ilvl w:val="5"/>
        <w:numId w:val="1"/>
      </w:numPr>
      <w:spacing w:before="40" w:after="0"/>
      <w:outlineLvl w:val="5"/>
    </w:pPr>
    <w:rPr>
      <w:rFonts w:ascii="Cambria" w:hAnsi="Cambria" w:eastAsia="" w:cs=""/>
      <w:color w:val="16272F"/>
    </w:rPr>
  </w:style>
  <w:style w:type="paragraph" w:styleId="Heading7">
    <w:name w:val="Heading 7"/>
    <w:basedOn w:val="Normal"/>
    <w:next w:val="Normal"/>
    <w:qFormat/>
    <w:pPr>
      <w:keepNext w:val="true"/>
      <w:keepLines/>
      <w:numPr>
        <w:ilvl w:val="6"/>
        <w:numId w:val="1"/>
      </w:numPr>
      <w:spacing w:before="40" w:after="0"/>
      <w:outlineLvl w:val="6"/>
    </w:pPr>
    <w:rPr>
      <w:rFonts w:ascii="Cambria" w:hAnsi="Cambria" w:eastAsia="" w:cs=""/>
      <w:i/>
      <w:iCs/>
      <w:color w:val="16272F"/>
    </w:rPr>
  </w:style>
  <w:style w:type="paragraph" w:styleId="Heading8">
    <w:name w:val="Heading 8"/>
    <w:basedOn w:val="Normal"/>
    <w:next w:val="Normal"/>
    <w:qFormat/>
    <w:pPr>
      <w:keepNext w:val="true"/>
      <w:keepLines/>
      <w:numPr>
        <w:ilvl w:val="7"/>
        <w:numId w:val="1"/>
      </w:numPr>
      <w:spacing w:before="40" w:after="0"/>
      <w:outlineLvl w:val="7"/>
    </w:pPr>
    <w:rPr>
      <w:rFonts w:ascii="Cambria" w:hAnsi="Cambria" w:eastAsia="" w:cs=""/>
      <w:color w:val="272727"/>
      <w:sz w:val="21"/>
      <w:szCs w:val="21"/>
    </w:rPr>
  </w:style>
  <w:style w:type="paragraph" w:styleId="Heading9">
    <w:name w:val="Heading 9"/>
    <w:basedOn w:val="Normal"/>
    <w:next w:val="Normal"/>
    <w:qFormat/>
    <w:pPr>
      <w:keepNext w:val="true"/>
      <w:keepLines/>
      <w:numPr>
        <w:ilvl w:val="8"/>
        <w:numId w:val="1"/>
      </w:numPr>
      <w:spacing w:before="40" w:after="0"/>
      <w:outlineLvl w:val="8"/>
    </w:pPr>
    <w:rPr>
      <w:rFonts w:ascii="Cambria" w:hAnsi="Cambria" w:eastAsia="" w:cs=""/>
      <w:i/>
      <w:iCs/>
      <w:color w:val="272727"/>
      <w:sz w:val="21"/>
      <w:szCs w:val="21"/>
    </w:rPr>
  </w:style>
  <w:style w:type="character" w:styleId="WW8Num1z0">
    <w:name w:val="WW8Num1z0"/>
    <w:qFormat/>
    <w:rPr>
      <w:rFonts w:ascii="Symbol" w:hAnsi="Symbol" w:cs="Symbol"/>
      <w:color w:val="auto"/>
      <w:sz w:val="22"/>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Cs w:val="24"/>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Cs w:val="24"/>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basedOn w:val="DefaultParagraphFont"/>
    <w:qFormat/>
    <w:rPr>
      <w:rFonts w:ascii="Arial" w:hAnsi="Arial" w:eastAsia="Calibri" w:cs="Calibri"/>
      <w:color w:val="262626"/>
      <w:sz w:val="24"/>
      <w:lang w:val="en-GB"/>
    </w:rPr>
  </w:style>
  <w:style w:type="character" w:styleId="BookTitle">
    <w:name w:val="Book Title"/>
    <w:basedOn w:val="DefaultParagraphFont"/>
    <w:qFormat/>
    <w:rPr>
      <w:b/>
      <w:bCs/>
      <w:i/>
      <w:iCs/>
      <w:spacing w:val="5"/>
    </w:rPr>
  </w:style>
  <w:style w:type="character" w:styleId="Emphasis">
    <w:name w:val="Emphasis"/>
    <w:basedOn w:val="DefaultParagraphFont"/>
    <w:qFormat/>
    <w:rPr>
      <w:i/>
      <w:iCs/>
    </w:rPr>
  </w:style>
  <w:style w:type="character" w:styleId="Heading4Char">
    <w:name w:val="Heading 4 Char"/>
    <w:basedOn w:val="DefaultParagraphFont"/>
    <w:qFormat/>
    <w:rPr>
      <w:rFonts w:ascii="Cambria" w:hAnsi="Cambria" w:eastAsia="" w:cs=""/>
      <w:i/>
      <w:iCs/>
      <w:color w:val="213B47"/>
      <w:sz w:val="24"/>
      <w:lang w:val="en-GB"/>
    </w:rPr>
  </w:style>
  <w:style w:type="character" w:styleId="Heading5Char">
    <w:name w:val="Heading 5 Char"/>
    <w:basedOn w:val="DefaultParagraphFont"/>
    <w:qFormat/>
    <w:rPr>
      <w:rFonts w:ascii="Cambria" w:hAnsi="Cambria" w:eastAsia="" w:cs=""/>
      <w:color w:val="213B47"/>
      <w:sz w:val="24"/>
      <w:lang w:val="en-GB"/>
    </w:rPr>
  </w:style>
  <w:style w:type="character" w:styleId="Heading6Char">
    <w:name w:val="Heading 6 Char"/>
    <w:basedOn w:val="DefaultParagraphFont"/>
    <w:qFormat/>
    <w:rPr>
      <w:rFonts w:ascii="Cambria" w:hAnsi="Cambria" w:eastAsia="" w:cs=""/>
      <w:color w:val="16272F"/>
      <w:sz w:val="24"/>
      <w:lang w:val="en-GB"/>
    </w:rPr>
  </w:style>
  <w:style w:type="character" w:styleId="Heading7Char">
    <w:name w:val="Heading 7 Char"/>
    <w:basedOn w:val="DefaultParagraphFont"/>
    <w:qFormat/>
    <w:rPr>
      <w:rFonts w:ascii="Cambria" w:hAnsi="Cambria" w:eastAsia="" w:cs=""/>
      <w:i/>
      <w:iCs/>
      <w:color w:val="16272F"/>
      <w:sz w:val="24"/>
      <w:lang w:val="en-GB"/>
    </w:rPr>
  </w:style>
  <w:style w:type="character" w:styleId="Heading8Char">
    <w:name w:val="Heading 8 Char"/>
    <w:basedOn w:val="DefaultParagraphFont"/>
    <w:qFormat/>
    <w:rPr>
      <w:rFonts w:ascii="Cambria" w:hAnsi="Cambria" w:eastAsia="" w:cs=""/>
      <w:color w:val="272727"/>
      <w:sz w:val="21"/>
      <w:szCs w:val="21"/>
      <w:lang w:val="en-GB"/>
    </w:rPr>
  </w:style>
  <w:style w:type="character" w:styleId="Heading9Char">
    <w:name w:val="Heading 9 Char"/>
    <w:basedOn w:val="DefaultParagraphFont"/>
    <w:qFormat/>
    <w:rPr>
      <w:rFonts w:ascii="Cambria" w:hAnsi="Cambria" w:eastAsia="" w:cs=""/>
      <w:i/>
      <w:iCs/>
      <w:color w:val="272727"/>
      <w:sz w:val="21"/>
      <w:szCs w:val="21"/>
      <w:lang w:val="en-GB"/>
    </w:rPr>
  </w:style>
  <w:style w:type="character" w:styleId="IntenseEmphasis">
    <w:name w:val="Intense Emphasis"/>
    <w:basedOn w:val="DefaultParagraphFont"/>
    <w:qFormat/>
    <w:rPr>
      <w:i/>
      <w:iCs/>
      <w:color w:val="2C5060"/>
    </w:rPr>
  </w:style>
  <w:style w:type="character" w:styleId="IntenseQuoteChar">
    <w:name w:val="Intense Quote Char"/>
    <w:basedOn w:val="DefaultParagraphFont"/>
    <w:qFormat/>
    <w:rPr>
      <w:rFonts w:ascii="Arial" w:hAnsi="Arial" w:eastAsia="Calibri" w:cs="Calibri"/>
      <w:i/>
      <w:iCs/>
      <w:color w:val="2C5060"/>
      <w:sz w:val="24"/>
      <w:lang w:val="en-GB"/>
    </w:rPr>
  </w:style>
  <w:style w:type="character" w:styleId="IntenseReference">
    <w:name w:val="Intense Reference"/>
    <w:basedOn w:val="DefaultParagraphFont"/>
    <w:qFormat/>
    <w:rPr>
      <w:b/>
      <w:bCs/>
      <w:smallCaps/>
      <w:color w:val="2C5060"/>
      <w:spacing w:val="5"/>
    </w:rPr>
  </w:style>
  <w:style w:type="character" w:styleId="QuoteChar">
    <w:name w:val="Quote Char"/>
    <w:basedOn w:val="DefaultParagraphFont"/>
    <w:qFormat/>
    <w:rPr>
      <w:rFonts w:ascii="Arial" w:hAnsi="Arial" w:eastAsia="Calibri" w:cs="Calibri"/>
      <w:i/>
      <w:iCs/>
      <w:color w:val="404040"/>
      <w:sz w:val="24"/>
      <w:lang w:val="en-GB"/>
    </w:rPr>
  </w:style>
  <w:style w:type="character" w:styleId="SubtitleChar">
    <w:name w:val="Subtitle Char"/>
    <w:basedOn w:val="DefaultParagraphFont"/>
    <w:qFormat/>
    <w:rPr>
      <w:rFonts w:eastAsia=""/>
      <w:color w:val="5A5A5A"/>
      <w:spacing w:val="15"/>
      <w:lang w:val="en-GB"/>
    </w:rPr>
  </w:style>
  <w:style w:type="character" w:styleId="SubtleEmphasis">
    <w:name w:val="Subtle Emphasis"/>
    <w:basedOn w:val="DefaultParagraphFont"/>
    <w:qFormat/>
    <w:rPr>
      <w:i/>
      <w:iCs/>
      <w:color w:val="404040"/>
    </w:rPr>
  </w:style>
  <w:style w:type="character" w:styleId="SubtleReference">
    <w:name w:val="Subtle Reference"/>
    <w:basedOn w:val="DefaultParagraphFont"/>
    <w:qFormat/>
    <w:rPr>
      <w:smallCaps/>
      <w:color w:val="5A5A5A"/>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ind w:left="993" w:right="0" w:hanging="633"/>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Caption1">
    <w:name w:val="caption"/>
    <w:basedOn w:val="Normal"/>
    <w:next w:val="Normal"/>
    <w:qFormat/>
    <w:pPr>
      <w:spacing w:lineRule="auto" w:line="240" w:before="0" w:after="200"/>
    </w:pPr>
    <w:rPr>
      <w:i/>
      <w:iCs/>
      <w:color w:val="44546A"/>
      <w:sz w:val="18"/>
      <w:szCs w:val="18"/>
    </w:rPr>
  </w:style>
  <w:style w:type="paragraph" w:styleId="IntenseQuote">
    <w:name w:val="Intense Quote"/>
    <w:basedOn w:val="Normal"/>
    <w:next w:val="Normal"/>
    <w:qFormat/>
    <w:pPr>
      <w:pBdr>
        <w:top w:val="single" w:sz="4" w:space="10" w:color="2C5060"/>
        <w:bottom w:val="single" w:sz="4" w:space="10" w:color="2C5060"/>
      </w:pBdr>
      <w:spacing w:before="360" w:after="360"/>
      <w:ind w:left="864" w:right="864" w:hanging="0"/>
      <w:jc w:val="center"/>
    </w:pPr>
    <w:rPr>
      <w:i/>
      <w:iCs/>
      <w:color w:val="2C5060"/>
    </w:rPr>
  </w:style>
  <w:style w:type="paragraph" w:styleId="NoSpacing">
    <w:name w:val="No Spacing"/>
    <w:qFormat/>
    <w:pPr>
      <w:widowControl w:val="false"/>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Quote">
    <w:name w:val="Quote"/>
    <w:basedOn w:val="Normal"/>
    <w:next w:val="Normal"/>
    <w:qFormat/>
    <w:pPr>
      <w:spacing w:before="200" w:after="160"/>
      <w:ind w:left="864" w:right="864" w:hanging="0"/>
      <w:jc w:val="center"/>
    </w:pPr>
    <w:rPr>
      <w:i/>
      <w:iCs/>
      <w:color w:val="404040"/>
    </w:rPr>
  </w:style>
  <w:style w:type="paragraph" w:styleId="Subtitle">
    <w:name w:val="Subtitle"/>
    <w:basedOn w:val="Normal"/>
    <w:next w:val="Normal"/>
    <w:qFormat/>
    <w:pPr>
      <w:spacing w:before="0" w:after="160"/>
    </w:pPr>
    <w:rPr>
      <w:rFonts w:ascii="Calibri" w:hAnsi="Calibri" w:eastAsia="" w:cs=""/>
      <w:color w:val="5A5A5A"/>
      <w:spacing w:val="15"/>
      <w:sz w:val="22"/>
    </w:rPr>
  </w:style>
  <w:style w:type="paragraph" w:styleId="TOCHeading">
    <w:name w:val="TOC Heading"/>
    <w:basedOn w:val="Heading1"/>
    <w:next w:val="Normal"/>
    <w:qFormat/>
    <w:pPr>
      <w:keepNext w:val="true"/>
      <w:keepLines/>
      <w:numPr>
        <w:ilvl w:val="0"/>
        <w:numId w:val="0"/>
      </w:numPr>
      <w:pBdr>
        <w:top w:val="nil"/>
        <w:left w:val="nil"/>
        <w:bottom w:val="nil"/>
        <w:right w:val="nil"/>
      </w:pBdr>
      <w:spacing w:lineRule="auto" w:line="360" w:before="240" w:after="0"/>
      <w:jc w:val="left"/>
    </w:pPr>
    <w:rPr>
      <w:rFonts w:ascii="Cambria" w:hAnsi="Cambria" w:eastAsia="" w:cs=""/>
      <w:b w:val="false"/>
      <w:bCs w:val="false"/>
      <w:color w:val="213B47"/>
      <w:sz w:val="32"/>
      <w:szCs w:val="32"/>
    </w:rPr>
  </w:style>
  <w:style w:type="paragraph" w:styleId="Body">
    <w:name w:val="Body"/>
    <w:qFormat/>
    <w:pPr>
      <w:widowControl/>
      <w:pBdr/>
      <w:suppressAutoHyphens w:val="true"/>
      <w:bidi w:val="0"/>
      <w:spacing w:before="0" w:after="0"/>
      <w:jc w:val="left"/>
    </w:pPr>
    <w:rPr>
      <w:rFonts w:ascii="Arial" w:hAnsi="Arial" w:eastAsia="Calibri" w:cs="Arial"/>
      <w:color w:val="000000"/>
      <w:kern w:val="0"/>
      <w:sz w:val="24"/>
      <w:szCs w:val="22"/>
      <w:u w:val="none" w:color="000000"/>
      <w:lang w:val="en-GB" w:eastAsia="en-US" w:bidi="ar-SA"/>
    </w:rPr>
  </w:style>
  <w:style w:type="paragraph" w:styleId="Paragraph">
    <w:name w:val="paragraph"/>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