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pBdr/>
        <w:ind w:left="0" w:right="261" w:hanging="0"/>
        <w:jc w:val="center"/>
        <w:rPr>
          <w:b/>
          <w:b/>
          <w:bCs/>
          <w:iCs/>
          <w:sz w:val="24"/>
          <w:szCs w:val="24"/>
        </w:rPr>
      </w:pPr>
      <w:r>
        <w:rPr/>
        <w:drawing>
          <wp:inline distT="0" distB="0" distL="0" distR="0">
            <wp:extent cx="5727700" cy="4692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4" r="-5" b="-54"/>
                    <a:stretch>
                      <a:fillRect/>
                    </a:stretch>
                  </pic:blipFill>
                  <pic:spPr bwMode="auto">
                    <a:xfrm>
                      <a:off x="0" y="0"/>
                      <a:ext cx="5727700" cy="469265"/>
                    </a:xfrm>
                    <a:prstGeom prst="rect">
                      <a:avLst/>
                    </a:prstGeom>
                  </pic:spPr>
                </pic:pic>
              </a:graphicData>
            </a:graphic>
          </wp:inline>
        </w:drawing>
      </w:r>
    </w:p>
    <w:p>
      <w:pPr>
        <w:pStyle w:val="Body"/>
        <w:pBdr/>
        <w:ind w:left="0" w:right="261" w:hanging="0"/>
        <w:rPr>
          <w:b/>
          <w:b/>
          <w:bCs/>
          <w:iCs/>
          <w:sz w:val="24"/>
          <w:szCs w:val="24"/>
        </w:rPr>
      </w:pPr>
      <w:r>
        <w:rPr>
          <w:b/>
          <w:bCs/>
          <w:iCs/>
          <w:sz w:val="24"/>
          <w:szCs w:val="24"/>
        </w:rPr>
      </w:r>
    </w:p>
    <w:p>
      <w:pPr>
        <w:pStyle w:val="Body"/>
        <w:pBdr/>
        <w:ind w:left="0" w:right="261" w:hanging="0"/>
        <w:jc w:val="center"/>
        <w:rPr>
          <w:b/>
          <w:b/>
          <w:bCs/>
          <w:iCs/>
          <w:sz w:val="16"/>
          <w:szCs w:val="16"/>
        </w:rPr>
      </w:pPr>
      <w:r>
        <w:rPr>
          <w:b/>
          <w:bCs/>
          <w:iCs/>
          <w:sz w:val="16"/>
          <w:szCs w:val="16"/>
        </w:rPr>
      </w:r>
    </w:p>
    <w:p>
      <w:pPr>
        <w:pStyle w:val="Body"/>
        <w:pBdr/>
        <w:ind w:left="0" w:right="261" w:hanging="0"/>
        <w:jc w:val="center"/>
        <w:rPr>
          <w:b/>
          <w:b/>
          <w:color w:val="auto"/>
          <w:sz w:val="36"/>
          <w:szCs w:val="36"/>
        </w:rPr>
      </w:pPr>
      <w:r>
        <w:rPr>
          <w:b/>
          <w:color w:val="auto"/>
          <w:sz w:val="36"/>
          <w:szCs w:val="36"/>
        </w:rPr>
        <w:t>Senior Quantity Surveyor</w:t>
      </w:r>
    </w:p>
    <w:p>
      <w:pPr>
        <w:pStyle w:val="Body"/>
        <w:pBdr/>
        <w:ind w:left="0" w:right="261" w:hanging="0"/>
        <w:jc w:val="center"/>
        <w:rPr>
          <w:b/>
          <w:b/>
          <w:sz w:val="16"/>
          <w:szCs w:val="16"/>
        </w:rPr>
      </w:pPr>
      <w:r>
        <w:rPr>
          <w:b/>
          <w:sz w:val="16"/>
          <w:szCs w:val="16"/>
        </w:rPr>
      </w:r>
    </w:p>
    <w:p>
      <w:pPr>
        <w:pStyle w:val="Body"/>
        <w:pBdr/>
        <w:ind w:left="0" w:right="261" w:hanging="0"/>
        <w:jc w:val="center"/>
        <w:rPr>
          <w:b/>
          <w:b/>
          <w:bCs/>
          <w:iCs/>
          <w:sz w:val="28"/>
          <w:szCs w:val="28"/>
        </w:rPr>
      </w:pPr>
      <w:r>
        <w:rPr>
          <w:b/>
          <w:bCs/>
          <w:iCs/>
          <w:sz w:val="28"/>
          <w:szCs w:val="28"/>
        </w:rPr>
        <w:t>Greater Manchester Combined Authority</w:t>
      </w:r>
    </w:p>
    <w:p>
      <w:pPr>
        <w:pStyle w:val="Body"/>
        <w:pBdr/>
        <w:ind w:left="0" w:right="261" w:hanging="0"/>
        <w:rPr>
          <w:b/>
          <w:b/>
          <w:bCs/>
          <w:iCs/>
          <w:sz w:val="16"/>
          <w:szCs w:val="16"/>
        </w:rPr>
      </w:pPr>
      <w:r>
        <w:rPr>
          <w:b/>
          <w:bCs/>
          <w:iCs/>
          <w:sz w:val="16"/>
          <w:szCs w:val="16"/>
        </w:rPr>
      </w:r>
    </w:p>
    <w:p>
      <w:pPr>
        <w:pStyle w:val="Body"/>
        <w:pBdr/>
        <w:ind w:left="0" w:right="261" w:hanging="0"/>
        <w:jc w:val="center"/>
        <w:rPr>
          <w:b/>
          <w:b/>
          <w:bCs/>
          <w:iCs/>
          <w:sz w:val="28"/>
          <w:szCs w:val="28"/>
        </w:rPr>
      </w:pPr>
      <w:r>
        <w:rPr>
          <w:b/>
          <w:bCs/>
          <w:iCs/>
          <w:sz w:val="28"/>
          <w:szCs w:val="28"/>
        </w:rPr>
        <w:t>Role Profile</w:t>
      </w:r>
    </w:p>
    <w:p>
      <w:pPr>
        <w:pStyle w:val="Body"/>
        <w:pBdr/>
        <w:ind w:left="0" w:right="261" w:hanging="0"/>
        <w:jc w:val="center"/>
        <w:rPr>
          <w:b/>
          <w:b/>
          <w:bCs/>
          <w:iCs/>
          <w:sz w:val="16"/>
          <w:szCs w:val="16"/>
        </w:rPr>
      </w:pPr>
      <w:r>
        <w:rPr>
          <w:b/>
          <w:bCs/>
          <w:iCs/>
          <w:sz w:val="16"/>
          <w:szCs w:val="16"/>
        </w:rPr>
      </w:r>
    </w:p>
    <w:tbl>
      <w:tblPr>
        <w:tblW w:w="10362" w:type="dxa"/>
        <w:jc w:val="center"/>
        <w:tblInd w:w="0" w:type="dxa"/>
        <w:tblCellMar>
          <w:top w:w="0" w:type="dxa"/>
          <w:left w:w="108" w:type="dxa"/>
          <w:bottom w:w="0" w:type="dxa"/>
          <w:right w:w="108" w:type="dxa"/>
        </w:tblCellMar>
      </w:tblPr>
      <w:tblGrid>
        <w:gridCol w:w="1531"/>
        <w:gridCol w:w="3758"/>
        <w:gridCol w:w="1928"/>
        <w:gridCol w:w="3145"/>
      </w:tblGrid>
      <w:tr>
        <w:trPr>
          <w:trHeight w:val="390" w:hRule="atLeast"/>
        </w:trPr>
        <w:tc>
          <w:tcPr>
            <w:tcW w:w="1531" w:type="dxa"/>
            <w:tcBorders>
              <w:top w:val="single" w:sz="4" w:space="0" w:color="000000"/>
              <w:left w:val="single" w:sz="6" w:space="0" w:color="000000"/>
              <w:bottom w:val="single" w:sz="4"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b/>
                <w:b/>
                <w:sz w:val="22"/>
                <w:szCs w:val="22"/>
                <w:lang w:val="en-GB"/>
              </w:rPr>
            </w:pPr>
            <w:r>
              <w:rPr>
                <w:rFonts w:cs="Arial" w:ascii="Arial" w:hAnsi="Arial"/>
                <w:b/>
                <w:sz w:val="22"/>
                <w:szCs w:val="22"/>
                <w:lang w:val="en-GB"/>
              </w:rPr>
              <w:t>Job Title:</w:t>
            </w:r>
          </w:p>
        </w:tc>
        <w:tc>
          <w:tcPr>
            <w:tcW w:w="3758" w:type="dxa"/>
            <w:tcBorders>
              <w:top w:val="single" w:sz="4" w:space="0" w:color="000000"/>
              <w:left w:val="single" w:sz="4" w:space="0" w:color="000000"/>
              <w:bottom w:val="single" w:sz="4" w:space="0" w:color="000000"/>
            </w:tcBorders>
            <w:shd w:fill="auto" w:val="clear"/>
            <w:vAlign w:val="center"/>
          </w:tcPr>
          <w:p>
            <w:pPr>
              <w:pStyle w:val="DefaultText1"/>
              <w:rPr>
                <w:rFonts w:ascii="Arial" w:hAnsi="Arial" w:cs="Arial"/>
                <w:sz w:val="22"/>
                <w:szCs w:val="22"/>
              </w:rPr>
            </w:pPr>
            <w:r>
              <w:rPr>
                <w:rFonts w:cs="Arial" w:ascii="Arial" w:hAnsi="Arial"/>
                <w:sz w:val="22"/>
                <w:szCs w:val="22"/>
              </w:rPr>
              <w:t>Senior Quantity Surveyor</w:t>
            </w:r>
          </w:p>
        </w:tc>
        <w:tc>
          <w:tcPr>
            <w:tcW w:w="1928" w:type="dxa"/>
            <w:tcBorders>
              <w:top w:val="single" w:sz="4" w:space="0" w:color="000000"/>
              <w:left w:val="single" w:sz="4" w:space="0" w:color="000000"/>
              <w:bottom w:val="single" w:sz="4"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b/>
                <w:b/>
                <w:sz w:val="22"/>
                <w:szCs w:val="22"/>
                <w:lang w:val="en-GB"/>
              </w:rPr>
            </w:pPr>
            <w:r>
              <w:rPr>
                <w:rFonts w:cs="Arial" w:ascii="Arial" w:hAnsi="Arial"/>
                <w:b/>
                <w:sz w:val="22"/>
                <w:szCs w:val="22"/>
                <w:lang w:val="en-GB"/>
              </w:rPr>
              <w:t>Date:</w:t>
            </w:r>
          </w:p>
        </w:tc>
        <w:tc>
          <w:tcPr>
            <w:tcW w:w="3145" w:type="dxa"/>
            <w:tcBorders>
              <w:top w:val="single" w:sz="4" w:space="0" w:color="000000"/>
              <w:left w:val="single" w:sz="4" w:space="0" w:color="000000"/>
              <w:bottom w:val="single" w:sz="4" w:space="0" w:color="000000"/>
              <w:right w:val="single" w:sz="6"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sz w:val="22"/>
                <w:szCs w:val="22"/>
                <w:lang w:val="en-GB"/>
              </w:rPr>
            </w:pPr>
            <w:r>
              <w:rPr>
                <w:rFonts w:cs="Arial" w:ascii="Arial" w:hAnsi="Arial"/>
                <w:sz w:val="22"/>
                <w:szCs w:val="22"/>
                <w:lang w:val="en-GB"/>
              </w:rPr>
              <w:t>July 2026</w:t>
            </w:r>
          </w:p>
          <w:p>
            <w:pPr>
              <w:pStyle w:val="Normal"/>
              <w:pBdr/>
              <w:tabs>
                <w:tab w:val="clear" w:pos="720"/>
                <w:tab w:val="left" w:pos="2047" w:leader="none"/>
                <w:tab w:val="left" w:pos="5589" w:leader="none"/>
                <w:tab w:val="left" w:pos="6300" w:leader="none"/>
                <w:tab w:val="left" w:pos="6583" w:leader="none"/>
              </w:tabs>
              <w:rPr>
                <w:rFonts w:ascii="Arial" w:hAnsi="Arial" w:eastAsia="Arial" w:cs="Arial"/>
                <w:sz w:val="22"/>
                <w:szCs w:val="22"/>
                <w:lang w:val="en-GB"/>
              </w:rPr>
            </w:pPr>
            <w:r>
              <w:rPr>
                <w:rFonts w:eastAsia="Arial" w:cs="Arial" w:ascii="Arial" w:hAnsi="Arial"/>
                <w:sz w:val="22"/>
                <w:szCs w:val="22"/>
                <w:lang w:val="en-GB"/>
              </w:rPr>
              <w:t xml:space="preserve"> </w:t>
            </w:r>
          </w:p>
        </w:tc>
      </w:tr>
      <w:tr>
        <w:trPr>
          <w:trHeight w:val="390" w:hRule="atLeast"/>
        </w:trPr>
        <w:tc>
          <w:tcPr>
            <w:tcW w:w="1531" w:type="dxa"/>
            <w:tcBorders>
              <w:top w:val="single" w:sz="4" w:space="0" w:color="000000"/>
              <w:left w:val="single" w:sz="6" w:space="0" w:color="000000"/>
              <w:bottom w:val="single" w:sz="4"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b/>
                <w:b/>
                <w:sz w:val="22"/>
                <w:szCs w:val="22"/>
                <w:lang w:val="en-GB"/>
              </w:rPr>
            </w:pPr>
            <w:r>
              <w:rPr>
                <w:rFonts w:cs="Arial" w:ascii="Arial" w:hAnsi="Arial"/>
                <w:b/>
                <w:sz w:val="22"/>
                <w:szCs w:val="22"/>
                <w:lang w:val="en-GB"/>
              </w:rPr>
              <w:t xml:space="preserve">Reporting Line: </w:t>
            </w:r>
          </w:p>
        </w:tc>
        <w:tc>
          <w:tcPr>
            <w:tcW w:w="3758" w:type="dxa"/>
            <w:tcBorders>
              <w:top w:val="single" w:sz="4" w:space="0" w:color="000000"/>
              <w:left w:val="single" w:sz="4" w:space="0" w:color="000000"/>
              <w:bottom w:val="single" w:sz="4" w:space="0" w:color="000000"/>
            </w:tcBorders>
            <w:shd w:fill="auto" w:val="clear"/>
            <w:vAlign w:val="center"/>
          </w:tcPr>
          <w:p>
            <w:pPr>
              <w:pStyle w:val="DefaultText1"/>
              <w:rPr>
                <w:rFonts w:ascii="Arial" w:hAnsi="Arial" w:cs="Arial"/>
                <w:color w:val="auto"/>
                <w:sz w:val="22"/>
                <w:szCs w:val="22"/>
                <w:lang w:val="en-GB"/>
              </w:rPr>
            </w:pPr>
            <w:r>
              <w:rPr>
                <w:rFonts w:cs="Arial" w:ascii="Arial" w:hAnsi="Arial"/>
                <w:color w:val="auto"/>
                <w:sz w:val="22"/>
                <w:szCs w:val="22"/>
                <w:lang w:val="en-GB"/>
              </w:rPr>
              <w:t>Strategic Transformation Lead</w:t>
            </w:r>
          </w:p>
        </w:tc>
        <w:tc>
          <w:tcPr>
            <w:tcW w:w="1928" w:type="dxa"/>
            <w:tcBorders>
              <w:top w:val="single" w:sz="4" w:space="0" w:color="000000"/>
              <w:left w:val="single" w:sz="4" w:space="0" w:color="000000"/>
              <w:bottom w:val="single" w:sz="4"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b/>
                <w:b/>
                <w:sz w:val="22"/>
                <w:szCs w:val="22"/>
                <w:lang w:val="en-GB"/>
              </w:rPr>
            </w:pPr>
            <w:r>
              <w:rPr>
                <w:rFonts w:cs="Arial" w:ascii="Arial" w:hAnsi="Arial"/>
                <w:b/>
                <w:sz w:val="22"/>
                <w:szCs w:val="22"/>
                <w:lang w:val="en-GB"/>
              </w:rPr>
              <w:t>Job Level:</w:t>
            </w:r>
          </w:p>
        </w:tc>
        <w:tc>
          <w:tcPr>
            <w:tcW w:w="3145" w:type="dxa"/>
            <w:tcBorders>
              <w:top w:val="single" w:sz="4" w:space="0" w:color="000000"/>
              <w:left w:val="single" w:sz="4" w:space="0" w:color="000000"/>
              <w:bottom w:val="single" w:sz="4" w:space="0" w:color="000000"/>
              <w:right w:val="single" w:sz="6"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sz w:val="22"/>
                <w:szCs w:val="22"/>
                <w:lang w:val="en-GB"/>
              </w:rPr>
            </w:pPr>
            <w:r>
              <w:rPr>
                <w:rFonts w:cs="Arial" w:ascii="Arial" w:hAnsi="Arial"/>
                <w:sz w:val="22"/>
                <w:szCs w:val="22"/>
                <w:lang w:val="en-GB"/>
              </w:rPr>
              <w:t>Grade 11</w:t>
            </w:r>
          </w:p>
        </w:tc>
      </w:tr>
      <w:tr>
        <w:trPr>
          <w:trHeight w:val="282" w:hRule="atLeast"/>
        </w:trPr>
        <w:tc>
          <w:tcPr>
            <w:tcW w:w="1531" w:type="dxa"/>
            <w:tcBorders>
              <w:top w:val="single" w:sz="4" w:space="0" w:color="000000"/>
              <w:left w:val="single" w:sz="6" w:space="0" w:color="000000"/>
              <w:bottom w:val="single" w:sz="6"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b/>
                <w:b/>
                <w:sz w:val="22"/>
                <w:szCs w:val="22"/>
                <w:lang w:val="en-GB"/>
              </w:rPr>
            </w:pPr>
            <w:r>
              <w:rPr>
                <w:rFonts w:cs="Arial" w:ascii="Arial" w:hAnsi="Arial"/>
                <w:b/>
                <w:sz w:val="22"/>
                <w:szCs w:val="22"/>
                <w:lang w:val="en-GB"/>
              </w:rPr>
              <w:t>Service:</w:t>
            </w:r>
          </w:p>
        </w:tc>
        <w:tc>
          <w:tcPr>
            <w:tcW w:w="3758" w:type="dxa"/>
            <w:tcBorders>
              <w:top w:val="single" w:sz="4" w:space="0" w:color="000000"/>
              <w:left w:val="single" w:sz="4" w:space="0" w:color="000000"/>
              <w:bottom w:val="single" w:sz="6"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sz w:val="22"/>
                <w:szCs w:val="22"/>
                <w:lang w:val="en-GB"/>
              </w:rPr>
            </w:pPr>
            <w:r>
              <w:rPr>
                <w:rFonts w:cs="Arial" w:ascii="Arial" w:hAnsi="Arial"/>
                <w:sz w:val="22"/>
                <w:szCs w:val="22"/>
                <w:lang w:val="en-GB"/>
              </w:rPr>
              <w:t>Land and Property Team</w:t>
            </w:r>
          </w:p>
        </w:tc>
        <w:tc>
          <w:tcPr>
            <w:tcW w:w="1928" w:type="dxa"/>
            <w:tcBorders>
              <w:top w:val="single" w:sz="4" w:space="0" w:color="000000"/>
              <w:left w:val="single" w:sz="4" w:space="0" w:color="000000"/>
              <w:bottom w:val="single" w:sz="6"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rFonts w:ascii="Arial" w:hAnsi="Arial" w:cs="Arial"/>
                <w:b/>
                <w:b/>
                <w:sz w:val="22"/>
                <w:szCs w:val="22"/>
                <w:lang w:val="en-GB"/>
              </w:rPr>
            </w:pPr>
            <w:r>
              <w:rPr>
                <w:rFonts w:cs="Arial" w:ascii="Arial" w:hAnsi="Arial"/>
                <w:b/>
                <w:sz w:val="22"/>
                <w:szCs w:val="22"/>
                <w:lang w:val="en-GB"/>
              </w:rPr>
              <w:t>Business Area:</w:t>
            </w:r>
          </w:p>
        </w:tc>
        <w:tc>
          <w:tcPr>
            <w:tcW w:w="3145" w:type="dxa"/>
            <w:tcBorders>
              <w:top w:val="single" w:sz="4" w:space="0" w:color="000000"/>
              <w:left w:val="single" w:sz="4" w:space="0" w:color="000000"/>
              <w:bottom w:val="single" w:sz="6" w:space="0" w:color="000000"/>
              <w:right w:val="single" w:sz="6" w:space="0" w:color="000000"/>
            </w:tcBorders>
            <w:shd w:fill="auto" w:val="clear"/>
            <w:vAlign w:val="center"/>
          </w:tcPr>
          <w:p>
            <w:pPr>
              <w:pStyle w:val="Normal"/>
              <w:pBdr/>
              <w:tabs>
                <w:tab w:val="clear" w:pos="720"/>
                <w:tab w:val="left" w:pos="2047" w:leader="none"/>
                <w:tab w:val="left" w:pos="5589" w:leader="none"/>
                <w:tab w:val="left" w:pos="6300" w:leader="none"/>
                <w:tab w:val="left" w:pos="6583" w:leader="none"/>
              </w:tabs>
              <w:rPr/>
            </w:pPr>
            <w:r>
              <w:rPr>
                <w:rFonts w:eastAsia="Arial" w:cs="Arial" w:ascii="Arial" w:hAnsi="Arial"/>
                <w:sz w:val="22"/>
                <w:szCs w:val="22"/>
                <w:lang w:val="en-GB"/>
              </w:rPr>
              <w:t xml:space="preserve"> </w:t>
            </w:r>
            <w:r>
              <w:rPr>
                <w:rFonts w:cs="Arial" w:ascii="Arial" w:hAnsi="Arial"/>
                <w:sz w:val="22"/>
                <w:szCs w:val="22"/>
                <w:lang w:val="en-GB"/>
              </w:rPr>
              <w:t>Place Directorate</w:t>
            </w:r>
          </w:p>
        </w:tc>
      </w:tr>
    </w:tbl>
    <w:p>
      <w:pPr>
        <w:pStyle w:val="Normal"/>
        <w:pBdr/>
        <w:rPr>
          <w:sz w:val="2"/>
          <w:szCs w:val="2"/>
        </w:rPr>
      </w:pPr>
      <w:r>
        <w:rPr>
          <w:sz w:val="2"/>
          <w:szCs w:val="2"/>
        </w:rPr>
      </w:r>
    </w:p>
    <w:p>
      <w:pPr>
        <w:pStyle w:val="Normal"/>
        <w:pBdr/>
        <w:rPr>
          <w:sz w:val="2"/>
          <w:szCs w:val="2"/>
        </w:rPr>
      </w:pPr>
      <w:r>
        <w:rPr>
          <w:sz w:val="2"/>
          <w:szCs w:val="2"/>
        </w:rPr>
      </w:r>
    </w:p>
    <w:p>
      <w:pPr>
        <w:pStyle w:val="Normal"/>
        <w:pBdr/>
        <w:rPr>
          <w:sz w:val="2"/>
          <w:szCs w:val="2"/>
        </w:rPr>
      </w:pPr>
      <w:r>
        <w:rPr>
          <w:sz w:val="2"/>
          <w:szCs w:val="2"/>
        </w:rPr>
      </w:r>
    </w:p>
    <w:p>
      <w:pPr>
        <w:pStyle w:val="Normal"/>
        <w:pBdr/>
        <w:rPr>
          <w:sz w:val="2"/>
          <w:szCs w:val="2"/>
        </w:rPr>
      </w:pPr>
      <w:r>
        <w:rPr>
          <w:sz w:val="2"/>
          <w:szCs w:val="2"/>
        </w:rPr>
      </w:r>
    </w:p>
    <w:p>
      <w:pPr>
        <w:pStyle w:val="Normal"/>
        <w:pBdr/>
        <w:rPr>
          <w:sz w:val="2"/>
          <w:szCs w:val="2"/>
        </w:rPr>
      </w:pPr>
      <w:r>
        <w:rPr>
          <w:sz w:val="2"/>
          <w:szCs w:val="2"/>
        </w:rPr>
      </w:r>
    </w:p>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tbl>
      <w:tblPr>
        <w:tblW w:w="10500" w:type="dxa"/>
        <w:jc w:val="left"/>
        <w:tblInd w:w="-606" w:type="dxa"/>
        <w:tblCellMar>
          <w:top w:w="0" w:type="dxa"/>
          <w:left w:w="108" w:type="dxa"/>
          <w:bottom w:w="0" w:type="dxa"/>
          <w:right w:w="108" w:type="dxa"/>
        </w:tblCellMar>
      </w:tblPr>
      <w:tblGrid>
        <w:gridCol w:w="10500"/>
      </w:tblGrid>
      <w:tr>
        <w:trPr/>
        <w:tc>
          <w:tcPr>
            <w:tcW w:w="10500" w:type="dxa"/>
            <w:tcBorders>
              <w:top w:val="single" w:sz="4" w:space="0" w:color="000000"/>
              <w:left w:val="single" w:sz="4" w:space="0" w:color="000000"/>
              <w:bottom w:val="single" w:sz="4" w:space="0" w:color="000000"/>
              <w:right w:val="single" w:sz="4" w:space="0" w:color="000000"/>
            </w:tcBorders>
            <w:shd w:fill="000000" w:val="clear"/>
          </w:tcPr>
          <w:p>
            <w:pPr>
              <w:pStyle w:val="Body"/>
              <w:pBdr/>
              <w:spacing w:lineRule="auto" w:line="276"/>
              <w:rPr>
                <w:b/>
                <w:b/>
                <w:color w:val="FFFFFF"/>
                <w:sz w:val="24"/>
                <w:szCs w:val="24"/>
              </w:rPr>
            </w:pPr>
            <w:r>
              <w:rPr>
                <w:b/>
                <w:color w:val="FFFFFF"/>
                <w:sz w:val="24"/>
                <w:szCs w:val="24"/>
              </w:rPr>
              <w:t>JOB PURPOSE</w:t>
            </w:r>
          </w:p>
        </w:tc>
      </w:tr>
      <w:tr>
        <w:trPr/>
        <w:tc>
          <w:tcPr>
            <w:tcW w:w="10500" w:type="dxa"/>
            <w:tcBorders>
              <w:top w:val="single" w:sz="4" w:space="0" w:color="000000"/>
              <w:left w:val="single" w:sz="4" w:space="0" w:color="000000"/>
              <w:bottom w:val="single" w:sz="4" w:space="0" w:color="000000"/>
              <w:right w:val="single" w:sz="4" w:space="0" w:color="000000"/>
            </w:tcBorders>
            <w:shd w:fill="auto" w:val="clear"/>
          </w:tcPr>
          <w:p>
            <w:pPr>
              <w:pStyle w:val="Body"/>
              <w:pBdr/>
              <w:snapToGrid w:val="false"/>
              <w:ind w:left="0" w:right="227" w:hanging="0"/>
              <w:jc w:val="both"/>
              <w:rPr>
                <w:lang w:eastAsia="en-GB"/>
              </w:rPr>
            </w:pPr>
            <w:r>
              <w:rPr>
                <w:lang w:eastAsia="en-GB"/>
              </w:rPr>
            </w:r>
          </w:p>
          <w:p>
            <w:pPr>
              <w:pStyle w:val="Body"/>
              <w:pBdr/>
              <w:ind w:left="0" w:right="227" w:hanging="0"/>
              <w:rPr/>
            </w:pPr>
            <w:r>
              <w:rPr>
                <w:lang w:eastAsia="en-GB"/>
              </w:rPr>
              <w:t xml:space="preserve">GMCA’s Land and Property Team is </w:t>
            </w:r>
            <w:r>
              <w:rPr>
                <w:bCs/>
                <w:iCs/>
              </w:rPr>
              <w:t>delivering their Strategic Transformation Programme focused on delivering new build, refurbishment and decarbonisation of its fire stations. This programme represents a pivotal step in enhancing the operational capacities of the Greater Manchester Fire and Rescue Service (GMFRS) while aligning with GMCA’s broader goals for modernisation, efficiency and sustainability.</w:t>
            </w:r>
            <w:r>
              <w:rPr>
                <w:lang w:eastAsia="en-GB"/>
              </w:rPr>
              <w:t xml:space="preserve">  </w:t>
              <w:br/>
              <w:br/>
              <w:t>The Senior Quantity Surveyor will provide commercial leadership and expert cost management across a portfolio of strategically important capital projects. They will ensure the effective stewardship of public funds and delivery of value for money throughout the project lifecycle. The role combines technical quantity surveying expertise with strategic financial oversight and is a critical role in supporting the successful delivery of the Strategic Transformation Programme.</w:t>
              <w:br/>
              <w:br/>
              <w:t>The role holder will lead on commercial and cost management matters, and will support Project Managers, senior leadership and key stakeholders through all RIBA stages of project development and delivery. They will provide challenge and assurance of externally prepared cost information, oversee project valuations and financial reporting requirements and ensure that commercial and financial risks are effectively identified, managed and reported.</w:t>
            </w:r>
          </w:p>
          <w:p>
            <w:pPr>
              <w:pStyle w:val="Body"/>
              <w:pBdr/>
              <w:ind w:left="0" w:right="227" w:hanging="0"/>
              <w:jc w:val="both"/>
              <w:rPr/>
            </w:pPr>
            <w:r>
              <w:rPr/>
            </w:r>
          </w:p>
          <w:p>
            <w:pPr>
              <w:pStyle w:val="Body"/>
              <w:pBdr/>
              <w:ind w:left="0" w:right="227" w:hanging="0"/>
              <w:jc w:val="both"/>
              <w:rPr/>
            </w:pPr>
            <w:r>
              <w:rPr/>
              <w:t>The Senior Quantity Surveyor will act as GMCA's commercial lead across assigned projects. The role will involve managing relationships with consultants, contractors and other stakeholders, whilst providing expert advice on procurement, cost control, contract administration, and risk management. It will further involve regular engagement with project teams, attendance at site and progress meetings, and the preparation of reports and recommendations to support informed decision making and programme governance.</w:t>
            </w:r>
          </w:p>
          <w:p>
            <w:pPr>
              <w:pStyle w:val="Body"/>
              <w:pBdr/>
              <w:ind w:left="0" w:right="227" w:hanging="0"/>
              <w:jc w:val="both"/>
              <w:rPr/>
            </w:pPr>
            <w:r>
              <w:rPr/>
            </w:r>
          </w:p>
          <w:p>
            <w:pPr>
              <w:pStyle w:val="Body"/>
              <w:pBdr/>
              <w:ind w:left="0" w:right="227" w:hanging="0"/>
              <w:jc w:val="both"/>
              <w:rPr/>
            </w:pPr>
            <w:r>
              <w:rPr/>
              <w:t>This is a technical role requiring extensive quantity surveying experience and strong property sector knowledge. The successful candidate will be a Chartered Quantity Surveyor with a proven track record of leading commercial management activities on complex construction projects and programmes. They will demonstrate personal commitment to continuous professional development, service improvement, and the delivery of high-quality outcomes for Greater Manchester communities.</w:t>
            </w:r>
          </w:p>
          <w:p>
            <w:pPr>
              <w:pStyle w:val="Body"/>
              <w:pBdr/>
              <w:ind w:left="0" w:right="227" w:hanging="0"/>
              <w:jc w:val="both"/>
              <w:rPr>
                <w:lang w:val="en"/>
              </w:rPr>
            </w:pPr>
            <w:r>
              <w:rPr>
                <w:lang w:val="en"/>
              </w:rPr>
            </w:r>
          </w:p>
        </w:tc>
      </w:tr>
    </w:tbl>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tbl>
      <w:tblPr>
        <w:tblW w:w="10500" w:type="dxa"/>
        <w:jc w:val="left"/>
        <w:tblInd w:w="-577" w:type="dxa"/>
        <w:tblCellMar>
          <w:top w:w="0" w:type="dxa"/>
          <w:left w:w="108" w:type="dxa"/>
          <w:bottom w:w="0" w:type="dxa"/>
          <w:right w:w="108" w:type="dxa"/>
        </w:tblCellMar>
      </w:tblPr>
      <w:tblGrid>
        <w:gridCol w:w="10500"/>
      </w:tblGrid>
      <w:tr>
        <w:trPr/>
        <w:tc>
          <w:tcPr>
            <w:tcW w:w="10500" w:type="dxa"/>
            <w:tcBorders>
              <w:top w:val="single" w:sz="4" w:space="0" w:color="000000"/>
              <w:left w:val="single" w:sz="4" w:space="0" w:color="000000"/>
              <w:bottom w:val="single" w:sz="4" w:space="0" w:color="000000"/>
              <w:right w:val="single" w:sz="4" w:space="0" w:color="000000"/>
            </w:tcBorders>
            <w:shd w:fill="000000" w:val="clear"/>
          </w:tcPr>
          <w:p>
            <w:pPr>
              <w:pStyle w:val="Body"/>
              <w:pBdr/>
              <w:spacing w:lineRule="auto" w:line="276"/>
              <w:ind w:left="0" w:right="261" w:hanging="0"/>
              <w:rPr>
                <w:b/>
                <w:b/>
                <w:bCs/>
                <w:color w:val="FFFFFF"/>
                <w:sz w:val="24"/>
                <w:szCs w:val="24"/>
                <w:u w:val="none" w:color="FFFFFF"/>
              </w:rPr>
            </w:pPr>
            <w:r>
              <w:rPr>
                <w:b/>
                <w:bCs/>
                <w:color w:val="FFFFFF"/>
                <w:sz w:val="24"/>
                <w:szCs w:val="24"/>
                <w:u w:val="none" w:color="FFFFFF"/>
              </w:rPr>
              <w:t>KEY WORKING RELATIONSHIPS</w:t>
            </w:r>
          </w:p>
        </w:tc>
      </w:tr>
      <w:tr>
        <w:trPr/>
        <w:tc>
          <w:tcPr>
            <w:tcW w:w="10500" w:type="dxa"/>
            <w:tcBorders>
              <w:top w:val="single" w:sz="4" w:space="0" w:color="000000"/>
              <w:left w:val="single" w:sz="4" w:space="0" w:color="000000"/>
              <w:bottom w:val="single" w:sz="4" w:space="0" w:color="000000"/>
              <w:right w:val="single" w:sz="4" w:space="0" w:color="000000"/>
            </w:tcBorders>
            <w:shd w:fill="auto" w:val="clear"/>
          </w:tcPr>
          <w:p>
            <w:pPr>
              <w:pStyle w:val="ListParagraph"/>
              <w:pBdr/>
              <w:snapToGrid w:val="false"/>
              <w:ind w:left="199" w:right="261" w:hanging="0"/>
              <w:rPr>
                <w:color w:val="auto"/>
                <w:sz w:val="16"/>
                <w:szCs w:val="16"/>
                <w:lang w:val="en-GB"/>
              </w:rPr>
            </w:pPr>
            <w:r>
              <w:rPr>
                <w:color w:val="auto"/>
                <w:sz w:val="16"/>
                <w:szCs w:val="16"/>
                <w:lang w:val="en-GB"/>
              </w:rPr>
            </w:r>
          </w:p>
          <w:p>
            <w:pPr>
              <w:pStyle w:val="ListParagraph"/>
              <w:numPr>
                <w:ilvl w:val="0"/>
                <w:numId w:val="2"/>
              </w:numPr>
              <w:pBdr/>
              <w:ind w:left="199" w:right="261" w:hanging="283"/>
              <w:rPr>
                <w:color w:val="auto"/>
                <w:lang w:val="en-GB"/>
              </w:rPr>
            </w:pPr>
            <w:r>
              <w:rPr>
                <w:color w:val="auto"/>
                <w:lang w:val="en-GB"/>
              </w:rPr>
              <w:t>Head of Property &amp; FM</w:t>
            </w:r>
          </w:p>
          <w:p>
            <w:pPr>
              <w:pStyle w:val="ListParagraph"/>
              <w:numPr>
                <w:ilvl w:val="0"/>
                <w:numId w:val="2"/>
              </w:numPr>
              <w:pBdr/>
              <w:ind w:left="199" w:right="261" w:hanging="283"/>
              <w:rPr>
                <w:color w:val="auto"/>
                <w:lang w:val="en-GB"/>
              </w:rPr>
            </w:pPr>
            <w:r>
              <w:rPr>
                <w:color w:val="auto"/>
                <w:lang w:val="en-GB"/>
              </w:rPr>
              <w:t>Land and Property Strategic Transformation Lead</w:t>
            </w:r>
          </w:p>
          <w:p>
            <w:pPr>
              <w:pStyle w:val="ListParagraph"/>
              <w:numPr>
                <w:ilvl w:val="0"/>
                <w:numId w:val="2"/>
              </w:numPr>
              <w:pBdr/>
              <w:ind w:left="199" w:right="261" w:hanging="283"/>
              <w:rPr>
                <w:color w:val="auto"/>
                <w:lang w:val="en-GB"/>
              </w:rPr>
            </w:pPr>
            <w:r>
              <w:rPr>
                <w:color w:val="auto"/>
                <w:lang w:val="en-GB"/>
              </w:rPr>
              <w:t>Capital Programme, Finance and Procurement Teams</w:t>
            </w:r>
          </w:p>
          <w:p>
            <w:pPr>
              <w:pStyle w:val="ListParagraph"/>
              <w:numPr>
                <w:ilvl w:val="0"/>
                <w:numId w:val="2"/>
              </w:numPr>
              <w:pBdr/>
              <w:ind w:left="199" w:right="261" w:hanging="283"/>
              <w:rPr>
                <w:color w:val="auto"/>
                <w:lang w:val="en-GB"/>
              </w:rPr>
            </w:pPr>
            <w:r>
              <w:rPr>
                <w:color w:val="auto"/>
                <w:lang w:val="en-GB"/>
              </w:rPr>
              <w:t>Project Managers within GMCA’s Land and Property Team</w:t>
            </w:r>
          </w:p>
          <w:p>
            <w:pPr>
              <w:pStyle w:val="ListParagraph"/>
              <w:numPr>
                <w:ilvl w:val="0"/>
                <w:numId w:val="2"/>
              </w:numPr>
              <w:pBdr/>
              <w:ind w:left="199" w:right="261" w:hanging="283"/>
              <w:rPr>
                <w:color w:val="auto"/>
                <w:lang w:val="en-GB"/>
              </w:rPr>
            </w:pPr>
            <w:r>
              <w:rPr>
                <w:color w:val="auto"/>
                <w:lang w:val="en-GB"/>
              </w:rPr>
              <w:t>Operational Service leads</w:t>
            </w:r>
          </w:p>
          <w:p>
            <w:pPr>
              <w:pStyle w:val="ListParagraph"/>
              <w:numPr>
                <w:ilvl w:val="0"/>
                <w:numId w:val="2"/>
              </w:numPr>
              <w:pBdr/>
              <w:ind w:left="199" w:right="261" w:hanging="283"/>
              <w:rPr>
                <w:color w:val="auto"/>
                <w:lang w:val="en-GB"/>
              </w:rPr>
            </w:pPr>
            <w:r>
              <w:rPr>
                <w:color w:val="auto"/>
                <w:lang w:val="en-GB"/>
              </w:rPr>
              <w:t>Managers within GMCA’s Delivery and Place teams</w:t>
            </w:r>
          </w:p>
          <w:p>
            <w:pPr>
              <w:pStyle w:val="ListParagraph"/>
              <w:numPr>
                <w:ilvl w:val="0"/>
                <w:numId w:val="2"/>
              </w:numPr>
              <w:pBdr/>
              <w:ind w:left="199" w:right="261" w:hanging="283"/>
              <w:rPr>
                <w:color w:val="auto"/>
                <w:lang w:val="en-GB"/>
              </w:rPr>
            </w:pPr>
            <w:r>
              <w:rPr>
                <w:color w:val="auto"/>
                <w:lang w:val="en-GB"/>
              </w:rPr>
              <w:t xml:space="preserve">External consultants, designers and appointed contractors. </w:t>
            </w:r>
          </w:p>
          <w:p>
            <w:pPr>
              <w:pStyle w:val="Normal"/>
              <w:pBdr/>
              <w:ind w:left="-84" w:right="261" w:hanging="0"/>
              <w:rPr>
                <w:rFonts w:eastAsia="Times New Roman"/>
                <w:bCs/>
                <w:iCs/>
                <w:color w:val="FF0000"/>
                <w:lang w:val="en-GB"/>
              </w:rPr>
            </w:pPr>
            <w:r>
              <w:rPr>
                <w:rFonts w:eastAsia="Times New Roman"/>
                <w:bCs/>
                <w:iCs/>
                <w:color w:val="FF0000"/>
                <w:lang w:val="en-GB"/>
              </w:rPr>
            </w:r>
          </w:p>
          <w:p>
            <w:pPr>
              <w:pStyle w:val="Normal"/>
              <w:pBdr/>
              <w:ind w:left="-84" w:right="261" w:hanging="0"/>
              <w:rPr>
                <w:rFonts w:ascii="Arial" w:hAnsi="Arial" w:eastAsia="Times New Roman" w:cs="Arial"/>
                <w:bCs/>
                <w:iCs/>
                <w:sz w:val="22"/>
                <w:szCs w:val="22"/>
                <w:lang w:val="en-GB"/>
              </w:rPr>
            </w:pPr>
            <w:r>
              <w:rPr>
                <w:rFonts w:eastAsia="Times New Roman" w:cs="Arial" w:ascii="Arial" w:hAnsi="Arial"/>
                <w:bCs/>
                <w:iCs/>
                <w:sz w:val="22"/>
                <w:szCs w:val="22"/>
                <w:lang w:val="en-GB"/>
              </w:rPr>
              <w:t>The role holder will report to the Strategic Transformation Lead within the Land and Property Team but is expected to work independently and alongside Project Managers as part of the wider Programme Delivery team requirements to deliver strategic transformation projects.</w:t>
            </w:r>
          </w:p>
          <w:p>
            <w:pPr>
              <w:pStyle w:val="Body"/>
              <w:pBdr/>
              <w:ind w:left="0" w:right="261" w:hanging="0"/>
              <w:rPr>
                <w:lang w:eastAsia="en-GB"/>
              </w:rPr>
            </w:pPr>
            <w:r>
              <w:rPr>
                <w:lang w:eastAsia="en-GB"/>
              </w:rPr>
            </w:r>
          </w:p>
        </w:tc>
      </w:tr>
    </w:tbl>
    <w:p>
      <w:pPr>
        <w:pStyle w:val="Body"/>
        <w:pBdr/>
        <w:ind w:left="0" w:right="261" w:hanging="0"/>
        <w:rPr>
          <w:b/>
          <w:b/>
          <w:bCs/>
          <w:iCs/>
          <w:sz w:val="24"/>
          <w:szCs w:val="24"/>
        </w:rPr>
      </w:pPr>
      <w:r>
        <w:rPr>
          <w:b/>
          <w:bCs/>
          <w:iCs/>
          <w:sz w:val="24"/>
          <w:szCs w:val="24"/>
        </w:rPr>
      </w:r>
    </w:p>
    <w:p>
      <w:pPr>
        <w:pStyle w:val="Body"/>
        <w:pBdr/>
        <w:ind w:left="0" w:right="261" w:hanging="0"/>
        <w:rPr>
          <w:b/>
          <w:b/>
          <w:bCs/>
          <w:iCs/>
          <w:sz w:val="24"/>
          <w:szCs w:val="24"/>
        </w:rPr>
      </w:pPr>
      <w:r>
        <w:rPr>
          <w:b/>
          <w:bCs/>
          <w:iCs/>
          <w:sz w:val="24"/>
          <w:szCs w:val="24"/>
        </w:rPr>
      </w:r>
    </w:p>
    <w:tbl>
      <w:tblPr>
        <w:tblW w:w="10642" w:type="dxa"/>
        <w:jc w:val="left"/>
        <w:tblInd w:w="-719" w:type="dxa"/>
        <w:tblCellMar>
          <w:top w:w="0" w:type="dxa"/>
          <w:left w:w="108" w:type="dxa"/>
          <w:bottom w:w="0" w:type="dxa"/>
          <w:right w:w="108" w:type="dxa"/>
        </w:tblCellMar>
      </w:tblPr>
      <w:tblGrid>
        <w:gridCol w:w="10642"/>
      </w:tblGrid>
      <w:tr>
        <w:trPr/>
        <w:tc>
          <w:tcPr>
            <w:tcW w:w="10642" w:type="dxa"/>
            <w:tcBorders>
              <w:top w:val="single" w:sz="4" w:space="0" w:color="000000"/>
              <w:left w:val="single" w:sz="4" w:space="0" w:color="000000"/>
              <w:bottom w:val="single" w:sz="4" w:space="0" w:color="000000"/>
              <w:right w:val="single" w:sz="4" w:space="0" w:color="000000"/>
            </w:tcBorders>
            <w:shd w:fill="000000" w:val="clear"/>
          </w:tcPr>
          <w:p>
            <w:pPr>
              <w:pStyle w:val="Body"/>
              <w:pBdr/>
              <w:spacing w:lineRule="auto" w:line="276"/>
              <w:ind w:left="0" w:right="261" w:hanging="0"/>
              <w:rPr>
                <w:b/>
                <w:b/>
                <w:bCs/>
                <w:iCs/>
                <w:color w:val="FFFFFF"/>
                <w:sz w:val="24"/>
                <w:szCs w:val="24"/>
              </w:rPr>
            </w:pPr>
            <w:r>
              <w:rPr>
                <w:b/>
                <w:bCs/>
                <w:iCs/>
                <w:color w:val="FFFFFF"/>
                <w:sz w:val="24"/>
                <w:szCs w:val="24"/>
              </w:rPr>
              <w:t>KEY RESPONSIBILITIES</w:t>
            </w:r>
          </w:p>
        </w:tc>
      </w:tr>
      <w:tr>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Arial" w:ascii="Arial" w:hAnsi="Arial"/>
                <w:sz w:val="22"/>
                <w:szCs w:val="22"/>
              </w:rPr>
              <w:t xml:space="preserve">The Senior Quantity Surveyor </w:t>
            </w:r>
            <w:r>
              <w:rPr>
                <w:rFonts w:cs="Arial" w:ascii="Arial" w:hAnsi="Arial"/>
                <w:sz w:val="22"/>
                <w:szCs w:val="22"/>
                <w:lang w:val="en-GB"/>
              </w:rPr>
              <w:t xml:space="preserve">will provide commercial leadership across a portfolio of strategic capital projects and programmes, ensuring robust cost management, commercial governance, and value-for-money </w:t>
            </w:r>
            <w:r>
              <w:rPr>
                <w:rFonts w:cs="Arial" w:ascii="Arial" w:hAnsi="Arial"/>
                <w:sz w:val="22"/>
                <w:szCs w:val="22"/>
              </w:rPr>
              <w:t>to support the delivery of the Local Authorities’ strategic delivery priorities.</w:t>
            </w:r>
            <w:r>
              <w:rPr>
                <w:rFonts w:cs="Arial" w:ascii="Arial" w:hAnsi="Arial"/>
              </w:rPr>
              <w:t xml:space="preserve"> </w:t>
            </w:r>
            <w:r>
              <w:rPr>
                <w:rFonts w:cs="Arial" w:ascii="Arial" w:hAnsi="Arial"/>
                <w:sz w:val="22"/>
                <w:szCs w:val="22"/>
              </w:rPr>
              <w:t>They will help to provide high quality cost analysis and strategic financial construction advice to a range of recipients including the Land and Property Director, GMCA’s GMFRS Senior Management Team, senior stakeholders and relevant strategic transformation governance boards.</w:t>
            </w:r>
          </w:p>
          <w:p>
            <w:pPr>
              <w:pStyle w:val="Normal"/>
              <w:jc w:val="both"/>
              <w:rPr>
                <w:rFonts w:ascii="Arial" w:hAnsi="Arial" w:cs="Arial"/>
                <w:sz w:val="22"/>
                <w:szCs w:val="22"/>
              </w:rPr>
            </w:pPr>
            <w:r>
              <w:rPr>
                <w:rFonts w:cs="Arial" w:ascii="Arial" w:hAnsi="Arial"/>
                <w:sz w:val="22"/>
                <w:szCs w:val="22"/>
              </w:rPr>
            </w:r>
          </w:p>
          <w:p>
            <w:pPr>
              <w:pStyle w:val="Normal"/>
              <w:spacing w:before="0" w:after="0"/>
              <w:contextualSpacing/>
              <w:jc w:val="both"/>
              <w:rPr>
                <w:rFonts w:ascii="Arial" w:hAnsi="Arial" w:cs="Arial"/>
                <w:sz w:val="22"/>
                <w:szCs w:val="22"/>
              </w:rPr>
            </w:pPr>
            <w:r>
              <w:rPr>
                <w:rFonts w:cs="Arial" w:ascii="Arial" w:hAnsi="Arial"/>
                <w:sz w:val="22"/>
                <w:szCs w:val="22"/>
              </w:rPr>
              <w:t>Key responsibilities include:</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cs="Arial"/>
                <w:sz w:val="22"/>
                <w:szCs w:val="22"/>
              </w:rPr>
            </w:pPr>
            <w:r>
              <w:rPr>
                <w:rFonts w:cs="Arial"/>
                <w:sz w:val="22"/>
                <w:szCs w:val="22"/>
              </w:rPr>
              <w:t>Support the development, budgeting, procurement and cost planning of projects from Strategic Definition through technical design, providing expert cost, risk and commercial input into scope briefs, strategies, tendering and contract documentation.</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cs="Arial"/>
                <w:sz w:val="22"/>
                <w:szCs w:val="22"/>
              </w:rPr>
            </w:pPr>
            <w:r>
              <w:rPr>
                <w:rFonts w:cs="Arial"/>
                <w:sz w:val="22"/>
                <w:szCs w:val="22"/>
              </w:rPr>
              <w:t>Lead robust cost management during property construction RIBA end to end stages, including valuation, change control, contract advice, final accounts and post occupancy contributions to ensure project performance, value and compliance.</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cs="Arial"/>
                <w:sz w:val="22"/>
                <w:szCs w:val="22"/>
              </w:rPr>
            </w:pPr>
            <w:r>
              <w:rPr>
                <w:rFonts w:cs="Arial"/>
                <w:sz w:val="22"/>
                <w:szCs w:val="22"/>
              </w:rPr>
              <w:t>Prepare, manage and administer contract documentation, insurance requirements and pre-construction information</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cs="Arial"/>
                <w:sz w:val="22"/>
                <w:szCs w:val="22"/>
              </w:rPr>
            </w:pPr>
            <w:r>
              <w:rPr>
                <w:rFonts w:cs="Arial"/>
                <w:sz w:val="22"/>
                <w:szCs w:val="22"/>
              </w:rPr>
              <w:t>Manage contract valuations, variations, interim payments and final account agreement</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cs="Arial"/>
                <w:sz w:val="22"/>
                <w:szCs w:val="22"/>
              </w:rPr>
            </w:pPr>
            <w:r>
              <w:rPr>
                <w:rFonts w:cs="Arial"/>
                <w:sz w:val="22"/>
                <w:szCs w:val="22"/>
              </w:rPr>
              <w:t>Support the co-ordination of completion, snagging defect inspections and provide initial advice on claims and client liabilities.</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cs="Arial"/>
                <w:sz w:val="22"/>
                <w:szCs w:val="22"/>
              </w:rPr>
            </w:pPr>
            <w:r>
              <w:rPr>
                <w:rFonts w:cs="Arial"/>
                <w:sz w:val="22"/>
                <w:szCs w:val="22"/>
              </w:rPr>
              <w:t>Engage with external professional services acting on behalf of the GMCA;</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pPr>
            <w:r>
              <w:rPr>
                <w:rFonts w:eastAsia="MS Mincho"/>
                <w:sz w:val="22"/>
                <w:szCs w:val="22"/>
              </w:rPr>
              <w:t>Attend monthly site visits to monitor the progress of property schemes;</w:t>
            </w:r>
            <w:r>
              <w:rPr>
                <w:rFonts w:cs="Arial"/>
                <w:sz w:val="22"/>
                <w:szCs w:val="22"/>
              </w:rPr>
              <w:t xml:space="preserve"> Oversee contract performance through progress reviews and quality monitoring to understand the developments’ progress and provide cost control challenge where required.</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eastAsia="MS Mincho"/>
                <w:sz w:val="22"/>
                <w:szCs w:val="22"/>
                <w:lang w:val="en-GB"/>
              </w:rPr>
            </w:pPr>
            <w:r>
              <w:rPr>
                <w:rFonts w:eastAsia="MS Mincho"/>
                <w:sz w:val="22"/>
                <w:szCs w:val="22"/>
                <w:lang w:val="en-GB"/>
              </w:rPr>
              <w:t>Lead the review and challenge of external consultant, contractor, and cost consultant reports, to ensure quality, accuracy and robustness of commercial information, and to identify key risks, opportunities, and mitigation measures.</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eastAsia="MS Mincho"/>
                <w:sz w:val="22"/>
                <w:szCs w:val="22"/>
              </w:rPr>
            </w:pPr>
            <w:r>
              <w:rPr>
                <w:rFonts w:eastAsia="MS Mincho"/>
                <w:sz w:val="22"/>
                <w:szCs w:val="22"/>
              </w:rPr>
              <w:t xml:space="preserve">Prepare monthly reports to support cost drawdowns addressing the key property issues; </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rFonts w:eastAsia="MS Mincho" w:cs="Arial"/>
                <w:sz w:val="22"/>
                <w:szCs w:val="22"/>
                <w:lang w:val="en-GB"/>
              </w:rPr>
            </w:pPr>
            <w:r>
              <w:rPr>
                <w:rFonts w:eastAsia="MS Mincho" w:cs="Arial"/>
                <w:sz w:val="22"/>
                <w:szCs w:val="22"/>
                <w:lang w:val="en-GB"/>
              </w:rPr>
              <w:t>Provide commercial assurance and advice to Project Managers regarding valuations, cost forecasting, risk allowances, change control, and project affordability.</w:t>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sz w:val="22"/>
                <w:szCs w:val="22"/>
              </w:rPr>
            </w:pPr>
            <w:r>
              <w:rPr>
                <w:sz w:val="22"/>
                <w:szCs w:val="22"/>
              </w:rPr>
              <w:t>Provide support on Greater Manchester property and commercial projects, identifying key property risks and making recommendations;</w:t>
            </w:r>
          </w:p>
          <w:p>
            <w:pPr>
              <w:pStyle w:val="ListParagraph"/>
              <w:numPr>
                <w:ilvl w:val="0"/>
                <w:numId w:val="4"/>
              </w:numPr>
              <w:pBdr/>
              <w:rPr>
                <w:color w:val="auto"/>
                <w:lang w:val="en-GB"/>
              </w:rPr>
            </w:pPr>
            <w:r>
              <w:rPr>
                <w:color w:val="auto"/>
                <w:lang w:val="en-GB"/>
              </w:rPr>
              <w:t>Advise on mitigations and solutions to risks/issues that have been identified and support the conversations around these issues.</w:t>
            </w:r>
          </w:p>
          <w:p>
            <w:pPr>
              <w:pStyle w:val="DefaultText"/>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left="720" w:right="0" w:hanging="0"/>
              <w:jc w:val="both"/>
              <w:rPr>
                <w:sz w:val="22"/>
                <w:szCs w:val="22"/>
              </w:rPr>
            </w:pPr>
            <w:r>
              <w:rPr>
                <w:sz w:val="22"/>
                <w:szCs w:val="22"/>
              </w:rPr>
            </w:r>
          </w:p>
          <w:p>
            <w:pPr>
              <w:pStyle w:val="DefaultText"/>
              <w:numPr>
                <w:ilvl w:val="0"/>
                <w:numId w:val="4"/>
              </w:num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rPr>
                <w:sz w:val="22"/>
                <w:szCs w:val="22"/>
              </w:rPr>
            </w:pPr>
            <w:r>
              <w:rPr>
                <w:sz w:val="22"/>
                <w:szCs w:val="22"/>
              </w:rPr>
              <w:t>Support and provide expert advice to stakeholders within the organisation to ensure quality customer focused services are delivered to high performance and quality standards.</w:t>
            </w:r>
          </w:p>
          <w:p>
            <w:pPr>
              <w:pStyle w:val="Normal"/>
              <w:numPr>
                <w:ilvl w:val="0"/>
                <w:numId w:val="4"/>
              </w:numPr>
              <w:pBdr/>
              <w:rPr>
                <w:rFonts w:ascii="Arial" w:hAnsi="Arial" w:eastAsia="Times New Roman" w:cs="Arial"/>
                <w:color w:val="000000"/>
                <w:sz w:val="22"/>
                <w:szCs w:val="22"/>
              </w:rPr>
            </w:pPr>
            <w:r>
              <w:rPr>
                <w:rFonts w:eastAsia="Times New Roman" w:cs="Arial" w:ascii="Arial" w:hAnsi="Arial"/>
                <w:color w:val="000000"/>
                <w:sz w:val="22"/>
                <w:szCs w:val="22"/>
              </w:rPr>
              <w:t>Undertaking tasks across varying timescales requiring high levels of concentration throughout.</w:t>
            </w:r>
          </w:p>
          <w:p>
            <w:pPr>
              <w:pStyle w:val="Normal"/>
              <w:numPr>
                <w:ilvl w:val="0"/>
                <w:numId w:val="4"/>
              </w:numPr>
              <w:pBdr/>
              <w:rPr/>
            </w:pPr>
            <w:r>
              <w:rPr>
                <w:rFonts w:eastAsia="Calibri" w:cs="Arial" w:ascii="Arial" w:hAnsi="Arial"/>
                <w:sz w:val="22"/>
                <w:szCs w:val="22"/>
              </w:rPr>
              <w:t xml:space="preserve">Establishing, developing and managing multiple </w:t>
            </w:r>
            <w:r>
              <w:rPr>
                <w:rFonts w:cs="Arial" w:ascii="Arial" w:hAnsi="Arial"/>
                <w:sz w:val="22"/>
                <w:szCs w:val="22"/>
              </w:rPr>
              <w:t>relationships with stakeholders including internal colleagues in GMCA and external colleagues in local authorities, and external agencies.</w:t>
            </w:r>
          </w:p>
          <w:p>
            <w:pPr>
              <w:pStyle w:val="ListParagraph"/>
              <w:numPr>
                <w:ilvl w:val="0"/>
                <w:numId w:val="4"/>
              </w:numPr>
              <w:pBdr/>
              <w:spacing w:lineRule="auto" w:line="256" w:before="0" w:after="160"/>
              <w:contextualSpacing/>
              <w:rPr/>
            </w:pPr>
            <w:r>
              <w:rPr/>
              <w:t xml:space="preserve">Writing relevant reports and papers for both internal and external meetings. </w:t>
            </w:r>
          </w:p>
          <w:p>
            <w:pPr>
              <w:pStyle w:val="ListParagraph"/>
              <w:numPr>
                <w:ilvl w:val="0"/>
                <w:numId w:val="4"/>
              </w:numPr>
              <w:pBdr/>
              <w:spacing w:lineRule="auto" w:line="256" w:before="0" w:after="160"/>
              <w:contextualSpacing/>
              <w:rPr/>
            </w:pPr>
            <w:r>
              <w:rPr/>
              <w:t>Being responsible for contributing to the identification of own personal development needs and demonstrate a commitment to continuous self-development.</w:t>
            </w:r>
          </w:p>
          <w:p>
            <w:pPr>
              <w:pStyle w:val="ListParagraph"/>
              <w:numPr>
                <w:ilvl w:val="0"/>
                <w:numId w:val="4"/>
              </w:numPr>
              <w:pBdr/>
              <w:spacing w:lineRule="auto" w:line="256" w:before="0" w:after="160"/>
              <w:contextualSpacing/>
              <w:rPr/>
            </w:pPr>
            <w:r>
              <w:rPr/>
              <w:t xml:space="preserve">Through personal example, open commitment and clear action, ensure diversity is positively valued, resulting in equal access and treatment in employment, service delivery and communications. </w:t>
            </w:r>
          </w:p>
          <w:p>
            <w:pPr>
              <w:pStyle w:val="Normal"/>
              <w:rPr/>
            </w:pPr>
            <w:r>
              <w:rPr>
                <w:rFonts w:cs="Arial" w:ascii="Arial" w:hAnsi="Arial"/>
                <w:b/>
                <w:bCs/>
                <w:sz w:val="22"/>
                <w:szCs w:val="22"/>
              </w:rPr>
              <w:t xml:space="preserve">NB: </w:t>
            </w:r>
            <w:r>
              <w:rPr>
                <w:rFonts w:cs="Arial" w:ascii="Arial" w:hAnsi="Arial"/>
                <w:sz w:val="22"/>
                <w:szCs w:val="22"/>
              </w:rPr>
              <w:t>This list of duties and responsibilities is by no means exhaustive, and the post holder may be required to undertake other relevant and appropriate duties as required.</w:t>
            </w:r>
          </w:p>
          <w:p>
            <w:pPr>
              <w:pStyle w:val="Normal"/>
              <w:pBdr/>
              <w:spacing w:lineRule="auto" w:line="256" w:before="0" w:after="160"/>
              <w:contextualSpacing/>
              <w:rPr/>
            </w:pPr>
            <w:r>
              <w:rPr/>
            </w:r>
          </w:p>
        </w:tc>
      </w:tr>
    </w:tbl>
    <w:p>
      <w:pPr>
        <w:pStyle w:val="Body"/>
        <w:pBdr/>
        <w:ind w:left="0" w:right="261" w:hanging="0"/>
        <w:rPr>
          <w:b/>
          <w:b/>
          <w:bCs/>
          <w:iCs/>
        </w:rPr>
      </w:pPr>
      <w:r>
        <w:rPr>
          <w:b/>
          <w:bCs/>
          <w:iCs/>
        </w:rPr>
      </w:r>
    </w:p>
    <w:p>
      <w:pPr>
        <w:pStyle w:val="Body"/>
        <w:pBdr/>
        <w:ind w:left="0" w:right="261" w:hanging="0"/>
        <w:rPr>
          <w:b/>
          <w:b/>
          <w:bCs/>
          <w:iCs/>
        </w:rPr>
      </w:pPr>
      <w:r>
        <w:rPr>
          <w:b/>
          <w:bCs/>
          <w:iCs/>
        </w:rPr>
      </w:r>
    </w:p>
    <w:p>
      <w:pPr>
        <w:pStyle w:val="Body"/>
        <w:pBdr/>
        <w:ind w:left="0" w:right="261" w:hanging="0"/>
        <w:rPr>
          <w:b/>
          <w:b/>
          <w:bCs/>
          <w:iCs/>
        </w:rPr>
      </w:pPr>
      <w:r>
        <w:rPr>
          <w:b/>
          <w:bCs/>
          <w:iCs/>
        </w:rPr>
      </w:r>
    </w:p>
    <w:p>
      <w:pPr>
        <w:pStyle w:val="Body"/>
        <w:pBdr/>
        <w:ind w:left="0" w:right="261" w:hanging="0"/>
        <w:rPr>
          <w:b/>
          <w:b/>
          <w:bCs/>
          <w:iCs/>
        </w:rPr>
      </w:pPr>
      <w:r>
        <w:rPr>
          <w:b/>
          <w:bCs/>
          <w:iCs/>
        </w:rPr>
      </w:r>
    </w:p>
    <w:tbl>
      <w:tblPr>
        <w:tblW w:w="10359" w:type="dxa"/>
        <w:jc w:val="center"/>
        <w:tblInd w:w="0" w:type="dxa"/>
        <w:tblCellMar>
          <w:top w:w="80" w:type="dxa"/>
          <w:left w:w="80" w:type="dxa"/>
          <w:bottom w:w="80" w:type="dxa"/>
          <w:right w:w="80" w:type="dxa"/>
        </w:tblCellMar>
      </w:tblPr>
      <w:tblGrid>
        <w:gridCol w:w="10359"/>
      </w:tblGrid>
      <w:tr>
        <w:trPr>
          <w:trHeight w:val="180" w:hRule="atLeast"/>
        </w:trPr>
        <w:tc>
          <w:tcPr>
            <w:tcW w:w="10359" w:type="dxa"/>
            <w:tcBorders>
              <w:top w:val="single" w:sz="4" w:space="0" w:color="000000"/>
              <w:left w:val="single" w:sz="4" w:space="0" w:color="000000"/>
              <w:bottom w:val="single" w:sz="4" w:space="0" w:color="000000"/>
              <w:right w:val="single" w:sz="4" w:space="0" w:color="000000"/>
            </w:tcBorders>
            <w:shd w:fill="000000" w:val="clear"/>
          </w:tcPr>
          <w:p>
            <w:pPr>
              <w:pStyle w:val="Body"/>
              <w:pBdr/>
              <w:ind w:left="18" w:right="261" w:hanging="0"/>
              <w:rPr>
                <w:b/>
                <w:b/>
                <w:bCs/>
                <w:color w:val="FFFFFF"/>
                <w:u w:val="none" w:color="FFFFFF"/>
              </w:rPr>
            </w:pPr>
            <w:r>
              <w:rPr>
                <w:b/>
                <w:bCs/>
                <w:color w:val="FFFFFF"/>
                <w:u w:val="none" w:color="FFFFFF"/>
              </w:rPr>
              <w:t>KNOWLEDGE, SKILLS AND EXPERIENCE</w:t>
            </w:r>
          </w:p>
        </w:tc>
      </w:tr>
      <w:tr>
        <w:trPr>
          <w:trHeight w:val="5303" w:hRule="atLeast"/>
        </w:trPr>
        <w:tc>
          <w:tcPr>
            <w:tcW w:w="10359" w:type="dxa"/>
            <w:tcBorders>
              <w:top w:val="single" w:sz="4" w:space="0" w:color="000000"/>
              <w:left w:val="single" w:sz="4" w:space="0" w:color="000000"/>
              <w:bottom w:val="single" w:sz="4" w:space="0" w:color="000000"/>
              <w:right w:val="single" w:sz="4" w:space="0" w:color="000000"/>
            </w:tcBorders>
            <w:shd w:fill="auto" w:val="clear"/>
            <w:tcMar>
              <w:left w:w="363" w:type="dxa"/>
            </w:tcMar>
          </w:tcPr>
          <w:p>
            <w:pPr>
              <w:pStyle w:val="Normal"/>
              <w:pBdr/>
              <w:rPr>
                <w:rFonts w:ascii="Arial" w:hAnsi="Arial" w:eastAsia="Calibri" w:cs="Arial"/>
                <w:b/>
                <w:b/>
                <w:sz w:val="22"/>
                <w:szCs w:val="22"/>
                <w:lang w:val="en-GB" w:eastAsia="en-GB"/>
              </w:rPr>
            </w:pPr>
            <w:r>
              <w:rPr>
                <w:rFonts w:eastAsia="Calibri" w:cs="Arial" w:ascii="Arial" w:hAnsi="Arial"/>
                <w:b/>
                <w:sz w:val="22"/>
                <w:szCs w:val="22"/>
                <w:lang w:val="en-GB" w:eastAsia="en-GB"/>
              </w:rPr>
              <w:t>Experience</w:t>
            </w:r>
          </w:p>
          <w:p>
            <w:pPr>
              <w:pStyle w:val="ListParagraph"/>
              <w:numPr>
                <w:ilvl w:val="0"/>
                <w:numId w:val="3"/>
              </w:numPr>
              <w:pBdr/>
              <w:rPr>
                <w:color w:val="auto"/>
                <w:lang w:val="en-GB"/>
              </w:rPr>
            </w:pPr>
            <w:r>
              <w:rPr>
                <w:color w:val="auto"/>
                <w:lang w:val="en-GB"/>
              </w:rPr>
              <w:t>Chartered Quantity Surveyor with full RICS membership – MRICS (or equivalent)</w:t>
            </w:r>
          </w:p>
          <w:p>
            <w:pPr>
              <w:pStyle w:val="ListParagraph"/>
              <w:numPr>
                <w:ilvl w:val="0"/>
                <w:numId w:val="3"/>
              </w:numPr>
              <w:pBdr/>
              <w:rPr/>
            </w:pPr>
            <w:r>
              <w:rPr>
                <w:color w:val="auto"/>
                <w:lang w:val="en-GB"/>
              </w:rPr>
              <w:t xml:space="preserve">Minimum 5 years of </w:t>
            </w:r>
            <w:r>
              <w:rPr>
                <w:lang w:val="en-GB"/>
              </w:rPr>
              <w:t>experience delivering commercial and cost management services across construction and property projects.</w:t>
            </w:r>
          </w:p>
          <w:p>
            <w:pPr>
              <w:pStyle w:val="ListParagraph"/>
              <w:numPr>
                <w:ilvl w:val="0"/>
                <w:numId w:val="3"/>
              </w:numPr>
              <w:pBdr/>
              <w:rPr/>
            </w:pPr>
            <w:r>
              <w:rPr/>
              <w:t>Experience of working independently on projects with multiple stakeholders from different teams and/or organisations and cultures.</w:t>
            </w:r>
          </w:p>
          <w:p>
            <w:pPr>
              <w:pStyle w:val="ListParagraph"/>
              <w:numPr>
                <w:ilvl w:val="0"/>
                <w:numId w:val="3"/>
              </w:numPr>
              <w:pBdr/>
              <w:rPr>
                <w:lang w:val="en-GB" w:eastAsia="en-GB"/>
              </w:rPr>
            </w:pPr>
            <w:r>
              <w:rPr>
                <w:lang w:val="en-GB" w:eastAsia="en-GB"/>
              </w:rPr>
              <w:t>Experience leading commercial management activities through the full project lifecycle, from business case development and procurement through to completion and final account agreement.</w:t>
            </w:r>
          </w:p>
          <w:p>
            <w:pPr>
              <w:pStyle w:val="ListParagraph"/>
              <w:numPr>
                <w:ilvl w:val="0"/>
                <w:numId w:val="3"/>
              </w:numPr>
              <w:pBdr/>
              <w:rPr>
                <w:lang w:val="en-GB" w:eastAsia="en-GB"/>
              </w:rPr>
            </w:pPr>
            <w:r>
              <w:rPr>
                <w:lang w:val="en-GB" w:eastAsia="en-GB"/>
              </w:rPr>
              <w:t>Demonstrate good working knowledge of the JCT/NEC suite of contracts.</w:t>
            </w:r>
          </w:p>
          <w:p>
            <w:pPr>
              <w:pStyle w:val="ListParagraph"/>
              <w:numPr>
                <w:ilvl w:val="0"/>
                <w:numId w:val="3"/>
              </w:numPr>
              <w:pBdr/>
              <w:rPr>
                <w:lang w:val="en-GB" w:eastAsia="en-GB"/>
              </w:rPr>
            </w:pPr>
            <w:r>
              <w:rPr>
                <w:lang w:val="en-GB" w:eastAsia="en-GB"/>
              </w:rPr>
              <w:t>Experience managing consultants, professional teams and contractor commercial performance.</w:t>
            </w:r>
          </w:p>
          <w:p>
            <w:pPr>
              <w:pStyle w:val="ListParagraph"/>
              <w:numPr>
                <w:ilvl w:val="0"/>
                <w:numId w:val="3"/>
              </w:numPr>
              <w:pBdr/>
              <w:rPr>
                <w:lang w:val="en-GB" w:eastAsia="en-GB"/>
              </w:rPr>
            </w:pPr>
            <w:r>
              <w:rPr>
                <w:lang w:val="en-GB" w:eastAsia="en-GB"/>
              </w:rPr>
              <w:t>Ability to lead from the front as regards to client facing meetings, dealing with multi-disciplined teams and project delivery</w:t>
            </w:r>
          </w:p>
          <w:p>
            <w:pPr>
              <w:pStyle w:val="ListParagraph"/>
              <w:numPr>
                <w:ilvl w:val="0"/>
                <w:numId w:val="3"/>
              </w:numPr>
              <w:pBdr/>
              <w:rPr>
                <w:color w:val="auto"/>
                <w:lang w:val="en-GB"/>
              </w:rPr>
            </w:pPr>
            <w:r>
              <w:rPr>
                <w:color w:val="auto"/>
                <w:lang w:val="en-GB"/>
              </w:rPr>
              <w:t>Experience of line management responsibilities</w:t>
            </w:r>
          </w:p>
          <w:p>
            <w:pPr>
              <w:pStyle w:val="Normal"/>
              <w:pBdr/>
              <w:rPr>
                <w:rFonts w:ascii="Arial" w:hAnsi="Arial" w:cs="Arial"/>
                <w:sz w:val="22"/>
                <w:szCs w:val="22"/>
                <w:highlight w:val="yellow"/>
              </w:rPr>
            </w:pPr>
            <w:r>
              <w:rPr>
                <w:rFonts w:cs="Arial" w:ascii="Arial" w:hAnsi="Arial"/>
                <w:sz w:val="22"/>
                <w:szCs w:val="22"/>
                <w:highlight w:val="yellow"/>
              </w:rPr>
            </w:r>
          </w:p>
          <w:p>
            <w:pPr>
              <w:pStyle w:val="Normal"/>
              <w:pBdr/>
              <w:rPr>
                <w:rFonts w:ascii="Arial" w:hAnsi="Arial" w:eastAsia="Calibri" w:cs="Arial"/>
                <w:b/>
                <w:b/>
                <w:sz w:val="22"/>
                <w:szCs w:val="22"/>
                <w:lang w:val="en-GB" w:eastAsia="en-GB"/>
              </w:rPr>
            </w:pPr>
            <w:r>
              <w:rPr>
                <w:rFonts w:eastAsia="Calibri" w:cs="Arial" w:ascii="Arial" w:hAnsi="Arial"/>
                <w:b/>
                <w:sz w:val="22"/>
                <w:szCs w:val="22"/>
                <w:lang w:val="en-GB" w:eastAsia="en-GB"/>
              </w:rPr>
              <w:t>Knowledge and Skills</w:t>
            </w:r>
          </w:p>
          <w:p>
            <w:pPr>
              <w:pStyle w:val="ListParagraph"/>
              <w:numPr>
                <w:ilvl w:val="0"/>
                <w:numId w:val="3"/>
              </w:numPr>
              <w:pBdr/>
              <w:rPr/>
            </w:pPr>
            <w:r>
              <w:rPr/>
              <w:t>Ability to provide high quality, flexible and timely support directly contributing to the successful management of the Project delivery Funds.</w:t>
            </w:r>
          </w:p>
          <w:p>
            <w:pPr>
              <w:pStyle w:val="Normal"/>
              <w:numPr>
                <w:ilvl w:val="0"/>
                <w:numId w:val="3"/>
              </w:numPr>
              <w:pBdr/>
              <w:rPr/>
            </w:pPr>
            <w:r>
              <w:rPr>
                <w:rFonts w:cs="Arial" w:ascii="Arial" w:hAnsi="Arial"/>
                <w:b/>
                <w:sz w:val="22"/>
                <w:szCs w:val="22"/>
              </w:rPr>
              <w:t xml:space="preserve">Investment: </w:t>
            </w:r>
            <w:r>
              <w:rPr>
                <w:rFonts w:cs="Arial" w:ascii="Arial" w:hAnsi="Arial"/>
                <w:sz w:val="22"/>
                <w:szCs w:val="22"/>
              </w:rPr>
              <w:t>strong understanding of the local and national investment landscape.</w:t>
            </w:r>
          </w:p>
          <w:p>
            <w:pPr>
              <w:pStyle w:val="Normal"/>
              <w:numPr>
                <w:ilvl w:val="0"/>
                <w:numId w:val="3"/>
              </w:numPr>
              <w:pBdr/>
              <w:rPr/>
            </w:pPr>
            <w:r>
              <w:rPr>
                <w:rFonts w:cs="Arial" w:ascii="Arial" w:hAnsi="Arial"/>
                <w:b/>
                <w:sz w:val="22"/>
                <w:szCs w:val="22"/>
              </w:rPr>
              <w:t>Communication and Influence:</w:t>
            </w:r>
            <w:r>
              <w:rPr>
                <w:rFonts w:cs="Arial" w:ascii="Arial" w:hAnsi="Arial"/>
                <w:sz w:val="22"/>
                <w:szCs w:val="22"/>
              </w:rPr>
              <w:t xml:space="preserve"> ability to influence and persuade internal or external stakeholders, securing and directing necessary commitment and resources to deliver results. Writes convincingly and clearly, succinctly and correctly, avoids the unnecessary use of jargon or complicated language; writes in a well-structured and logical way and structures information to meet the needs and understanding of the intended audience.</w:t>
            </w:r>
          </w:p>
          <w:p>
            <w:pPr>
              <w:pStyle w:val="Normal"/>
              <w:numPr>
                <w:ilvl w:val="0"/>
                <w:numId w:val="3"/>
              </w:numPr>
              <w:pBdr/>
              <w:rPr/>
            </w:pPr>
            <w:r>
              <w:rPr>
                <w:rFonts w:cs="Arial" w:ascii="Arial" w:hAnsi="Arial"/>
                <w:b/>
                <w:sz w:val="22"/>
                <w:szCs w:val="22"/>
              </w:rPr>
              <w:t>Analytical Skills:</w:t>
            </w:r>
            <w:r>
              <w:rPr>
                <w:rFonts w:cs="Arial" w:ascii="Arial" w:hAnsi="Arial"/>
                <w:sz w:val="22"/>
                <w:szCs w:val="22"/>
              </w:rPr>
              <w:t xml:space="preserve"> Ability to review and interpret research, evidence, policy and strategy and synthesise for a range of audiences in a range of formats.</w:t>
            </w:r>
          </w:p>
          <w:p>
            <w:pPr>
              <w:pStyle w:val="Normal"/>
              <w:pBdr/>
              <w:ind w:left="720" w:right="0" w:hanging="0"/>
              <w:rPr>
                <w:rFonts w:ascii="Arial" w:hAnsi="Arial" w:cs="Arial"/>
                <w:sz w:val="22"/>
                <w:szCs w:val="22"/>
              </w:rPr>
            </w:pPr>
            <w:r>
              <w:rPr>
                <w:rFonts w:cs="Arial" w:ascii="Arial" w:hAnsi="Arial"/>
                <w:sz w:val="22"/>
                <w:szCs w:val="22"/>
              </w:rPr>
            </w:r>
          </w:p>
          <w:p>
            <w:pPr>
              <w:pStyle w:val="Normal"/>
              <w:pBdr/>
              <w:ind w:left="720" w:right="0" w:hanging="0"/>
              <w:rPr>
                <w:rFonts w:ascii="Arial" w:hAnsi="Arial" w:cs="Arial"/>
                <w:sz w:val="22"/>
                <w:szCs w:val="22"/>
              </w:rPr>
            </w:pPr>
            <w:r>
              <w:rPr>
                <w:rFonts w:cs="Arial" w:ascii="Arial" w:hAnsi="Arial"/>
                <w:sz w:val="22"/>
                <w:szCs w:val="22"/>
              </w:rPr>
            </w:r>
          </w:p>
          <w:p>
            <w:pPr>
              <w:pStyle w:val="Normal"/>
              <w:numPr>
                <w:ilvl w:val="0"/>
                <w:numId w:val="3"/>
              </w:numPr>
              <w:pBdr/>
              <w:rPr/>
            </w:pPr>
            <w:r>
              <w:rPr>
                <w:rFonts w:cs="Arial" w:ascii="Arial" w:hAnsi="Arial"/>
                <w:b/>
                <w:sz w:val="22"/>
                <w:szCs w:val="22"/>
              </w:rPr>
              <w:t>Excellent written, IT and presentation skills:</w:t>
            </w:r>
            <w:r>
              <w:rPr>
                <w:rFonts w:cs="Arial" w:ascii="Arial" w:hAnsi="Arial"/>
                <w:sz w:val="22"/>
                <w:szCs w:val="22"/>
              </w:rPr>
              <w:t xml:space="preserve"> capable of constructing and delivering clear ideas and concepts concisely and accurately for diverse audiences. </w:t>
            </w:r>
          </w:p>
          <w:p>
            <w:pPr>
              <w:pStyle w:val="Normal"/>
              <w:numPr>
                <w:ilvl w:val="0"/>
                <w:numId w:val="3"/>
              </w:numPr>
              <w:pBdr/>
              <w:rPr/>
            </w:pPr>
            <w:r>
              <w:rPr>
                <w:rFonts w:cs="Arial" w:ascii="Arial" w:hAnsi="Arial"/>
                <w:b/>
                <w:sz w:val="22"/>
                <w:szCs w:val="22"/>
              </w:rPr>
              <w:t>Problem solving and Decision making</w:t>
            </w:r>
            <w:r>
              <w:rPr>
                <w:rFonts w:cs="Arial" w:ascii="Arial" w:hAnsi="Arial"/>
                <w:sz w:val="22"/>
                <w:szCs w:val="22"/>
              </w:rPr>
              <w:t>: continually performs at high levels of achievement, demonstrating tenacity, energy and commitment to achieve desired results.</w:t>
            </w:r>
          </w:p>
          <w:p>
            <w:pPr>
              <w:pStyle w:val="Normal"/>
              <w:numPr>
                <w:ilvl w:val="0"/>
                <w:numId w:val="3"/>
              </w:numPr>
              <w:pBdr/>
              <w:rPr/>
            </w:pPr>
            <w:r>
              <w:rPr>
                <w:rFonts w:cs="Arial" w:ascii="Arial" w:hAnsi="Arial"/>
                <w:b/>
                <w:sz w:val="22"/>
                <w:szCs w:val="22"/>
              </w:rPr>
              <w:t>Strategic thinking:</w:t>
            </w:r>
            <w:r>
              <w:rPr>
                <w:rFonts w:cs="Arial" w:ascii="Arial" w:hAnsi="Arial"/>
                <w:sz w:val="22"/>
                <w:szCs w:val="22"/>
              </w:rPr>
              <w:t xml:space="preserve"> skills to identify good practice and areas for improvement in strategy and communicate these to colleagues and key stakeholders.</w:t>
            </w:r>
          </w:p>
          <w:p>
            <w:pPr>
              <w:pStyle w:val="Normal"/>
              <w:numPr>
                <w:ilvl w:val="0"/>
                <w:numId w:val="3"/>
              </w:numPr>
              <w:pBdr/>
              <w:rPr/>
            </w:pPr>
            <w:r>
              <w:rPr>
                <w:rFonts w:cs="Arial" w:ascii="Arial" w:hAnsi="Arial"/>
                <w:b/>
                <w:sz w:val="22"/>
                <w:szCs w:val="22"/>
              </w:rPr>
              <w:t>Commercial skills</w:t>
            </w:r>
            <w:r>
              <w:rPr>
                <w:rFonts w:cs="Arial" w:ascii="Arial" w:hAnsi="Arial"/>
                <w:sz w:val="22"/>
                <w:szCs w:val="22"/>
              </w:rPr>
              <w:t xml:space="preserve">: </w:t>
            </w:r>
            <w:r>
              <w:rPr>
                <w:rFonts w:cs="Arial" w:ascii="Arial" w:hAnsi="Arial"/>
                <w:sz w:val="22"/>
                <w:szCs w:val="22"/>
                <w:lang w:val="en-GB"/>
              </w:rPr>
              <w:t>demonstrates sound business intelligence, understands strategic and operational issues, identifies opportunities to achieve value for money, and applies commercial judgement to support effective decision making.</w:t>
            </w:r>
          </w:p>
          <w:p>
            <w:pPr>
              <w:pStyle w:val="Normal"/>
              <w:numPr>
                <w:ilvl w:val="0"/>
                <w:numId w:val="3"/>
              </w:numPr>
              <w:pBdr/>
              <w:rPr/>
            </w:pPr>
            <w:r>
              <w:rPr>
                <w:rFonts w:cs="Arial" w:ascii="Arial" w:hAnsi="Arial"/>
                <w:sz w:val="22"/>
                <w:szCs w:val="22"/>
              </w:rPr>
              <w:t xml:space="preserve">Knowledge and awareness of the </w:t>
            </w:r>
            <w:r>
              <w:rPr>
                <w:rFonts w:cs="Arial" w:ascii="Arial" w:hAnsi="Arial"/>
                <w:b/>
                <w:sz w:val="22"/>
                <w:szCs w:val="22"/>
              </w:rPr>
              <w:t>current opportunities and issues facing local government and the wider public sector.</w:t>
            </w:r>
          </w:p>
          <w:p>
            <w:pPr>
              <w:pStyle w:val="Normal"/>
              <w:numPr>
                <w:ilvl w:val="0"/>
                <w:numId w:val="3"/>
              </w:numPr>
              <w:pBdr/>
              <w:rPr/>
            </w:pPr>
            <w:r>
              <w:rPr>
                <w:rFonts w:cs="Arial" w:ascii="Arial" w:hAnsi="Arial"/>
                <w:b/>
                <w:sz w:val="22"/>
                <w:szCs w:val="22"/>
              </w:rPr>
              <w:t>Personally well organised</w:t>
            </w:r>
            <w:r>
              <w:rPr>
                <w:rFonts w:cs="Arial" w:ascii="Arial" w:hAnsi="Arial"/>
                <w:sz w:val="22"/>
                <w:szCs w:val="22"/>
              </w:rPr>
              <w:t xml:space="preserve"> with the ability to identify and work to priorities. </w:t>
            </w:r>
          </w:p>
          <w:p>
            <w:pPr>
              <w:pStyle w:val="Normal"/>
              <w:pBdr/>
              <w:ind w:left="720" w:right="0" w:hanging="0"/>
              <w:rPr>
                <w:rFonts w:ascii="Arial" w:hAnsi="Arial" w:eastAsia="Calibri" w:cs="Arial"/>
                <w:sz w:val="22"/>
                <w:szCs w:val="22"/>
                <w:lang w:val="en-GB" w:eastAsia="en-GB"/>
              </w:rPr>
            </w:pPr>
            <w:r>
              <w:rPr>
                <w:rFonts w:eastAsia="Calibri" w:cs="Arial" w:ascii="Arial" w:hAnsi="Arial"/>
                <w:sz w:val="22"/>
                <w:szCs w:val="22"/>
                <w:lang w:val="en-GB" w:eastAsia="en-GB"/>
              </w:rPr>
            </w:r>
          </w:p>
        </w:tc>
      </w:tr>
    </w:tbl>
    <w:p>
      <w:pPr>
        <w:pStyle w:val="Body"/>
        <w:pBdr/>
        <w:ind w:left="0" w:right="261" w:hanging="0"/>
        <w:rPr>
          <w:b/>
          <w:b/>
          <w:bCs/>
          <w:iCs/>
        </w:rPr>
      </w:pPr>
      <w:r>
        <w:rPr>
          <w:b/>
          <w:bCs/>
          <w:iCs/>
        </w:rPr>
      </w:r>
    </w:p>
    <w:tbl>
      <w:tblPr>
        <w:tblW w:w="10359" w:type="dxa"/>
        <w:jc w:val="center"/>
        <w:tblInd w:w="0" w:type="dxa"/>
        <w:tblCellMar>
          <w:top w:w="80" w:type="dxa"/>
          <w:left w:w="80" w:type="dxa"/>
          <w:bottom w:w="80" w:type="dxa"/>
          <w:right w:w="80" w:type="dxa"/>
        </w:tblCellMar>
      </w:tblPr>
      <w:tblGrid>
        <w:gridCol w:w="10359"/>
      </w:tblGrid>
      <w:tr>
        <w:trPr>
          <w:trHeight w:val="180" w:hRule="atLeast"/>
        </w:trPr>
        <w:tc>
          <w:tcPr>
            <w:tcW w:w="10359" w:type="dxa"/>
            <w:tcBorders>
              <w:top w:val="single" w:sz="4" w:space="0" w:color="000000"/>
              <w:left w:val="single" w:sz="4" w:space="0" w:color="000000"/>
              <w:bottom w:val="single" w:sz="4" w:space="0" w:color="000000"/>
              <w:right w:val="single" w:sz="4" w:space="0" w:color="000000"/>
            </w:tcBorders>
            <w:shd w:fill="000000" w:val="clear"/>
          </w:tcPr>
          <w:p>
            <w:pPr>
              <w:pStyle w:val="Body"/>
              <w:pBdr/>
              <w:ind w:left="18" w:right="261" w:hanging="0"/>
              <w:rPr>
                <w:b/>
                <w:b/>
                <w:bCs/>
                <w:color w:val="FFFFFF"/>
                <w:u w:val="none" w:color="FFFFFF"/>
              </w:rPr>
            </w:pPr>
            <w:r>
              <w:rPr>
                <w:b/>
                <w:bCs/>
                <w:color w:val="FFFFFF"/>
                <w:u w:val="none" w:color="FFFFFF"/>
              </w:rPr>
              <w:t>VALUES AND BEHAVIOURS</w:t>
            </w:r>
          </w:p>
        </w:tc>
      </w:tr>
      <w:tr>
        <w:trPr>
          <w:trHeight w:val="23" w:hRule="atLeast"/>
        </w:trPr>
        <w:tc>
          <w:tcPr>
            <w:tcW w:w="10359" w:type="dxa"/>
            <w:tcBorders>
              <w:top w:val="single" w:sz="4" w:space="0" w:color="000000"/>
              <w:left w:val="single" w:sz="4" w:space="0" w:color="000000"/>
              <w:bottom w:val="single" w:sz="4" w:space="0" w:color="000000"/>
              <w:right w:val="single" w:sz="4" w:space="0" w:color="000000"/>
            </w:tcBorders>
            <w:shd w:fill="auto" w:val="clear"/>
            <w:tcMar>
              <w:left w:w="363" w:type="dxa"/>
            </w:tcMar>
          </w:tcPr>
          <w:p>
            <w:pPr>
              <w:pStyle w:val="ListParagraph"/>
              <w:pBdr/>
              <w:snapToGrid w:val="false"/>
              <w:ind w:left="714" w:right="0" w:hanging="0"/>
              <w:rPr>
                <w:lang w:val="en-GB" w:eastAsia="en-GB"/>
              </w:rPr>
            </w:pPr>
            <w:r>
              <w:rPr>
                <w:lang w:val="en-GB" w:eastAsia="en-GB"/>
              </w:rPr>
            </w:r>
          </w:p>
          <w:p>
            <w:pPr>
              <w:pStyle w:val="ListParagraph"/>
              <w:numPr>
                <w:ilvl w:val="0"/>
                <w:numId w:val="5"/>
              </w:numPr>
              <w:pBdr/>
              <w:ind w:left="714" w:right="0" w:hanging="357"/>
              <w:rPr>
                <w:lang w:val="en-GB" w:eastAsia="en-GB"/>
              </w:rPr>
            </w:pPr>
            <w:r>
              <w:rPr>
                <w:lang w:val="en-GB" w:eastAsia="en-GB"/>
              </w:rPr>
              <w:t>A desire to network internally across the organisation and externally with contractors, partners and Local Authorities.</w:t>
            </w:r>
          </w:p>
          <w:p>
            <w:pPr>
              <w:pStyle w:val="ListParagraph"/>
              <w:numPr>
                <w:ilvl w:val="0"/>
                <w:numId w:val="5"/>
              </w:numPr>
              <w:pBdr/>
              <w:ind w:left="714" w:right="0" w:hanging="357"/>
              <w:rPr>
                <w:lang w:val="en-GB" w:eastAsia="en-GB"/>
              </w:rPr>
            </w:pPr>
            <w:r>
              <w:rPr>
                <w:lang w:val="en-GB" w:eastAsia="en-GB"/>
              </w:rPr>
              <w:t>Committed to public service and delivering high quality programmes and projects that improve outcomes for the residents of Greater Manchester.</w:t>
            </w:r>
          </w:p>
          <w:p>
            <w:pPr>
              <w:pStyle w:val="ListParagraph"/>
              <w:numPr>
                <w:ilvl w:val="0"/>
                <w:numId w:val="5"/>
              </w:numPr>
              <w:pBdr/>
              <w:ind w:left="714" w:right="0" w:hanging="357"/>
              <w:rPr>
                <w:lang w:val="en-GB"/>
              </w:rPr>
            </w:pPr>
            <w:r>
              <w:rPr>
                <w:lang w:val="en-GB"/>
              </w:rPr>
              <w:t>Willingness and ability to travel across the county when required, within a reasonable time to meet the role demands.</w:t>
            </w:r>
          </w:p>
          <w:p>
            <w:pPr>
              <w:pStyle w:val="ListParagraph"/>
              <w:numPr>
                <w:ilvl w:val="0"/>
                <w:numId w:val="5"/>
              </w:numPr>
              <w:pBdr/>
              <w:ind w:left="714" w:right="0" w:hanging="357"/>
              <w:rPr>
                <w:lang w:val="en-GB" w:eastAsia="en-GB"/>
              </w:rPr>
            </w:pPr>
            <w:r>
              <w:rPr>
                <w:lang w:val="en-GB" w:eastAsia="en-GB"/>
              </w:rPr>
              <w:t>High standard of integrity and ethics, and the ability to maintain professional standards.</w:t>
            </w:r>
          </w:p>
          <w:p>
            <w:pPr>
              <w:pStyle w:val="ListParagraph"/>
              <w:numPr>
                <w:ilvl w:val="0"/>
                <w:numId w:val="5"/>
              </w:numPr>
              <w:pBdr/>
              <w:ind w:left="714" w:right="0" w:hanging="357"/>
              <w:rPr>
                <w:lang w:val="en-GB" w:eastAsia="en-GB"/>
              </w:rPr>
            </w:pPr>
            <w:r>
              <w:rPr>
                <w:lang w:val="en-GB" w:eastAsia="en-GB"/>
              </w:rPr>
              <w:t>Understanding of and commitment to promotion of equality and diversity.</w:t>
            </w:r>
          </w:p>
          <w:p>
            <w:pPr>
              <w:pStyle w:val="ListParagraph"/>
              <w:numPr>
                <w:ilvl w:val="0"/>
                <w:numId w:val="5"/>
              </w:numPr>
              <w:pBdr/>
              <w:ind w:left="714" w:right="0" w:hanging="357"/>
              <w:rPr>
                <w:lang w:val="en-GB" w:eastAsia="en-GB"/>
              </w:rPr>
            </w:pPr>
            <w:r>
              <w:rPr>
                <w:lang w:val="en-GB" w:eastAsia="en-GB"/>
              </w:rPr>
              <w:t>A desire to constantly learn, welcomes constructive challenge and reflects on own practice.</w:t>
            </w:r>
          </w:p>
          <w:p>
            <w:pPr>
              <w:pStyle w:val="ListParagraph"/>
              <w:numPr>
                <w:ilvl w:val="0"/>
                <w:numId w:val="5"/>
              </w:numPr>
              <w:pBdr/>
              <w:ind w:left="714" w:right="0" w:hanging="357"/>
              <w:rPr>
                <w:lang w:val="en-GB" w:eastAsia="en-GB"/>
              </w:rPr>
            </w:pPr>
            <w:r>
              <w:rPr>
                <w:lang w:val="en-GB" w:eastAsia="en-GB"/>
              </w:rPr>
              <w:t>Capacity to cope with challenges, pressures and setbacks.</w:t>
            </w:r>
          </w:p>
          <w:p>
            <w:pPr>
              <w:pStyle w:val="ListParagraph"/>
              <w:numPr>
                <w:ilvl w:val="0"/>
                <w:numId w:val="5"/>
              </w:numPr>
              <w:pBdr/>
              <w:ind w:left="714" w:right="0" w:hanging="357"/>
              <w:rPr>
                <w:lang w:val="en-GB" w:eastAsia="en-GB"/>
              </w:rPr>
            </w:pPr>
            <w:r>
              <w:rPr>
                <w:lang w:val="en-GB" w:eastAsia="en-GB"/>
              </w:rPr>
              <w:t xml:space="preserve">A high degree of initiative and flexibility. </w:t>
            </w:r>
          </w:p>
          <w:p>
            <w:pPr>
              <w:pStyle w:val="ListParagraph"/>
              <w:numPr>
                <w:ilvl w:val="0"/>
                <w:numId w:val="5"/>
              </w:numPr>
              <w:pBdr/>
              <w:ind w:left="714" w:right="0" w:hanging="357"/>
              <w:rPr>
                <w:lang w:val="en-GB" w:eastAsia="en-GB"/>
              </w:rPr>
            </w:pPr>
            <w:r>
              <w:rPr>
                <w:lang w:val="en-GB" w:eastAsia="en-GB"/>
              </w:rPr>
              <w:t xml:space="preserve">High level of attention to detail and a strong commitment to high quality work. </w:t>
            </w:r>
          </w:p>
          <w:p>
            <w:pPr>
              <w:pStyle w:val="ListParagraph"/>
              <w:numPr>
                <w:ilvl w:val="0"/>
                <w:numId w:val="5"/>
              </w:numPr>
              <w:pBdr/>
              <w:ind w:left="714" w:right="0" w:hanging="357"/>
              <w:rPr>
                <w:lang w:val="en-GB" w:eastAsia="en-GB"/>
              </w:rPr>
            </w:pPr>
            <w:r>
              <w:rPr>
                <w:lang w:val="en-GB" w:eastAsia="en-GB"/>
              </w:rPr>
              <w:t>Works with care and consideration for others.</w:t>
            </w:r>
          </w:p>
          <w:p>
            <w:pPr>
              <w:pStyle w:val="ListParagraph"/>
              <w:numPr>
                <w:ilvl w:val="0"/>
                <w:numId w:val="5"/>
              </w:numPr>
              <w:pBdr/>
              <w:ind w:left="714" w:right="0" w:hanging="357"/>
              <w:rPr>
                <w:lang w:val="en-GB" w:eastAsia="en-GB"/>
              </w:rPr>
            </w:pPr>
            <w:r>
              <w:rPr>
                <w:lang w:val="en-GB" w:eastAsia="en-GB"/>
              </w:rPr>
              <w:t>Politically astute.</w:t>
            </w:r>
          </w:p>
          <w:p>
            <w:pPr>
              <w:pStyle w:val="ListParagraph"/>
              <w:pBdr/>
              <w:ind w:left="714" w:right="0" w:hanging="0"/>
              <w:rPr>
                <w:lang w:val="en-GB" w:eastAsia="en-GB"/>
              </w:rPr>
            </w:pPr>
            <w:r>
              <w:rPr>
                <w:lang w:val="en-GB" w:eastAsia="en-GB"/>
              </w:rPr>
            </w:r>
          </w:p>
        </w:tc>
      </w:tr>
    </w:tbl>
    <w:p>
      <w:pPr>
        <w:pStyle w:val="Body"/>
        <w:pBdr/>
        <w:ind w:left="0" w:right="261" w:hanging="0"/>
        <w:rPr/>
      </w:pPr>
      <w:r>
        <w:rPr/>
      </w:r>
    </w:p>
    <w:sectPr>
      <w:headerReference w:type="default" r:id="rId3"/>
      <w:headerReference w:type="first" r:id="rId4"/>
      <w:footerReference w:type="default" r:id="rId5"/>
      <w:footerReference w:type="first" r:id="rId6"/>
      <w:type w:val="nextPage"/>
      <w:pgSz w:w="11906" w:h="16838"/>
      <w:pgMar w:left="1440" w:right="1440" w:header="227" w:top="567" w:footer="144" w:bottom="794"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Book Antiqua">
    <w:charset w:val="00"/>
    <w:family w:val="roman"/>
    <w:pitch w:val="variable"/>
  </w:font>
  <w:font w:name="Liberation Sans">
    <w:altName w:val="Arial"/>
    <w:charset w:val="00"/>
    <w:family w:val="swiss"/>
    <w:pitch w:val="variable"/>
  </w:font>
  <w:font w:name="Tahoma">
    <w:charset w:val="00"/>
    <w:family w:val="roman"/>
    <w:pitch w:val="variable"/>
  </w:font>
  <w:font w:name="Frutiger LT St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4</w:t>
    </w:r>
    <w:r>
      <w:rPr/>
      <w:fldChar w:fldCharType="end"/>
    </w:r>
  </w:p>
  <w:p>
    <w:pPr>
      <w:pStyle w:val="Footer"/>
      <w:pBd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458" w:hanging="360"/>
      </w:pPr>
      <w:rPr>
        <w:rFonts w:ascii="Symbol" w:hAnsi="Symbol" w:cs="Symbol" w:hint="default"/>
        <w:sz w:val="24"/>
        <w:b/>
        <w:rFonts w:cs="Symbol"/>
        <w:color w:val="auto"/>
      </w:rPr>
    </w:lvl>
    <w:lvl w:ilvl="1">
      <w:start w:val="1"/>
      <w:numFmt w:val="bullet"/>
      <w:lvlText w:val="o"/>
      <w:lvlJc w:val="left"/>
      <w:pPr>
        <w:ind w:left="1178" w:hanging="360"/>
      </w:pPr>
      <w:rPr>
        <w:rFonts w:ascii="Courier New" w:hAnsi="Courier New" w:cs="Courier New" w:hint="default"/>
        <w:rFonts w:cs="Courier New"/>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Courier New"/>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Courier New"/>
      </w:rPr>
    </w:lvl>
    <w:lvl w:ilvl="8">
      <w:start w:val="1"/>
      <w:numFmt w:val="bullet"/>
      <w:lvlText w:val=""/>
      <w:lvlJc w:val="left"/>
      <w:pPr>
        <w:ind w:left="6218"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2"/>
        <w:szCs w:val="22"/>
        <w:rFonts w:cs="Symbol"/>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szCs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927"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pBdr/>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Times New Roman" w:cs="Cambria"/>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Times New Roman" w:cs="Cambria"/>
      <w:b/>
      <w:bCs/>
      <w:color w:val="4F81BD"/>
      <w:sz w:val="26"/>
      <w:szCs w:val="26"/>
    </w:rPr>
  </w:style>
  <w:style w:type="paragraph" w:styleId="Heading3">
    <w:name w:val="Heading 3"/>
    <w:basedOn w:val="Normal"/>
    <w:next w:val="Body"/>
    <w:qFormat/>
    <w:pPr>
      <w:keepNext w:val="true"/>
      <w:numPr>
        <w:ilvl w:val="2"/>
        <w:numId w:val="1"/>
      </w:numPr>
      <w:outlineLvl w:val="2"/>
    </w:pPr>
    <w:rPr>
      <w:rFonts w:ascii="Arial" w:hAnsi="Arial" w:eastAsia="Calibri" w:cs="Arial"/>
      <w:b/>
      <w:bCs/>
      <w:color w:val="FFFFFF"/>
      <w:u w:val="none" w:color="FFFFFF"/>
    </w:rPr>
  </w:style>
  <w:style w:type="paragraph" w:styleId="Heading6">
    <w:name w:val="Heading 6"/>
    <w:basedOn w:val="Normal"/>
    <w:next w:val="Normal"/>
    <w:qFormat/>
    <w:pPr>
      <w:keepNext w:val="true"/>
      <w:keepLines/>
      <w:numPr>
        <w:ilvl w:val="5"/>
        <w:numId w:val="1"/>
      </w:numPr>
      <w:spacing w:before="40" w:after="0"/>
      <w:outlineLvl w:val="5"/>
    </w:pPr>
    <w:rPr>
      <w:rFonts w:ascii="Cambria" w:hAnsi="Cambria" w:eastAsia="ＭＳ ゴシック" w:cs=""/>
      <w:color w:val="243F60"/>
    </w:rPr>
  </w:style>
  <w:style w:type="character" w:styleId="WW8Num1z0">
    <w:name w:val="WW8Num1z0"/>
    <w:qFormat/>
    <w:rPr>
      <w:rFonts w:ascii="Symbol" w:hAnsi="Symbol" w:cs="Symbol"/>
      <w:b/>
      <w:color w:val="auto"/>
      <w:sz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sz w:val="22"/>
      <w:szCs w:val="22"/>
      <w:lang w:val="en-GB"/>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sz w:val="22"/>
      <w:szCs w:val="22"/>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basedOn w:val="DefaultParagraphFont"/>
    <w:qFormat/>
    <w:rPr>
      <w:rFonts w:ascii="Cambria" w:hAnsi="Cambria" w:cs="Times New Roman"/>
      <w:b/>
      <w:bCs/>
      <w:color w:val="365F91"/>
      <w:sz w:val="28"/>
      <w:szCs w:val="28"/>
      <w:lang w:val="en-US"/>
    </w:rPr>
  </w:style>
  <w:style w:type="character" w:styleId="Heading2Char">
    <w:name w:val="Heading 2 Char"/>
    <w:basedOn w:val="DefaultParagraphFont"/>
    <w:qFormat/>
    <w:rPr>
      <w:rFonts w:ascii="Cambria" w:hAnsi="Cambria" w:cs="Times New Roman"/>
      <w:b/>
      <w:bCs/>
      <w:color w:val="4F81BD"/>
      <w:sz w:val="26"/>
      <w:szCs w:val="26"/>
      <w:lang w:val="en-US"/>
    </w:rPr>
  </w:style>
  <w:style w:type="character" w:styleId="Heading3Char">
    <w:name w:val="Heading 3 Char"/>
    <w:basedOn w:val="DefaultParagraphFont"/>
    <w:qFormat/>
    <w:rPr>
      <w:rFonts w:ascii="Arial" w:hAnsi="Arial" w:eastAsia="Times New Roman" w:cs="Arial"/>
      <w:b/>
      <w:bCs/>
      <w:color w:val="FFFFFF"/>
      <w:sz w:val="24"/>
      <w:szCs w:val="24"/>
      <w:u w:val="none" w:color="FFFFFF"/>
      <w:lang w:val="en-US" w:eastAsia="en-US" w:bidi="ar-SA"/>
    </w:rPr>
  </w:style>
  <w:style w:type="character" w:styleId="HeaderChar">
    <w:name w:val="Header Char"/>
    <w:basedOn w:val="DefaultParagraphFont"/>
    <w:qFormat/>
    <w:rPr>
      <w:rFonts w:ascii="Arial" w:hAnsi="Arial" w:eastAsia="Times New Roman" w:cs="Arial"/>
      <w:color w:val="000000"/>
      <w:sz w:val="22"/>
      <w:szCs w:val="22"/>
      <w:u w:val="none" w:color="000000"/>
      <w:lang w:val="en-US" w:eastAsia="en-US" w:bidi="ar-SA"/>
    </w:rPr>
  </w:style>
  <w:style w:type="character" w:styleId="FooterChar">
    <w:name w:val="Footer Char"/>
    <w:basedOn w:val="DefaultParagraphFont"/>
    <w:qFormat/>
    <w:rPr>
      <w:rFonts w:ascii="Arial" w:hAnsi="Arial" w:eastAsia="Times New Roman" w:cs="Arial"/>
      <w:color w:val="000000"/>
      <w:sz w:val="22"/>
      <w:szCs w:val="22"/>
      <w:u w:val="none" w:color="000000"/>
      <w:lang w:val="en-US" w:eastAsia="en-US" w:bidi="ar-SA"/>
    </w:rPr>
  </w:style>
  <w:style w:type="character" w:styleId="Annotationreference">
    <w:name w:val="annotation reference"/>
    <w:basedOn w:val="DefaultParagraphFont"/>
    <w:qFormat/>
    <w:rPr>
      <w:rFonts w:cs="Times New Roman"/>
      <w:sz w:val="16"/>
      <w:szCs w:val="16"/>
    </w:rPr>
  </w:style>
  <w:style w:type="character" w:styleId="CommentTextChar">
    <w:name w:val="Comment Text Char"/>
    <w:basedOn w:val="DefaultParagraphFont"/>
    <w:qFormat/>
    <w:rPr>
      <w:rFonts w:ascii="Times New Roman" w:hAnsi="Times New Roman" w:eastAsia="Arial Unicode MS" w:cs="Times New Roman"/>
      <w:sz w:val="20"/>
      <w:szCs w:val="20"/>
      <w:lang w:val="en-US" w:eastAsia="en-US"/>
    </w:rPr>
  </w:style>
  <w:style w:type="character" w:styleId="BalloonTextChar">
    <w:name w:val="Balloon Text Char"/>
    <w:basedOn w:val="DefaultParagraphFont"/>
    <w:qFormat/>
    <w:rPr>
      <w:rFonts w:ascii="Times New Roman" w:hAnsi="Times New Roman" w:eastAsia="Arial Unicode MS" w:cs="Times New Roman"/>
      <w:sz w:val="0"/>
      <w:szCs w:val="0"/>
      <w:lang w:val="en-US" w:eastAsia="en-US"/>
    </w:rPr>
  </w:style>
  <w:style w:type="character" w:styleId="CommentSubjectChar">
    <w:name w:val="Comment Subject Char"/>
    <w:basedOn w:val="CommentTextChar"/>
    <w:qFormat/>
    <w:rPr>
      <w:rFonts w:ascii="Times New Roman" w:hAnsi="Times New Roman" w:eastAsia="Arial Unicode MS" w:cs="Times New Roman"/>
      <w:b/>
      <w:bCs/>
      <w:sz w:val="20"/>
      <w:szCs w:val="20"/>
      <w:lang w:val="en-US" w:eastAsia="en-US"/>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Heading6Char">
    <w:name w:val="Heading 6 Char"/>
    <w:basedOn w:val="DefaultParagraphFont"/>
    <w:qFormat/>
    <w:rPr>
      <w:rFonts w:ascii="Cambria" w:hAnsi="Cambria" w:eastAsia="ＭＳ ゴシック" w:cs=""/>
      <w:color w:val="243F60"/>
      <w:sz w:val="24"/>
      <w:szCs w:val="24"/>
      <w:lang w:val="en-US" w:eastAsia="en-US"/>
    </w:rPr>
  </w:style>
  <w:style w:type="character" w:styleId="ListParagraphChar">
    <w:name w:val="List Paragraph Char"/>
    <w:basedOn w:val="DefaultParagraphFont"/>
    <w:qFormat/>
    <w:rPr>
      <w:rFonts w:ascii="Arial" w:hAnsi="Arial" w:cs="Arial"/>
      <w:color w:val="000000"/>
      <w:u w:val="none" w:color="000000"/>
      <w:lang w:val="en-US" w:eastAsia="en-US"/>
    </w:rPr>
  </w:style>
  <w:style w:type="character" w:styleId="BodyTextChar">
    <w:name w:val="Body Text Char"/>
    <w:basedOn w:val="DefaultParagraphFont"/>
    <w:qFormat/>
    <w:rPr>
      <w:rFonts w:ascii="Book Antiqua" w:hAnsi="Book Antiqua" w:eastAsia="Times New Roman" w:cs="Book Antiqua"/>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pBdr/>
      <w:overflowPunct w:val="true"/>
      <w:jc w:val="both"/>
      <w:textAlignment w:val="baseline"/>
    </w:pPr>
    <w:rPr>
      <w:rFonts w:ascii="Book Antiqua" w:hAnsi="Book Antiqua" w:eastAsia="Times New Roman" w:cs="Book Antiqua"/>
      <w:sz w:val="22"/>
      <w:szCs w:val="20"/>
      <w:lang w:val="en-GB" w:eastAsia="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rFonts w:ascii="Arial" w:hAnsi="Arial" w:eastAsia="Calibri" w:cs="Arial"/>
      <w:color w:val="000000"/>
      <w:sz w:val="22"/>
      <w:szCs w:val="22"/>
      <w:u w:val="none" w:color="000000"/>
    </w:rPr>
  </w:style>
  <w:style w:type="paragraph" w:styleId="Footer">
    <w:name w:val="Footer"/>
    <w:basedOn w:val="Normal"/>
    <w:pPr>
      <w:tabs>
        <w:tab w:val="clear" w:pos="720"/>
        <w:tab w:val="center" w:pos="4153" w:leader="none"/>
        <w:tab w:val="right" w:pos="8306" w:leader="none"/>
      </w:tabs>
    </w:pPr>
    <w:rPr>
      <w:rFonts w:ascii="Arial" w:hAnsi="Arial" w:eastAsia="Calibri" w:cs="Arial"/>
      <w:color w:val="000000"/>
      <w:sz w:val="22"/>
      <w:szCs w:val="22"/>
      <w:u w:val="none" w:color="000000"/>
    </w:rPr>
  </w:style>
  <w:style w:type="paragraph" w:styleId="Body">
    <w:name w:val="Body"/>
    <w:qFormat/>
    <w:pPr>
      <w:widowControl/>
      <w:pBdr/>
      <w:suppressAutoHyphens w:val="true"/>
      <w:bidi w:val="0"/>
      <w:spacing w:before="0" w:after="0"/>
      <w:jc w:val="left"/>
    </w:pPr>
    <w:rPr>
      <w:rFonts w:ascii="Arial" w:hAnsi="Arial" w:eastAsia="Calibri" w:cs="Arial"/>
      <w:color w:val="000000"/>
      <w:kern w:val="0"/>
      <w:sz w:val="24"/>
      <w:szCs w:val="22"/>
      <w:u w:val="none" w:color="000000"/>
      <w:lang w:val="en-GB" w:eastAsia="en-US" w:bidi="ar-SA"/>
    </w:rPr>
  </w:style>
  <w:style w:type="paragraph" w:styleId="ListParagraph">
    <w:name w:val="List Paragraph"/>
    <w:basedOn w:val="Normal"/>
    <w:qFormat/>
    <w:pPr>
      <w:ind w:left="720" w:right="0" w:hanging="0"/>
    </w:pPr>
    <w:rPr>
      <w:rFonts w:ascii="Arial" w:hAnsi="Arial" w:eastAsia="Calibri" w:cs="Arial"/>
      <w:color w:val="000000"/>
      <w:sz w:val="22"/>
      <w:szCs w:val="22"/>
      <w:u w:val="none" w:color="000000"/>
    </w:rPr>
  </w:style>
  <w:style w:type="paragraph" w:styleId="Annotationtext">
    <w:name w:val="annotation text"/>
    <w:basedOn w:val="Normal"/>
    <w:qFormat/>
    <w:pPr>
      <w:pBdr/>
    </w:pPr>
    <w:rPr>
      <w:rFonts w:eastAsia="Calibri"/>
      <w:sz w:val="20"/>
      <w:szCs w:val="20"/>
      <w:lang w:val="en-GB" w:eastAsia="en-GB"/>
    </w:rPr>
  </w:style>
  <w:style w:type="paragraph" w:styleId="BalloonText">
    <w:name w:val="Balloon Text"/>
    <w:basedOn w:val="Normal"/>
    <w:qFormat/>
    <w:pPr/>
    <w:rPr>
      <w:rFonts w:ascii="Tahoma" w:hAnsi="Tahoma" w:cs="Tahoma"/>
      <w:sz w:val="16"/>
      <w:szCs w:val="16"/>
    </w:rPr>
  </w:style>
  <w:style w:type="paragraph" w:styleId="Annotationsubject">
    <w:name w:val="annotation subject"/>
    <w:basedOn w:val="Annotationtext"/>
    <w:next w:val="Annotationtext"/>
    <w:qFormat/>
    <w:pPr>
      <w:pBdr/>
    </w:pPr>
    <w:rPr>
      <w:rFonts w:eastAsia="Arial Unicode MS"/>
      <w:b/>
      <w:bCs/>
      <w:lang w:val="en-US" w:eastAsia="en-US"/>
    </w:rPr>
  </w:style>
  <w:style w:type="paragraph" w:styleId="NormalWeb">
    <w:name w:val="Normal (Web)"/>
    <w:basedOn w:val="Normal"/>
    <w:qFormat/>
    <w:pPr>
      <w:pBdr/>
      <w:spacing w:before="0" w:after="192"/>
    </w:pPr>
    <w:rPr>
      <w:rFonts w:eastAsia="Times New Roman"/>
      <w:lang w:val="en-GB" w:eastAsia="en-GB"/>
    </w:rPr>
  </w:style>
  <w:style w:type="paragraph" w:styleId="DefaultText1">
    <w:name w:val="Default Text:1"/>
    <w:basedOn w:val="Normal"/>
    <w:qFormat/>
    <w:pPr>
      <w:pBdr/>
      <w:overflowPunct w:val="true"/>
    </w:pPr>
    <w:rPr>
      <w:rFonts w:eastAsia="Times New Roman"/>
      <w:color w:val="000000"/>
      <w:szCs w:val="20"/>
    </w:rPr>
  </w:style>
  <w:style w:type="paragraph" w:styleId="Default">
    <w:name w:val="Default"/>
    <w:qFormat/>
    <w:pPr>
      <w:widowControl/>
      <w:suppressAutoHyphens w:val="true"/>
      <w:bidi w:val="0"/>
      <w:spacing w:before="0" w:after="0"/>
      <w:jc w:val="left"/>
    </w:pPr>
    <w:rPr>
      <w:rFonts w:ascii="Frutiger LT Std" w:hAnsi="Frutiger LT Std" w:eastAsia="Calibri" w:cs="Frutiger LT Std"/>
      <w:color w:val="000000"/>
      <w:kern w:val="0"/>
      <w:sz w:val="24"/>
      <w:szCs w:val="24"/>
      <w:lang w:val="en-GB" w:eastAsia="en-US" w:bidi="ar-SA"/>
    </w:rPr>
  </w:style>
  <w:style w:type="paragraph" w:styleId="DefaultText">
    <w:name w:val="Default Text"/>
    <w:basedOn w:val="Normal"/>
    <w:qFormat/>
    <w:pPr>
      <w:pBdr/>
      <w:overflowPunct w:val="true"/>
      <w:textAlignment w:val="baseline"/>
    </w:pPr>
    <w:rPr>
      <w:rFonts w:ascii="Arial" w:hAnsi="Arial" w:eastAsia="Times New Roman" w:cs="Arial"/>
      <w:color w:val="000000"/>
      <w:szCs w:val="20"/>
    </w:rPr>
  </w:style>
  <w:style w:type="paragraph" w:styleId="Revision">
    <w:name w:val="Revision"/>
    <w:qFormat/>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50</TotalTime>
  <Application>LibreOffice/6.3.4.2$Windows_X86_64 LibreOffice_project/60da17e045e08f1793c57c00ba83cdfce946d0aa</Application>
  <Company>Economic Solutions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2026-03-12T12:10:00Z</dcterms:created>
  <dc:creator>Casey, Natalie (Manchester Solutions)</dc:creator>
  <dc:description/>
  <dc:language>en-US</dc:language>
  <cp:lastModifiedBy>Keith Questel-Lewis</cp:lastModifiedBy>
  <cp:lastPrinted>1995-11-21T17:41:00Z</cp:lastPrinted>
  <dcterms:modified xsi:type="dcterms:W3CDTF">2026-07-23T10:50:00Z</dcterms:modified>
  <cp:revision>54</cp:revision>
  <dc:subject/>
  <dc:title>Manchester Growth Company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Economic Solutions</vt:lpwstr>
  </property>
  <property fmtid="{D5CDD505-2E9C-101B-9397-08002B2CF9AE}" pid="4" name="ContentTypeId">
    <vt:lpwstr>0x0101000C1E81918F9A674284F3617D9BC87F93</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Owner">
    <vt:lpwstr>812;#HR Advice</vt:lpwstr>
  </property>
  <property fmtid="{D5CDD505-2E9C-101B-9397-08002B2CF9AE}" pid="9" name="Review Date">
    <vt:lpwstr>2016-09-16T23:00:00Z</vt:lpwstr>
  </property>
  <property fmtid="{D5CDD505-2E9C-101B-9397-08002B2CF9AE}" pid="10" name="ScaleCrop">
    <vt:bool>0</vt:bool>
  </property>
  <property fmtid="{D5CDD505-2E9C-101B-9397-08002B2CF9AE}" pid="11" name="ShareDoc">
    <vt:bool>0</vt:bool>
  </property>
</Properties>
</file>