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bCs/>
        </w:rPr>
      </w:pPr>
      <w:r>
        <w:rPr>
          <w:b/>
          <w:bCs/>
        </w:rPr>
        <w:t>Job Description</w:t>
      </w:r>
    </w:p>
    <w:p>
      <w:pPr>
        <w:pStyle w:val="Normal"/>
        <w:rPr/>
      </w:pPr>
      <w:r>
        <w:rPr>
          <w:b/>
          <w:bCs/>
        </w:rPr>
        <w:t>Job Title:</w:t>
      </w:r>
      <w:r>
        <w:rPr/>
        <w:t xml:space="preserve"> Poverty Reduction and Financial Resilience Project Officer</w:t>
        <w:br/>
      </w:r>
      <w:r>
        <w:rPr>
          <w:b/>
          <w:bCs/>
        </w:rPr>
        <w:t>Date:</w:t>
      </w:r>
      <w:r>
        <w:rPr/>
        <w:t xml:space="preserve"> April 2026 (adapted)</w:t>
      </w:r>
    </w:p>
    <w:p>
      <w:pPr>
        <w:pStyle w:val="Normal"/>
        <w:rPr/>
      </w:pPr>
      <w:r>
        <w:rPr>
          <w:b/>
          <w:bCs/>
        </w:rPr>
        <w:t>Reporting Line:</w:t>
      </w:r>
      <w:r>
        <w:rPr/>
        <w:t xml:space="preserve"> Project Manager / Senior Project Manager / Strategic Lead</w:t>
        <w:br/>
      </w:r>
      <w:r>
        <w:rPr>
          <w:b/>
          <w:bCs/>
        </w:rPr>
        <w:t>Salary:</w:t>
      </w:r>
      <w:r>
        <w:rPr/>
        <w:t xml:space="preserve"> Grade 6 / Grade 7 / Grade 8</w:t>
        <w:br/>
      </w:r>
      <w:r>
        <w:rPr>
          <w:b/>
          <w:bCs/>
        </w:rPr>
        <w:t>Team:</w:t>
      </w:r>
      <w:r>
        <w:rPr/>
        <w:t xml:space="preserve"> Public Service Reform</w:t>
        <w:br/>
      </w:r>
      <w:r>
        <w:rPr>
          <w:b/>
          <w:bCs/>
        </w:rPr>
        <w:t>Business Area:</w:t>
      </w:r>
      <w:r>
        <w:rPr/>
        <w:t xml:space="preserve"> Public Service Reform</w:t>
      </w:r>
    </w:p>
    <w:p>
      <w:pPr>
        <w:pStyle w:val="Normal"/>
        <w:rPr>
          <w:b/>
          <w:b/>
          <w:bCs/>
        </w:rPr>
      </w:pPr>
      <w:r>
        <w:rPr/>
        <mc:AlternateContent>
          <mc:Choice Requires="wps">
            <w:drawing>
              <wp:inline distT="0" distB="0" distL="0" distR="0">
                <wp:extent cx="5732145" cy="19685"/>
                <wp:effectExtent l="0" t="0" r="0" b="0"/>
                <wp:docPr id="1"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JOB PURPOSE</w:t>
      </w:r>
    </w:p>
    <w:p>
      <w:pPr>
        <w:pStyle w:val="Normal"/>
        <w:rPr/>
      </w:pPr>
      <w:r>
        <w:rPr/>
        <w:t>The post holder will contribute to the delivery of Greater Manchester’s ambitions to reduce poverty and strengthen financial resilience for residents by providing high-quality, flexible and timely project and policy support.</w:t>
      </w:r>
    </w:p>
    <w:p>
      <w:pPr>
        <w:pStyle w:val="Normal"/>
        <w:rPr/>
      </w:pPr>
      <w:r>
        <w:rPr/>
        <w:t>The role will focus on the design, coordination and delivery of projects that improve household incomes, reduce financial insecurity, and strengthen access to advice, support and preventative services. This includes working across public services, local authorities, the voluntary, community, faith and social enterprise (VCFSE) sector, and other partners to ensure projects respond to lived experience and deliver tangible outcomes for residents.</w:t>
      </w:r>
    </w:p>
    <w:p>
      <w:pPr>
        <w:pStyle w:val="Normal"/>
        <w:rPr/>
      </w:pPr>
      <w:r>
        <w:rPr/>
        <w:t>The post holder will work collaboratively across GMCA and with external stakeholders to ensure that project aims and objectives are met, and that learning from delivery informs wider system change and policy development.</w:t>
      </w:r>
    </w:p>
    <w:p>
      <w:pPr>
        <w:pStyle w:val="Normal"/>
        <w:rPr/>
      </w:pPr>
      <w:r>
        <w:rPr/>
        <w:t>This role profile spans three grades, with progression opportunities between grades based on skills and experience. Responsibilities for each grade and expected skills and experience are set out below.</w:t>
      </w:r>
    </w:p>
    <w:p>
      <w:pPr>
        <w:pStyle w:val="Normal"/>
        <w:rPr>
          <w:b/>
          <w:b/>
          <w:bCs/>
        </w:rPr>
      </w:pPr>
      <w:r>
        <w:rPr/>
        <mc:AlternateContent>
          <mc:Choice Requires="wps">
            <w:drawing>
              <wp:inline distT="0" distB="0" distL="0" distR="0">
                <wp:extent cx="5732145" cy="19685"/>
                <wp:effectExtent l="0" t="0" r="0" b="0"/>
                <wp:docPr id="2"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KEY RELATIONSHIPS</w:t>
      </w:r>
    </w:p>
    <w:p>
      <w:pPr>
        <w:pStyle w:val="Normal"/>
        <w:rPr/>
      </w:pPr>
      <w:r>
        <w:rPr/>
        <w:t>The role will involve working at all levels with:</w:t>
      </w:r>
    </w:p>
    <w:p>
      <w:pPr>
        <w:pStyle w:val="Normal"/>
        <w:numPr>
          <w:ilvl w:val="0"/>
          <w:numId w:val="2"/>
        </w:numPr>
        <w:rPr/>
      </w:pPr>
      <w:r>
        <w:rPr/>
        <w:t>Local authorities across Greater Manchester</w:t>
      </w:r>
    </w:p>
    <w:p>
      <w:pPr>
        <w:pStyle w:val="Normal"/>
        <w:numPr>
          <w:ilvl w:val="0"/>
          <w:numId w:val="2"/>
        </w:numPr>
        <w:rPr/>
      </w:pPr>
      <w:r>
        <w:rPr/>
        <w:t>The Greater Manchester Integrated Care System</w:t>
      </w:r>
    </w:p>
    <w:p>
      <w:pPr>
        <w:pStyle w:val="Normal"/>
        <w:numPr>
          <w:ilvl w:val="0"/>
          <w:numId w:val="2"/>
        </w:numPr>
        <w:rPr/>
      </w:pPr>
      <w:r>
        <w:rPr/>
        <w:t>Voluntary, community, faith and social enterprise (VCFSE) organisations</w:t>
      </w:r>
    </w:p>
    <w:p>
      <w:pPr>
        <w:pStyle w:val="Normal"/>
        <w:numPr>
          <w:ilvl w:val="0"/>
          <w:numId w:val="2"/>
        </w:numPr>
        <w:rPr/>
      </w:pPr>
      <w:r>
        <w:rPr/>
        <w:t>Advice, welfare, debt, employment, housing and cost-of-living support providers</w:t>
      </w:r>
    </w:p>
    <w:p>
      <w:pPr>
        <w:pStyle w:val="Normal"/>
        <w:numPr>
          <w:ilvl w:val="0"/>
          <w:numId w:val="2"/>
        </w:numPr>
        <w:rPr/>
      </w:pPr>
      <w:r>
        <w:rPr/>
        <w:t>Senior managers and staff within GMCA and localities integral to project delivery</w:t>
      </w:r>
    </w:p>
    <w:p>
      <w:pPr>
        <w:pStyle w:val="Normal"/>
        <w:numPr>
          <w:ilvl w:val="0"/>
          <w:numId w:val="2"/>
        </w:numPr>
        <w:rPr/>
      </w:pPr>
      <w:r>
        <w:rPr/>
        <w:t>Wider colleagues within the Public Service Reform Directorate and across GMCA</w:t>
      </w:r>
    </w:p>
    <w:p>
      <w:pPr>
        <w:pStyle w:val="Normal"/>
        <w:numPr>
          <w:ilvl w:val="0"/>
          <w:numId w:val="2"/>
        </w:numPr>
        <w:rPr/>
      </w:pPr>
      <w:r>
        <w:rPr/>
        <w:t>Residents and residents’ groups, including those with lived experience of poverty and financial insecurity</w:t>
      </w:r>
    </w:p>
    <w:p>
      <w:pPr>
        <w:pStyle w:val="Normal"/>
        <w:rPr>
          <w:b/>
          <w:b/>
          <w:bCs/>
        </w:rPr>
      </w:pPr>
      <w:r>
        <w:rPr/>
        <mc:AlternateContent>
          <mc:Choice Requires="wps">
            <w:drawing>
              <wp:inline distT="0" distB="0" distL="0" distR="0">
                <wp:extent cx="5732145" cy="19685"/>
                <wp:effectExtent l="0" t="0" r="0" b="0"/>
                <wp:docPr id="3"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KEY RESPONSIBILITIES</w:t>
      </w:r>
    </w:p>
    <w:p>
      <w:pPr>
        <w:pStyle w:val="Normal"/>
        <w:rPr>
          <w:b/>
          <w:b/>
          <w:bCs/>
        </w:rPr>
      </w:pPr>
      <w:r>
        <w:rPr>
          <w:b/>
          <w:bCs/>
        </w:rPr>
        <w:t>Project Officer Progression Framework</w:t>
      </w:r>
    </w:p>
    <w:p>
      <w:pPr>
        <w:pStyle w:val="Normal"/>
        <w:rPr/>
      </w:pPr>
      <w:r>
        <w:rPr/>
        <w:t>In addition to demonstrating the GMCA values and behaviours, the matrix below sets out the expected responsibilities for each of the three grade bands of the Poverty Reduction and Financial Resilience Project Officer role.</w:t>
      </w:r>
    </w:p>
    <w:p>
      <w:pPr>
        <w:pStyle w:val="Normal"/>
        <w:rPr>
          <w:i/>
          <w:i/>
          <w:iCs/>
        </w:rPr>
      </w:pPr>
      <w:r>
        <w:rPr>
          <w:i/>
          <w:iCs/>
        </w:rPr>
        <w:t>NB: This list of duties and responsibilities is not exhaustive, and the post holder may be required to undertake other relevant and appropriate duties as required.</w:t>
      </w:r>
    </w:p>
    <w:p>
      <w:pPr>
        <w:pStyle w:val="Normal"/>
        <w:rPr>
          <w:b/>
          <w:b/>
          <w:bCs/>
        </w:rPr>
      </w:pPr>
      <w:r>
        <w:rPr/>
        <mc:AlternateContent>
          <mc:Choice Requires="wps">
            <w:drawing>
              <wp:inline distT="0" distB="0" distL="0" distR="0">
                <wp:extent cx="5732145" cy="19685"/>
                <wp:effectExtent l="0" t="0" r="0" b="0"/>
                <wp:docPr id="4"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Project and Policy Officer</w:t>
      </w:r>
    </w:p>
    <w:tbl>
      <w:tblPr>
        <w:tblW w:w="9024" w:type="dxa"/>
        <w:jc w:val="left"/>
        <w:tblInd w:w="0" w:type="dxa"/>
        <w:tblCellMar>
          <w:top w:w="15" w:type="dxa"/>
          <w:left w:w="15" w:type="dxa"/>
          <w:bottom w:w="15" w:type="dxa"/>
          <w:right w:w="15" w:type="dxa"/>
        </w:tblCellMar>
      </w:tblPr>
      <w:tblGrid>
        <w:gridCol w:w="1676"/>
        <w:gridCol w:w="2336"/>
        <w:gridCol w:w="2318"/>
        <w:gridCol w:w="2694"/>
      </w:tblGrid>
      <w:tr>
        <w:trPr/>
        <w:tc>
          <w:tcPr>
            <w:tcW w:w="1676" w:type="dxa"/>
            <w:tcBorders>
              <w:top w:val="single" w:sz="6" w:space="0" w:color="E6E6E6"/>
              <w:left w:val="single" w:sz="6" w:space="0" w:color="E6E6E6"/>
              <w:bottom w:val="single" w:sz="6" w:space="0" w:color="E6E6E6"/>
            </w:tcBorders>
            <w:shd w:fill="F5F5F5" w:val="clear"/>
            <w:vAlign w:val="center"/>
          </w:tcPr>
          <w:p>
            <w:pPr>
              <w:pStyle w:val="Normal"/>
              <w:widowControl/>
              <w:bidi w:val="0"/>
              <w:snapToGrid w:val="false"/>
              <w:spacing w:lineRule="auto" w:line="276" w:before="0" w:after="160"/>
              <w:jc w:val="left"/>
              <w:rPr/>
            </w:pPr>
            <w:r>
              <w:rPr/>
            </w:r>
          </w:p>
        </w:tc>
        <w:tc>
          <w:tcPr>
            <w:tcW w:w="2336"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Band 6</w:t>
            </w:r>
          </w:p>
        </w:tc>
        <w:tc>
          <w:tcPr>
            <w:tcW w:w="2318"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Band 7</w:t>
            </w:r>
          </w:p>
        </w:tc>
        <w:tc>
          <w:tcPr>
            <w:tcW w:w="2694" w:type="dxa"/>
            <w:tcBorders>
              <w:top w:val="single" w:sz="6" w:space="0" w:color="E6E6E6"/>
              <w:left w:val="single" w:sz="6" w:space="0" w:color="E6E6E6"/>
              <w:bottom w:val="single" w:sz="6" w:space="0" w:color="E6E6E6"/>
              <w:right w:val="single" w:sz="6" w:space="0" w:color="E6E6E6"/>
            </w:tcBorders>
            <w:shd w:fill="F5F5F5" w:val="clear"/>
            <w:vAlign w:val="center"/>
          </w:tcPr>
          <w:p>
            <w:pPr>
              <w:pStyle w:val="Normal"/>
              <w:widowControl/>
              <w:bidi w:val="0"/>
              <w:spacing w:lineRule="auto" w:line="276" w:before="0" w:after="160"/>
              <w:jc w:val="left"/>
              <w:rPr>
                <w:b/>
                <w:b/>
                <w:bCs/>
              </w:rPr>
            </w:pPr>
            <w:r>
              <w:rPr>
                <w:b/>
                <w:bCs/>
              </w:rPr>
              <w:t>Band 8</w:t>
            </w:r>
          </w:p>
        </w:tc>
      </w:tr>
      <w:tr>
        <w:trPr/>
        <w:tc>
          <w:tcPr>
            <w:tcW w:w="1676"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Project delivery</w:t>
            </w:r>
          </w:p>
        </w:tc>
        <w:tc>
          <w:tcPr>
            <w:tcW w:w="2336"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xml:space="preserve">- Support delivery of poverty reduction and financial resilience projects across a defined workstream or programme. </w:t>
              <w:br/>
              <w:t xml:space="preserve">- Provide project support including planning, governance, risk management, reporting and coordination. </w:t>
              <w:br/>
              <w:t xml:space="preserve">- Manage small-scale projects or discrete pieces of work within a wider programme. </w:t>
              <w:br/>
              <w:t xml:space="preserve">- Develop and maintain key project documentation. </w:t>
              <w:br/>
              <w:t>- Coordinate meetings, workshops and engagement activity.</w:t>
            </w:r>
          </w:p>
        </w:tc>
        <w:tc>
          <w:tcPr>
            <w:tcW w:w="2318"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b/>
                <w:bCs/>
              </w:rPr>
              <w:t>Band 6 responsibilities plus:</w:t>
            </w:r>
            <w:r>
              <w:rPr/>
              <w:t xml:space="preserve"> </w:t>
              <w:br/>
              <w:t xml:space="preserve">- Project manage larger or more complex workstreams or high-profile projects from initiation to completion. </w:t>
              <w:br/>
              <w:t xml:space="preserve">- Report on progress, risks and outcomes to internal governance groups. </w:t>
              <w:br/>
              <w:t>- Ensure projects align with wider GM poverty reduction priorities and strategies.</w:t>
            </w:r>
          </w:p>
        </w:tc>
        <w:tc>
          <w:tcPr>
            <w:tcW w:w="2694"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b/>
                <w:bCs/>
              </w:rPr>
              <w:t>Band 7 responsibilities plus:</w:t>
            </w:r>
            <w:r>
              <w:rPr/>
              <w:t xml:space="preserve"> </w:t>
              <w:br/>
              <w:t xml:space="preserve">- Lead delivery of multiple projects or large-scale, high-value and complex programmes involving multiple partners. </w:t>
              <w:br/>
              <w:t xml:space="preserve">- With oversight, lead development and delivery of communication and engagement strategies, including engagement with residents and VCFSE partners. </w:t>
              <w:br/>
              <w:t>- Manage projects involving external delivery partners and contractual arrangements.</w:t>
            </w:r>
          </w:p>
        </w:tc>
      </w:tr>
      <w:tr>
        <w:trPr/>
        <w:tc>
          <w:tcPr>
            <w:tcW w:w="1676"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Resource management</w:t>
            </w:r>
          </w:p>
        </w:tc>
        <w:tc>
          <w:tcPr>
            <w:tcW w:w="2336"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xml:space="preserve">- Support coordination and tracking of project budgets and financial processes. </w:t>
              <w:br/>
              <w:t>- Support commissioning activity and contribute to external funding bids where appropriate.</w:t>
            </w:r>
          </w:p>
        </w:tc>
        <w:tc>
          <w:tcPr>
            <w:tcW w:w="2318"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xml:space="preserve">- Manage small project budgets. </w:t>
              <w:br/>
              <w:t xml:space="preserve">- Coordinate and contribute to larger funding bids or income-generation opportunities. </w:t>
              <w:br/>
              <w:t>- Support commissioning and contract management activity.</w:t>
            </w:r>
          </w:p>
        </w:tc>
        <w:tc>
          <w:tcPr>
            <w:tcW w:w="2694"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t xml:space="preserve">- Lead on commissioning and contract management with oversight from the budget holder. </w:t>
              <w:br/>
              <w:t>- Manage medium or more complex project budgets and funding arrangements.</w:t>
            </w:r>
          </w:p>
        </w:tc>
      </w:tr>
      <w:tr>
        <w:trPr/>
        <w:tc>
          <w:tcPr>
            <w:tcW w:w="1676"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Supervisory responsibility</w:t>
            </w:r>
          </w:p>
        </w:tc>
        <w:tc>
          <w:tcPr>
            <w:tcW w:w="2336"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xml:space="preserve">- Motivate and encourage colleagues and peers to deliver shared objectives. </w:t>
              <w:br/>
              <w:t>- Support others through informal coaching and mentoring.</w:t>
            </w:r>
          </w:p>
        </w:tc>
        <w:tc>
          <w:tcPr>
            <w:tcW w:w="2318"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Supervisory responsibility for up to one individual, in line with business needs.</w:t>
            </w:r>
          </w:p>
        </w:tc>
        <w:tc>
          <w:tcPr>
            <w:tcW w:w="2694"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t>- Supervise staff, consultants or contractors as required to deliver programmes of work.</w:t>
            </w:r>
          </w:p>
        </w:tc>
      </w:tr>
      <w:tr>
        <w:trPr/>
        <w:tc>
          <w:tcPr>
            <w:tcW w:w="1676"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Relationship management</w:t>
            </w:r>
          </w:p>
        </w:tc>
        <w:tc>
          <w:tcPr>
            <w:tcW w:w="2336"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Support the development and maintenance of positive relationships with internal and external stakeholders.</w:t>
            </w:r>
          </w:p>
        </w:tc>
        <w:tc>
          <w:tcPr>
            <w:tcW w:w="2318"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Act as lead contact for a number of internal and/or external stakeholders, including delivery partners.</w:t>
            </w:r>
          </w:p>
        </w:tc>
        <w:tc>
          <w:tcPr>
            <w:tcW w:w="2694"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t>- Lead key stakeholder relationships across the poverty reduction and financial resilience system, ensuring effective collaboration and shared ownership of outcomes.</w:t>
            </w:r>
          </w:p>
        </w:tc>
      </w:tr>
    </w:tbl>
    <w:p>
      <w:pPr>
        <w:pStyle w:val="Normal"/>
        <w:rPr>
          <w:b/>
          <w:b/>
          <w:bCs/>
        </w:rPr>
      </w:pPr>
      <w:r>
        <w:rPr/>
        <mc:AlternateContent>
          <mc:Choice Requires="wps">
            <w:drawing>
              <wp:inline distT="0" distB="0" distL="0" distR="0">
                <wp:extent cx="1270" cy="19685"/>
                <wp:effectExtent l="0" t="0" r="0" b="0"/>
                <wp:docPr id="5" name=""/>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0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KNOWLEDGE, SKILLS AND EXPERIENCE</w:t>
      </w:r>
    </w:p>
    <w:p>
      <w:pPr>
        <w:pStyle w:val="Normal"/>
        <w:rPr>
          <w:b/>
          <w:b/>
          <w:bCs/>
        </w:rPr>
      </w:pPr>
      <w:r>
        <w:rPr>
          <w:b/>
          <w:bCs/>
        </w:rPr>
        <w:t>Project Officer Progression Framework</w:t>
      </w:r>
    </w:p>
    <w:p>
      <w:pPr>
        <w:pStyle w:val="Normal"/>
        <w:rPr/>
      </w:pPr>
      <w:r>
        <w:rPr/>
        <w:t>Employees are expected to evidence the minimum level of experience and all attributes for the relevant grade when assessed for the role.</w:t>
      </w:r>
    </w:p>
    <w:p>
      <w:pPr>
        <w:pStyle w:val="Normal"/>
        <w:rPr>
          <w:b/>
          <w:b/>
          <w:bCs/>
        </w:rPr>
      </w:pPr>
      <w:r>
        <w:rPr/>
        <mc:AlternateContent>
          <mc:Choice Requires="wps">
            <w:drawing>
              <wp:inline distT="0" distB="0" distL="0" distR="0">
                <wp:extent cx="5732145" cy="19685"/>
                <wp:effectExtent l="0" t="0" r="0" b="0"/>
                <wp:docPr id="6"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Experience (all bands)</w:t>
      </w:r>
    </w:p>
    <w:p>
      <w:pPr>
        <w:pStyle w:val="Normal"/>
        <w:numPr>
          <w:ilvl w:val="0"/>
          <w:numId w:val="3"/>
        </w:numPr>
        <w:rPr/>
      </w:pPr>
      <w:r>
        <w:rPr/>
        <w:t xml:space="preserve">Experience in a relevant field (professional and/or lived experience) </w:t>
      </w:r>
      <w:r>
        <w:rPr>
          <w:b/>
          <w:bCs/>
        </w:rPr>
        <w:t>or</w:t>
      </w:r>
      <w:r>
        <w:rPr/>
        <w:t xml:space="preserve"> a degree or equivalent qualification.</w:t>
      </w:r>
    </w:p>
    <w:p>
      <w:pPr>
        <w:pStyle w:val="Normal"/>
        <w:rPr>
          <w:b/>
          <w:b/>
          <w:bCs/>
        </w:rPr>
      </w:pPr>
      <w:r>
        <w:rPr/>
        <mc:AlternateContent>
          <mc:Choice Requires="wps">
            <w:drawing>
              <wp:inline distT="0" distB="0" distL="0" distR="0">
                <wp:extent cx="5732145" cy="19685"/>
                <wp:effectExtent l="0" t="0" r="0" b="0"/>
                <wp:docPr id="7"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Skills and Knowledge</w:t>
      </w:r>
    </w:p>
    <w:tbl>
      <w:tblPr>
        <w:tblW w:w="9024" w:type="dxa"/>
        <w:jc w:val="left"/>
        <w:tblInd w:w="0" w:type="dxa"/>
        <w:tblCellMar>
          <w:top w:w="15" w:type="dxa"/>
          <w:left w:w="15" w:type="dxa"/>
          <w:bottom w:w="15" w:type="dxa"/>
          <w:right w:w="15" w:type="dxa"/>
        </w:tblCellMar>
      </w:tblPr>
      <w:tblGrid>
        <w:gridCol w:w="1985"/>
        <w:gridCol w:w="2220"/>
        <w:gridCol w:w="2338"/>
        <w:gridCol w:w="2481"/>
      </w:tblGrid>
      <w:tr>
        <w:trPr/>
        <w:tc>
          <w:tcPr>
            <w:tcW w:w="1985" w:type="dxa"/>
            <w:tcBorders>
              <w:top w:val="single" w:sz="6" w:space="0" w:color="E6E6E6"/>
              <w:left w:val="single" w:sz="6" w:space="0" w:color="E6E6E6"/>
              <w:bottom w:val="single" w:sz="6" w:space="0" w:color="E6E6E6"/>
            </w:tcBorders>
            <w:shd w:fill="F5F5F5" w:val="clear"/>
            <w:vAlign w:val="center"/>
          </w:tcPr>
          <w:p>
            <w:pPr>
              <w:pStyle w:val="Normal"/>
              <w:widowControl/>
              <w:bidi w:val="0"/>
              <w:snapToGrid w:val="false"/>
              <w:spacing w:lineRule="auto" w:line="276" w:before="0" w:after="160"/>
              <w:jc w:val="left"/>
              <w:rPr/>
            </w:pPr>
            <w:r>
              <w:rPr/>
            </w:r>
          </w:p>
        </w:tc>
        <w:tc>
          <w:tcPr>
            <w:tcW w:w="2220"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Band 6</w:t>
            </w:r>
          </w:p>
        </w:tc>
        <w:tc>
          <w:tcPr>
            <w:tcW w:w="2338"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Band 7</w:t>
            </w:r>
          </w:p>
        </w:tc>
        <w:tc>
          <w:tcPr>
            <w:tcW w:w="2481" w:type="dxa"/>
            <w:tcBorders>
              <w:top w:val="single" w:sz="6" w:space="0" w:color="E6E6E6"/>
              <w:left w:val="single" w:sz="6" w:space="0" w:color="E6E6E6"/>
              <w:bottom w:val="single" w:sz="6" w:space="0" w:color="E6E6E6"/>
              <w:right w:val="single" w:sz="6" w:space="0" w:color="E6E6E6"/>
            </w:tcBorders>
            <w:shd w:fill="F5F5F5" w:val="clear"/>
            <w:vAlign w:val="center"/>
          </w:tcPr>
          <w:p>
            <w:pPr>
              <w:pStyle w:val="Normal"/>
              <w:widowControl/>
              <w:bidi w:val="0"/>
              <w:spacing w:lineRule="auto" w:line="276" w:before="0" w:after="160"/>
              <w:jc w:val="left"/>
              <w:rPr>
                <w:b/>
                <w:b/>
                <w:bCs/>
              </w:rPr>
            </w:pPr>
            <w:r>
              <w:rPr>
                <w:b/>
                <w:bCs/>
              </w:rPr>
              <w:t>Band 8</w:t>
            </w:r>
          </w:p>
        </w:tc>
      </w:tr>
      <w:tr>
        <w:trPr/>
        <w:tc>
          <w:tcPr>
            <w:tcW w:w="1985"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Project support and management</w:t>
            </w:r>
          </w:p>
        </w:tc>
        <w:tc>
          <w:tcPr>
            <w:tcW w:w="2220" w:type="dxa"/>
            <w:tcBorders>
              <w:top w:val="single" w:sz="6" w:space="0" w:color="E6E6E6"/>
              <w:left w:val="single" w:sz="6" w:space="0" w:color="E6E6E6"/>
              <w:bottom w:val="single" w:sz="6" w:space="0" w:color="E6E6E6"/>
            </w:tcBorders>
            <w:shd w:fill="auto" w:val="clear"/>
            <w:vAlign w:val="center"/>
          </w:tcPr>
          <w:p>
            <w:pPr>
              <w:pStyle w:val="Normal"/>
              <w:rPr/>
            </w:pPr>
            <w:r>
              <w:rPr/>
              <w:t xml:space="preserve">- Understanding of project delivery and the support required to ensure effective outcomes. </w:t>
            </w:r>
          </w:p>
          <w:p>
            <w:pPr>
              <w:pStyle w:val="Normal"/>
              <w:rPr/>
            </w:pPr>
            <w:r>
              <w:rPr/>
              <w:t xml:space="preserve">- Strong organisational and prioritisation skills. </w:t>
            </w:r>
          </w:p>
          <w:p>
            <w:pPr>
              <w:pStyle w:val="Normal"/>
              <w:widowControl/>
              <w:bidi w:val="0"/>
              <w:spacing w:lineRule="auto" w:line="276" w:before="0" w:after="160"/>
              <w:jc w:val="left"/>
              <w:rPr/>
            </w:pPr>
            <w:r>
              <w:rPr/>
              <w:br/>
              <w:t>- Knowledge of project management processes, documentation and tools.</w:t>
            </w:r>
          </w:p>
        </w:tc>
        <w:tc>
          <w:tcPr>
            <w:tcW w:w="2338" w:type="dxa"/>
            <w:tcBorders>
              <w:top w:val="single" w:sz="6" w:space="0" w:color="E6E6E6"/>
              <w:left w:val="single" w:sz="6" w:space="0" w:color="E6E6E6"/>
              <w:bottom w:val="single" w:sz="6" w:space="0" w:color="E6E6E6"/>
            </w:tcBorders>
            <w:shd w:fill="auto" w:val="clear"/>
            <w:vAlign w:val="center"/>
          </w:tcPr>
          <w:p>
            <w:pPr>
              <w:pStyle w:val="Normal"/>
              <w:rPr/>
            </w:pPr>
            <w:r>
              <w:rPr>
                <w:b/>
                <w:bCs/>
              </w:rPr>
              <w:t>Band 6 skills plus:</w:t>
            </w:r>
            <w:r>
              <w:rPr/>
              <w:t xml:space="preserve"> </w:t>
              <w:br/>
              <w:t xml:space="preserve">- Completion of relevant project management training. </w:t>
            </w:r>
          </w:p>
          <w:p>
            <w:pPr>
              <w:pStyle w:val="Normal"/>
              <w:widowControl/>
              <w:bidi w:val="0"/>
              <w:spacing w:lineRule="auto" w:line="276" w:before="0" w:after="160"/>
              <w:jc w:val="left"/>
              <w:rPr/>
            </w:pPr>
            <w:r>
              <w:rPr/>
              <w:br/>
              <w:t xml:space="preserve">- Understanding of the wider system influencing poverty and financial resilience. </w:t>
              <w:br/>
              <w:t xml:space="preserve">- Ability to adapt project plans in response to challenges and changing context. </w:t>
              <w:br/>
              <w:t>- Experience of reporting to governance groups.</w:t>
            </w:r>
          </w:p>
        </w:tc>
        <w:tc>
          <w:tcPr>
            <w:tcW w:w="2481"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rPr/>
            </w:pPr>
            <w:r>
              <w:rPr>
                <w:b/>
                <w:bCs/>
              </w:rPr>
              <w:t>Band 7 skills plus:</w:t>
            </w:r>
            <w:r>
              <w:rPr/>
              <w:t xml:space="preserve"> </w:t>
              <w:br/>
              <w:t xml:space="preserve">- Ability to develop recommendations that inform and influence programme delivery. </w:t>
            </w:r>
          </w:p>
          <w:p>
            <w:pPr>
              <w:pStyle w:val="Normal"/>
              <w:rPr/>
            </w:pPr>
            <w:r>
              <w:rPr/>
              <w:t xml:space="preserve">- Ability to identify resource requirements and potential funding routes. </w:t>
            </w:r>
          </w:p>
          <w:p>
            <w:pPr>
              <w:pStyle w:val="Normal"/>
              <w:widowControl/>
              <w:bidi w:val="0"/>
              <w:spacing w:lineRule="auto" w:line="276" w:before="0" w:after="160"/>
              <w:jc w:val="left"/>
              <w:rPr/>
            </w:pPr>
            <w:r>
              <w:rPr/>
              <w:br/>
              <w:t>- Confident facilitation of project and programme meetings.</w:t>
            </w:r>
          </w:p>
        </w:tc>
      </w:tr>
      <w:tr>
        <w:trPr/>
        <w:tc>
          <w:tcPr>
            <w:tcW w:w="1985"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Policy development</w:t>
            </w:r>
          </w:p>
        </w:tc>
        <w:tc>
          <w:tcPr>
            <w:tcW w:w="2220" w:type="dxa"/>
            <w:tcBorders>
              <w:top w:val="single" w:sz="6" w:space="0" w:color="E6E6E6"/>
              <w:left w:val="single" w:sz="6" w:space="0" w:color="E6E6E6"/>
              <w:bottom w:val="single" w:sz="6" w:space="0" w:color="E6E6E6"/>
            </w:tcBorders>
            <w:shd w:fill="auto" w:val="clear"/>
            <w:vAlign w:val="center"/>
          </w:tcPr>
          <w:p>
            <w:pPr>
              <w:pStyle w:val="Normal"/>
              <w:rPr/>
            </w:pPr>
            <w:r>
              <w:rPr/>
              <w:t xml:space="preserve">- Interest in and developing understanding of local and national poverty, welfare and Financial Resilience policies. </w:t>
            </w:r>
          </w:p>
          <w:p>
            <w:pPr>
              <w:pStyle w:val="Normal"/>
              <w:widowControl/>
              <w:bidi w:val="0"/>
              <w:spacing w:lineRule="auto" w:line="276" w:before="0" w:after="160"/>
              <w:jc w:val="left"/>
              <w:rPr/>
            </w:pPr>
            <w:r>
              <w:rPr/>
              <w:br/>
              <w:t>- Awareness of how national policy impacts local delivery.</w:t>
            </w:r>
          </w:p>
        </w:tc>
        <w:tc>
          <w:tcPr>
            <w:tcW w:w="2338" w:type="dxa"/>
            <w:tcBorders>
              <w:top w:val="single" w:sz="6" w:space="0" w:color="E6E6E6"/>
              <w:left w:val="single" w:sz="6" w:space="0" w:color="E6E6E6"/>
              <w:bottom w:val="single" w:sz="6" w:space="0" w:color="E6E6E6"/>
            </w:tcBorders>
            <w:shd w:fill="auto" w:val="clear"/>
            <w:vAlign w:val="center"/>
          </w:tcPr>
          <w:p>
            <w:pPr>
              <w:pStyle w:val="Normal"/>
              <w:rPr/>
            </w:pPr>
            <w:r>
              <w:rPr/>
              <w:t xml:space="preserve">- Ability to identify implications of national policy for priority projects. </w:t>
            </w:r>
          </w:p>
          <w:p>
            <w:pPr>
              <w:pStyle w:val="Normal"/>
              <w:widowControl/>
              <w:bidi w:val="0"/>
              <w:spacing w:lineRule="auto" w:line="276" w:before="0" w:after="160"/>
              <w:jc w:val="left"/>
              <w:rPr/>
            </w:pPr>
            <w:r>
              <w:rPr/>
              <w:br/>
              <w:t>- Understanding of how projects align with wider policy and system objectives.</w:t>
            </w:r>
          </w:p>
        </w:tc>
        <w:tc>
          <w:tcPr>
            <w:tcW w:w="2481"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rPr/>
            </w:pPr>
            <w:r>
              <w:rPr/>
              <w:t>- Ability to identify opportunities for system and policy improvement based on delivery learning.</w:t>
            </w:r>
          </w:p>
          <w:p>
            <w:pPr>
              <w:pStyle w:val="Normal"/>
              <w:widowControl/>
              <w:bidi w:val="0"/>
              <w:spacing w:lineRule="auto" w:line="276" w:before="0" w:after="160"/>
              <w:jc w:val="left"/>
              <w:rPr/>
            </w:pPr>
            <w:r>
              <w:rPr>
                <w:rFonts w:eastAsia="Aptos" w:cs="Aptos"/>
              </w:rPr>
              <w:t xml:space="preserve"> </w:t>
            </w:r>
            <w:r>
              <w:rPr/>
              <w:br/>
              <w:t>- Ability to work flexibly in a changing policy environment.</w:t>
            </w:r>
          </w:p>
        </w:tc>
      </w:tr>
      <w:tr>
        <w:trPr/>
        <w:tc>
          <w:tcPr>
            <w:tcW w:w="1985"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Working together and lived experience</w:t>
            </w:r>
          </w:p>
        </w:tc>
        <w:tc>
          <w:tcPr>
            <w:tcW w:w="2220" w:type="dxa"/>
            <w:tcBorders>
              <w:top w:val="single" w:sz="6" w:space="0" w:color="E6E6E6"/>
              <w:left w:val="single" w:sz="6" w:space="0" w:color="E6E6E6"/>
              <w:bottom w:val="single" w:sz="6" w:space="0" w:color="E6E6E6"/>
            </w:tcBorders>
            <w:shd w:fill="auto" w:val="clear"/>
            <w:vAlign w:val="center"/>
          </w:tcPr>
          <w:p>
            <w:pPr>
              <w:pStyle w:val="Normal"/>
              <w:rPr/>
            </w:pPr>
            <w:r>
              <w:rPr/>
              <w:t xml:space="preserve">- Ability to work effectively with multiple internal stakeholders. </w:t>
            </w:r>
          </w:p>
          <w:p>
            <w:pPr>
              <w:pStyle w:val="Normal"/>
              <w:widowControl/>
              <w:bidi w:val="0"/>
              <w:spacing w:lineRule="auto" w:line="276" w:before="0" w:after="160"/>
              <w:jc w:val="left"/>
              <w:rPr/>
            </w:pPr>
            <w:r>
              <w:rPr/>
              <w:br/>
              <w:t>- Values the role of residents and lived experience in shaping solutions.</w:t>
            </w:r>
          </w:p>
        </w:tc>
        <w:tc>
          <w:tcPr>
            <w:tcW w:w="2338" w:type="dxa"/>
            <w:tcBorders>
              <w:top w:val="single" w:sz="6" w:space="0" w:color="E6E6E6"/>
              <w:left w:val="single" w:sz="6" w:space="0" w:color="E6E6E6"/>
              <w:bottom w:val="single" w:sz="6" w:space="0" w:color="E6E6E6"/>
            </w:tcBorders>
            <w:shd w:fill="auto" w:val="clear"/>
            <w:vAlign w:val="center"/>
          </w:tcPr>
          <w:p>
            <w:pPr>
              <w:pStyle w:val="Normal"/>
              <w:rPr/>
            </w:pPr>
            <w:r>
              <w:rPr/>
              <w:t xml:space="preserve">- Ability to lead work with multiple internal and external stakeholders, including VCFSE organisations and residents. </w:t>
            </w:r>
          </w:p>
          <w:p>
            <w:pPr>
              <w:pStyle w:val="Normal"/>
              <w:widowControl/>
              <w:bidi w:val="0"/>
              <w:spacing w:lineRule="auto" w:line="276" w:before="0" w:after="160"/>
              <w:jc w:val="left"/>
              <w:rPr/>
            </w:pPr>
            <w:r>
              <w:rPr/>
              <w:br/>
              <w:t>- Practical experience of co-design and co-production approaches.</w:t>
            </w:r>
          </w:p>
        </w:tc>
        <w:tc>
          <w:tcPr>
            <w:tcW w:w="2481"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rPr/>
            </w:pPr>
            <w:r>
              <w:rPr/>
              <w:t>- Strong partnership and influencing skills across complex stakeholder environments.</w:t>
            </w:r>
          </w:p>
          <w:p>
            <w:pPr>
              <w:pStyle w:val="Normal"/>
              <w:widowControl/>
              <w:bidi w:val="0"/>
              <w:spacing w:lineRule="auto" w:line="276" w:before="0" w:after="160"/>
              <w:jc w:val="left"/>
              <w:rPr/>
            </w:pPr>
            <w:r>
              <w:rPr>
                <w:rFonts w:eastAsia="Aptos" w:cs="Aptos"/>
              </w:rPr>
              <w:t xml:space="preserve"> </w:t>
            </w:r>
            <w:r>
              <w:rPr/>
              <w:br/>
              <w:t>- Ability to understand and respond to the impact of work on different communities.</w:t>
            </w:r>
          </w:p>
        </w:tc>
      </w:tr>
      <w:tr>
        <w:trPr/>
        <w:tc>
          <w:tcPr>
            <w:tcW w:w="1985"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Communication and facilitation</w:t>
            </w:r>
          </w:p>
        </w:tc>
        <w:tc>
          <w:tcPr>
            <w:tcW w:w="2220" w:type="dxa"/>
            <w:tcBorders>
              <w:top w:val="single" w:sz="6" w:space="0" w:color="E6E6E6"/>
              <w:left w:val="single" w:sz="6" w:space="0" w:color="E6E6E6"/>
              <w:bottom w:val="single" w:sz="6" w:space="0" w:color="E6E6E6"/>
            </w:tcBorders>
            <w:shd w:fill="auto" w:val="clear"/>
            <w:vAlign w:val="center"/>
          </w:tcPr>
          <w:p>
            <w:pPr>
              <w:pStyle w:val="Normal"/>
              <w:rPr/>
            </w:pPr>
            <w:r>
              <w:rPr/>
              <w:t>- Clear written and verbal communication skills.</w:t>
            </w:r>
          </w:p>
          <w:p>
            <w:pPr>
              <w:pStyle w:val="Normal"/>
              <w:rPr>
                <w:rFonts w:eastAsia="Aptos" w:cs="Aptos"/>
              </w:rPr>
            </w:pPr>
            <w:r>
              <w:rPr>
                <w:rFonts w:eastAsia="Aptos" w:cs="Aptos"/>
              </w:rPr>
              <w:t xml:space="preserve"> </w:t>
            </w:r>
          </w:p>
          <w:p>
            <w:pPr>
              <w:pStyle w:val="Normal"/>
              <w:widowControl/>
              <w:bidi w:val="0"/>
              <w:spacing w:lineRule="auto" w:line="276" w:before="0" w:after="160"/>
              <w:jc w:val="left"/>
              <w:rPr/>
            </w:pPr>
            <w:r>
              <w:rPr/>
              <w:t>- Ability to explain project context within wider poverty reduction priorities.</w:t>
            </w:r>
          </w:p>
        </w:tc>
        <w:tc>
          <w:tcPr>
            <w:tcW w:w="2338" w:type="dxa"/>
            <w:tcBorders>
              <w:top w:val="single" w:sz="6" w:space="0" w:color="E6E6E6"/>
              <w:left w:val="single" w:sz="6" w:space="0" w:color="E6E6E6"/>
              <w:bottom w:val="single" w:sz="6" w:space="0" w:color="E6E6E6"/>
            </w:tcBorders>
            <w:shd w:fill="auto" w:val="clear"/>
            <w:vAlign w:val="center"/>
          </w:tcPr>
          <w:p>
            <w:pPr>
              <w:pStyle w:val="Normal"/>
              <w:rPr/>
            </w:pPr>
            <w:r>
              <w:rPr/>
              <w:t xml:space="preserve">- Confident communication with a range of audiences, including presentations and reports. </w:t>
            </w:r>
          </w:p>
          <w:p>
            <w:pPr>
              <w:pStyle w:val="Normal"/>
              <w:widowControl/>
              <w:bidi w:val="0"/>
              <w:spacing w:lineRule="auto" w:line="276" w:before="0" w:after="160"/>
              <w:jc w:val="left"/>
              <w:rPr/>
            </w:pPr>
            <w:r>
              <w:rPr/>
              <w:t>- Support delivery of workshops and engagement events.</w:t>
            </w:r>
          </w:p>
        </w:tc>
        <w:tc>
          <w:tcPr>
            <w:tcW w:w="2481"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rPr/>
            </w:pPr>
            <w:r>
              <w:rPr/>
              <w:t>- Lead presentations and facilitation of workshops and events with senior stakeholders and external partners.</w:t>
            </w:r>
          </w:p>
          <w:p>
            <w:pPr>
              <w:pStyle w:val="Normal"/>
              <w:rPr/>
            </w:pPr>
            <w:r>
              <w:rPr/>
            </w:r>
          </w:p>
          <w:p>
            <w:pPr>
              <w:pStyle w:val="Normal"/>
              <w:rPr/>
            </w:pPr>
            <w:r>
              <w:rPr/>
            </w:r>
          </w:p>
          <w:p>
            <w:pPr>
              <w:pStyle w:val="Normal"/>
              <w:widowControl/>
              <w:bidi w:val="0"/>
              <w:spacing w:lineRule="auto" w:line="276" w:before="0" w:after="160"/>
              <w:jc w:val="left"/>
              <w:rPr/>
            </w:pPr>
            <w:r>
              <w:rPr/>
            </w:r>
          </w:p>
        </w:tc>
      </w:tr>
      <w:tr>
        <w:trPr/>
        <w:tc>
          <w:tcPr>
            <w:tcW w:w="1985"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ICT skills</w:t>
            </w:r>
          </w:p>
        </w:tc>
        <w:tc>
          <w:tcPr>
            <w:tcW w:w="2220" w:type="dxa"/>
            <w:tcBorders>
              <w:top w:val="single" w:sz="6" w:space="0" w:color="E6E6E6"/>
              <w:left w:val="single" w:sz="6" w:space="0" w:color="E6E6E6"/>
              <w:bottom w:val="single" w:sz="6" w:space="0" w:color="E6E6E6"/>
            </w:tcBorders>
            <w:shd w:fill="auto" w:val="clear"/>
            <w:vAlign w:val="center"/>
          </w:tcPr>
          <w:p>
            <w:pPr>
              <w:pStyle w:val="Normal"/>
              <w:rPr/>
            </w:pPr>
            <w:r>
              <w:rPr/>
              <w:t xml:space="preserve">- Good knowledge of standard ICT packages (Excel, Word, PowerPoint). </w:t>
            </w:r>
          </w:p>
          <w:p>
            <w:pPr>
              <w:pStyle w:val="Normal"/>
              <w:widowControl/>
              <w:bidi w:val="0"/>
              <w:spacing w:lineRule="auto" w:line="276" w:before="0" w:after="160"/>
              <w:jc w:val="left"/>
              <w:rPr/>
            </w:pPr>
            <w:r>
              <w:rPr/>
              <w:br/>
              <w:t>- Willingness to undertake GMCA-specific training.</w:t>
            </w:r>
          </w:p>
        </w:tc>
        <w:tc>
          <w:tcPr>
            <w:tcW w:w="2338" w:type="dxa"/>
            <w:tcBorders>
              <w:top w:val="single" w:sz="6" w:space="0" w:color="E6E6E6"/>
              <w:left w:val="single" w:sz="6" w:space="0" w:color="E6E6E6"/>
              <w:bottom w:val="single" w:sz="6" w:space="0" w:color="E6E6E6"/>
            </w:tcBorders>
            <w:shd w:fill="auto" w:val="clear"/>
            <w:vAlign w:val="center"/>
          </w:tcPr>
          <w:p>
            <w:pPr>
              <w:pStyle w:val="Normal"/>
              <w:rPr/>
            </w:pPr>
            <w:r>
              <w:rPr/>
              <w:t xml:space="preserve">- Ability to use more advanced tools where appropriate (e.g. MS Project). </w:t>
            </w:r>
          </w:p>
          <w:p>
            <w:pPr>
              <w:pStyle w:val="Normal"/>
              <w:widowControl/>
              <w:bidi w:val="0"/>
              <w:spacing w:lineRule="auto" w:line="276" w:before="0" w:after="160"/>
              <w:jc w:val="left"/>
              <w:rPr/>
            </w:pPr>
            <w:r>
              <w:rPr/>
              <w:br/>
              <w:t>- Experience of digital content or communications support.</w:t>
            </w:r>
          </w:p>
        </w:tc>
        <w:tc>
          <w:tcPr>
            <w:tcW w:w="2481"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rPr/>
            </w:pPr>
            <w:r>
              <w:rPr/>
              <w:t>- Strong digital capability to support complex programme delivery and reporting.</w:t>
            </w:r>
          </w:p>
          <w:p>
            <w:pPr>
              <w:pStyle w:val="Normal"/>
              <w:rPr/>
            </w:pPr>
            <w:r>
              <w:rPr/>
            </w:r>
          </w:p>
          <w:p>
            <w:pPr>
              <w:pStyle w:val="Normal"/>
              <w:rPr/>
            </w:pPr>
            <w:r>
              <w:rPr/>
            </w:r>
          </w:p>
          <w:p>
            <w:pPr>
              <w:pStyle w:val="Normal"/>
              <w:widowControl/>
              <w:bidi w:val="0"/>
              <w:spacing w:lineRule="auto" w:line="276" w:before="0" w:after="160"/>
              <w:jc w:val="left"/>
              <w:rPr/>
            </w:pPr>
            <w:r>
              <w:rPr/>
            </w:r>
          </w:p>
        </w:tc>
      </w:tr>
      <w:tr>
        <w:trPr/>
        <w:tc>
          <w:tcPr>
            <w:tcW w:w="1985" w:type="dxa"/>
            <w:tcBorders>
              <w:top w:val="single" w:sz="6" w:space="0" w:color="E6E6E6"/>
              <w:left w:val="single" w:sz="6" w:space="0" w:color="E6E6E6"/>
              <w:bottom w:val="single" w:sz="6" w:space="0" w:color="E6E6E6"/>
            </w:tcBorders>
            <w:shd w:fill="F5F5F5" w:val="clear"/>
            <w:vAlign w:val="center"/>
          </w:tcPr>
          <w:p>
            <w:pPr>
              <w:pStyle w:val="Normal"/>
              <w:widowControl/>
              <w:bidi w:val="0"/>
              <w:spacing w:lineRule="auto" w:line="276" w:before="0" w:after="160"/>
              <w:jc w:val="left"/>
              <w:rPr>
                <w:b/>
                <w:b/>
                <w:bCs/>
              </w:rPr>
            </w:pPr>
            <w:r>
              <w:rPr>
                <w:b/>
                <w:bCs/>
              </w:rPr>
              <w:t>Reflective learning</w:t>
            </w:r>
          </w:p>
        </w:tc>
        <w:tc>
          <w:tcPr>
            <w:tcW w:w="2220"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Curious and committed to developing skills and knowledge.</w:t>
            </w:r>
          </w:p>
        </w:tc>
        <w:tc>
          <w:tcPr>
            <w:tcW w:w="2338" w:type="dxa"/>
            <w:tcBorders>
              <w:top w:val="single" w:sz="6" w:space="0" w:color="E6E6E6"/>
              <w:left w:val="single" w:sz="6" w:space="0" w:color="E6E6E6"/>
              <w:bottom w:val="single" w:sz="6" w:space="0" w:color="E6E6E6"/>
            </w:tcBorders>
            <w:shd w:fill="auto" w:val="clear"/>
            <w:vAlign w:val="center"/>
          </w:tcPr>
          <w:p>
            <w:pPr>
              <w:pStyle w:val="Normal"/>
              <w:widowControl/>
              <w:bidi w:val="0"/>
              <w:spacing w:lineRule="auto" w:line="276" w:before="0" w:after="160"/>
              <w:jc w:val="left"/>
              <w:rPr/>
            </w:pPr>
            <w:r>
              <w:rPr/>
              <w:t>- Takes ownership of personal development and learning.</w:t>
            </w:r>
          </w:p>
        </w:tc>
        <w:tc>
          <w:tcPr>
            <w:tcW w:w="2481" w:type="dxa"/>
            <w:tcBorders>
              <w:top w:val="single" w:sz="6" w:space="0" w:color="E6E6E6"/>
              <w:left w:val="single" w:sz="6" w:space="0" w:color="E6E6E6"/>
              <w:bottom w:val="single" w:sz="6" w:space="0" w:color="E6E6E6"/>
              <w:right w:val="single" w:sz="6" w:space="0" w:color="E6E6E6"/>
            </w:tcBorders>
            <w:shd w:fill="auto" w:val="clear"/>
            <w:vAlign w:val="center"/>
          </w:tcPr>
          <w:p>
            <w:pPr>
              <w:pStyle w:val="Normal"/>
              <w:widowControl/>
              <w:bidi w:val="0"/>
              <w:spacing w:lineRule="auto" w:line="276" w:before="0" w:after="160"/>
              <w:jc w:val="left"/>
              <w:rPr/>
            </w:pPr>
            <w:r>
              <w:rPr/>
              <w:t>- Shares learning and expertise through coaching and mentoring others.</w:t>
            </w:r>
          </w:p>
        </w:tc>
      </w:tr>
    </w:tbl>
    <w:p>
      <w:pPr>
        <w:pStyle w:val="Normal"/>
        <w:rPr>
          <w:b/>
          <w:b/>
          <w:bCs/>
        </w:rPr>
      </w:pPr>
      <w:r>
        <w:rPr/>
        <mc:AlternateContent>
          <mc:Choice Requires="wps">
            <w:drawing>
              <wp:inline distT="0" distB="0" distL="0" distR="0">
                <wp:extent cx="1270" cy="19685"/>
                <wp:effectExtent l="0" t="0" r="0" b="0"/>
                <wp:docPr id="8" name=""/>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0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GMCA VALUES AND BEHAVIOURS</w:t>
      </w:r>
    </w:p>
    <w:p>
      <w:pPr>
        <w:pStyle w:val="Normal"/>
        <w:rPr/>
      </w:pPr>
      <w:r>
        <w:rPr/>
        <w:t>The post holder must demonstrate GMCA values and behaviours at all times, including commitment to public service, collaboration, inclusion, continuous improvement, and high standards.</w:t>
      </w:r>
    </w:p>
    <w:p>
      <w:pPr>
        <w:pStyle w:val="Normal"/>
        <w:rPr>
          <w:b/>
          <w:b/>
          <w:bCs/>
        </w:rPr>
      </w:pPr>
      <w:r>
        <w:rPr/>
        <mc:AlternateContent>
          <mc:Choice Requires="wps">
            <w:drawing>
              <wp:inline distT="0" distB="0" distL="0" distR="0">
                <wp:extent cx="5732145" cy="19685"/>
                <wp:effectExtent l="0" t="0" r="0" b="0"/>
                <wp:docPr id="9"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rPr>
          <w:b/>
          <w:b/>
          <w:bCs/>
        </w:rPr>
      </w:pPr>
      <w:r>
        <w:rPr>
          <w:b/>
          <w:bCs/>
        </w:rPr>
        <w:t>CORPORATE DUTIES</w:t>
      </w:r>
    </w:p>
    <w:p>
      <w:pPr>
        <w:pStyle w:val="Normal"/>
        <w:rPr/>
      </w:pPr>
      <w:r>
        <w:rPr/>
        <w:t>The post holder will comply with all GMCA policies relating to equality, data protection, confidentiality, health and safety, information security, records management and professional conduct, as set out in the corporate duties section.</w:t>
      </w:r>
    </w:p>
    <w:p>
      <w:pPr>
        <w:pStyle w:val="Normal"/>
        <w:widowControl/>
        <w:bidi w:val="0"/>
        <w:spacing w:lineRule="auto" w:line="27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160"/>
      <w:jc w:val="left"/>
    </w:pPr>
    <w:rPr>
      <w:rFonts w:ascii="Aptos" w:hAnsi="Aptos" w:eastAsia="Aptos" w:cs=""/>
      <w:color w:val="auto"/>
      <w:kern w:val="2"/>
      <w:sz w:val="24"/>
      <w:szCs w:val="24"/>
      <w:lang w:val="en-GB" w:eastAsia="en-US" w:bidi="ar-SA"/>
    </w:rPr>
  </w:style>
  <w:style w:type="paragraph" w:styleId="Heading1">
    <w:name w:val="Heading 1"/>
    <w:basedOn w:val="Normal"/>
    <w:next w:val="Normal"/>
    <w:qFormat/>
    <w:pPr>
      <w:keepNext w:val="true"/>
      <w:keepLines/>
      <w:numPr>
        <w:ilvl w:val="0"/>
        <w:numId w:val="1"/>
      </w:numPr>
      <w:spacing w:before="360" w:after="80"/>
      <w:outlineLvl w:val="0"/>
    </w:pPr>
    <w:rPr>
      <w:rFonts w:ascii="Aptos Display" w:hAnsi="Aptos Display" w:eastAsia="" w:cs=""/>
      <w:color w:val="0F4761"/>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Aptos Display" w:hAnsi="Aptos Display" w:eastAsia="" w:cs=""/>
      <w:color w:val="0F4761"/>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 w:cs=""/>
      <w:color w:val="0F4761"/>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 w:cs=""/>
      <w:i/>
      <w:iCs/>
      <w:color w:val="0F4761"/>
    </w:rPr>
  </w:style>
  <w:style w:type="paragraph" w:styleId="Heading5">
    <w:name w:val="Heading 5"/>
    <w:basedOn w:val="Normal"/>
    <w:next w:val="Normal"/>
    <w:qFormat/>
    <w:pPr>
      <w:keepNext w:val="true"/>
      <w:keepLines/>
      <w:numPr>
        <w:ilvl w:val="4"/>
        <w:numId w:val="1"/>
      </w:numPr>
      <w:spacing w:before="80" w:after="40"/>
      <w:outlineLvl w:val="4"/>
    </w:pPr>
    <w:rPr>
      <w:rFonts w:eastAsia="" w:cs=""/>
      <w:color w:val="0F4761"/>
    </w:rPr>
  </w:style>
  <w:style w:type="paragraph" w:styleId="Heading6">
    <w:name w:val="Heading 6"/>
    <w:basedOn w:val="Normal"/>
    <w:next w:val="Normal"/>
    <w:qFormat/>
    <w:pPr>
      <w:keepNext w:val="true"/>
      <w:keepLines/>
      <w:numPr>
        <w:ilvl w:val="5"/>
        <w:numId w:val="1"/>
      </w:numPr>
      <w:spacing w:before="40" w:after="0"/>
      <w:outlineLvl w:val="5"/>
    </w:pPr>
    <w:rPr>
      <w:rFonts w:eastAsia="" w:cs=""/>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 w:cs=""/>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 w:cs=""/>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 w:cs=""/>
      <w:color w:val="2727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ing1Char">
    <w:name w:val="Heading 1 Char"/>
    <w:basedOn w:val="DefaultParagraphFont"/>
    <w:qFormat/>
    <w:rPr>
      <w:rFonts w:ascii="Aptos Display" w:hAnsi="Aptos Display" w:eastAsia="" w:cs=""/>
      <w:color w:val="0F4761"/>
      <w:sz w:val="40"/>
      <w:szCs w:val="40"/>
    </w:rPr>
  </w:style>
  <w:style w:type="character" w:styleId="Heading2Char">
    <w:name w:val="Heading 2 Char"/>
    <w:basedOn w:val="DefaultParagraphFont"/>
    <w:qFormat/>
    <w:rPr>
      <w:rFonts w:ascii="Aptos Display" w:hAnsi="Aptos Display" w:eastAsia="" w:cs=""/>
      <w:color w:val="0F4761"/>
      <w:sz w:val="32"/>
      <w:szCs w:val="32"/>
    </w:rPr>
  </w:style>
  <w:style w:type="character" w:styleId="Heading3Char">
    <w:name w:val="Heading 3 Char"/>
    <w:basedOn w:val="DefaultParagraphFont"/>
    <w:qFormat/>
    <w:rPr>
      <w:rFonts w:eastAsia="" w:cs=""/>
      <w:color w:val="0F4761"/>
      <w:sz w:val="28"/>
      <w:szCs w:val="28"/>
    </w:rPr>
  </w:style>
  <w:style w:type="character" w:styleId="Heading4Char">
    <w:name w:val="Heading 4 Char"/>
    <w:basedOn w:val="DefaultParagraphFont"/>
    <w:qFormat/>
    <w:rPr>
      <w:rFonts w:eastAsia="" w:cs=""/>
      <w:i/>
      <w:iCs/>
      <w:color w:val="0F4761"/>
    </w:rPr>
  </w:style>
  <w:style w:type="character" w:styleId="Heading5Char">
    <w:name w:val="Heading 5 Char"/>
    <w:basedOn w:val="DefaultParagraphFont"/>
    <w:qFormat/>
    <w:rPr>
      <w:rFonts w:eastAsia="" w:cs=""/>
      <w:color w:val="0F4761"/>
    </w:rPr>
  </w:style>
  <w:style w:type="character" w:styleId="Heading6Char">
    <w:name w:val="Heading 6 Char"/>
    <w:basedOn w:val="DefaultParagraphFont"/>
    <w:qFormat/>
    <w:rPr>
      <w:rFonts w:eastAsia="" w:cs=""/>
      <w:i/>
      <w:iCs/>
      <w:color w:val="595959"/>
    </w:rPr>
  </w:style>
  <w:style w:type="character" w:styleId="Heading7Char">
    <w:name w:val="Heading 7 Char"/>
    <w:basedOn w:val="DefaultParagraphFont"/>
    <w:qFormat/>
    <w:rPr>
      <w:rFonts w:eastAsia="" w:cs=""/>
      <w:color w:val="595959"/>
    </w:rPr>
  </w:style>
  <w:style w:type="character" w:styleId="Heading8Char">
    <w:name w:val="Heading 8 Char"/>
    <w:basedOn w:val="DefaultParagraphFont"/>
    <w:qFormat/>
    <w:rPr>
      <w:rFonts w:eastAsia="" w:cs=""/>
      <w:i/>
      <w:iCs/>
      <w:color w:val="272727"/>
    </w:rPr>
  </w:style>
  <w:style w:type="character" w:styleId="Heading9Char">
    <w:name w:val="Heading 9 Char"/>
    <w:basedOn w:val="DefaultParagraphFont"/>
    <w:qFormat/>
    <w:rPr>
      <w:rFonts w:eastAsia="" w:cs=""/>
      <w:color w:val="272727"/>
    </w:rPr>
  </w:style>
  <w:style w:type="character" w:styleId="TitleChar">
    <w:name w:val="Title Char"/>
    <w:basedOn w:val="DefaultParagraphFont"/>
    <w:qFormat/>
    <w:rPr>
      <w:rFonts w:ascii="Aptos Display" w:hAnsi="Aptos Display" w:eastAsia="" w:cs=""/>
      <w:spacing w:val="-10"/>
      <w:kern w:val="2"/>
      <w:sz w:val="56"/>
      <w:szCs w:val="56"/>
    </w:rPr>
  </w:style>
  <w:style w:type="character" w:styleId="SubtitleChar">
    <w:name w:val="Subtitle Char"/>
    <w:basedOn w:val="DefaultParagraphFont"/>
    <w:qFormat/>
    <w:rPr>
      <w:rFonts w:eastAsia="" w:cs=""/>
      <w:color w:val="595959"/>
      <w:spacing w:val="15"/>
      <w:sz w:val="28"/>
      <w:szCs w:val="28"/>
    </w:rPr>
  </w:style>
  <w:style w:type="character" w:styleId="QuoteChar">
    <w:name w:val="Quote Char"/>
    <w:basedOn w:val="DefaultParagraphFont"/>
    <w:qFormat/>
    <w:rPr>
      <w:i/>
      <w:iCs/>
      <w:color w:val="404040"/>
    </w:rPr>
  </w:style>
  <w:style w:type="character" w:styleId="IntenseEmphasis">
    <w:name w:val="Intense Emphasis"/>
    <w:basedOn w:val="DefaultParagraphFont"/>
    <w:qFormat/>
    <w:rPr>
      <w:i/>
      <w:iCs/>
      <w:color w:val="0F4761"/>
    </w:rPr>
  </w:style>
  <w:style w:type="character" w:styleId="IntenseQuoteChar">
    <w:name w:val="Intense Quote Char"/>
    <w:basedOn w:val="DefaultParagraphFont"/>
    <w:qFormat/>
    <w:rPr>
      <w:i/>
      <w:iCs/>
      <w:color w:val="0F4761"/>
    </w:rPr>
  </w:style>
  <w:style w:type="character" w:styleId="IntenseReference">
    <w:name w:val="Intense Reference"/>
    <w:basedOn w:val="DefaultParagraphFont"/>
    <w:qFormat/>
    <w:rPr>
      <w:b/>
      <w:bCs/>
      <w:smallCaps/>
      <w:color w:val="0F4761"/>
      <w:spacing w:val="5"/>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spacing w:lineRule="auto" w:line="240" w:before="0" w:after="80"/>
      <w:contextualSpacing/>
    </w:pPr>
    <w:rPr>
      <w:rFonts w:ascii="Aptos Display" w:hAnsi="Aptos Display" w:eastAsia="" w:cs=""/>
      <w:spacing w:val="-10"/>
      <w:kern w:val="2"/>
      <w:sz w:val="56"/>
      <w:szCs w:val="56"/>
    </w:rPr>
  </w:style>
  <w:style w:type="paragraph" w:styleId="Subtitle">
    <w:name w:val="Subtitle"/>
    <w:basedOn w:val="Normal"/>
    <w:next w:val="Normal"/>
    <w:qFormat/>
    <w:pPr/>
    <w:rPr>
      <w:rFonts w:eastAsia="" w:cs=""/>
      <w:color w:val="595959"/>
      <w:spacing w:val="15"/>
      <w:sz w:val="28"/>
      <w:szCs w:val="28"/>
    </w:rPr>
  </w:style>
  <w:style w:type="paragraph" w:styleId="Quote">
    <w:name w:val="Quote"/>
    <w:basedOn w:val="Normal"/>
    <w:next w:val="Normal"/>
    <w:qFormat/>
    <w:pPr>
      <w:spacing w:before="160" w:after="160"/>
      <w:jc w:val="center"/>
    </w:pPr>
    <w:rPr>
      <w:i/>
      <w:iCs/>
      <w:color w:val="404040"/>
    </w:rPr>
  </w:style>
  <w:style w:type="paragraph" w:styleId="ListParagraph">
    <w:name w:val="List Paragraph"/>
    <w:basedOn w:val="Normal"/>
    <w:qFormat/>
    <w:pPr>
      <w:spacing w:before="0" w:after="160"/>
      <w:ind w:left="720" w:right="0" w:hanging="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hanging="0"/>
      <w:jc w:val="center"/>
    </w:pPr>
    <w:rPr>
      <w:i/>
      <w:iCs/>
      <w:color w:val="0F4761"/>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2026-07-03T13:10:00Z</dcterms:created>
  <dc:creator>Morgan, Elaine</dc:creator>
  <dc:description/>
  <dc:language>en-US</dc:language>
  <cp:lastModifiedBy>Morgan, Elaine</cp:lastModifiedBy>
  <cp:lastPrinted>1995-11-21T17:41:00Z</cp:lastPrinted>
  <dcterms:modified xsi:type="dcterms:W3CDTF">2026-07-03T13:10:00Z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