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bookmarkStart w:id="0" w:name="permission-for-group%253A344789259%253Ae"/>
      <w:bookmarkEnd w:id="0"/>
      <w:r>
        <w:rPr>
          <w:rFonts w:cs="Arial"/>
          <w:sz w:val="24"/>
          <w:szCs w:val="24"/>
        </w:rPr>
        <w:t>Role profile</w:t>
      </w:r>
    </w:p>
    <w:p>
      <w:pPr>
        <w:pStyle w:val="ListParagraph"/>
        <w:numPr>
          <w:ilvl w:val="0"/>
          <w:numId w:val="2"/>
        </w:numPr>
        <w:rPr/>
      </w:pPr>
      <w:r>
        <w:rPr>
          <w:rFonts w:cs="Arial"/>
          <w:b/>
          <w:bCs/>
          <w:szCs w:val="24"/>
        </w:rPr>
        <w:t>Job title</w:t>
      </w:r>
      <w:r>
        <w:rPr>
          <w:rFonts w:cs="Arial"/>
          <w:szCs w:val="24"/>
        </w:rPr>
        <w:t xml:space="preserve">: </w:t>
      </w:r>
      <w:r>
        <w:rPr>
          <w:rFonts w:cs="Arial"/>
          <w:b/>
        </w:rPr>
        <w:t>Senior Policy &amp; Partnership Officer</w:t>
      </w:r>
    </w:p>
    <w:p>
      <w:pPr>
        <w:pStyle w:val="ListParagraph"/>
        <w:numPr>
          <w:ilvl w:val="0"/>
          <w:numId w:val="2"/>
        </w:numPr>
        <w:rPr/>
      </w:pPr>
      <w:r>
        <w:rPr>
          <w:rFonts w:cs="Arial"/>
          <w:b/>
          <w:bCs/>
          <w:szCs w:val="24"/>
        </w:rPr>
        <w:t>Grade:</w:t>
      </w:r>
      <w:r>
        <w:rPr>
          <w:rFonts w:cs="Arial"/>
          <w:szCs w:val="24"/>
        </w:rPr>
        <w:t xml:space="preserve"> 9</w:t>
      </w:r>
    </w:p>
    <w:p>
      <w:pPr>
        <w:pStyle w:val="ListParagraph"/>
        <w:numPr>
          <w:ilvl w:val="0"/>
          <w:numId w:val="2"/>
        </w:numPr>
        <w:rPr/>
      </w:pPr>
      <w:r>
        <w:rPr>
          <w:rFonts w:cs="Arial"/>
          <w:b/>
          <w:bCs/>
          <w:szCs w:val="24"/>
        </w:rPr>
        <w:t>Business area:</w:t>
      </w:r>
      <w:r>
        <w:rPr>
          <w:rFonts w:cs="Arial"/>
          <w:szCs w:val="24"/>
        </w:rPr>
        <w:t xml:space="preserve"> </w:t>
      </w:r>
      <w:r>
        <w:rPr>
          <w:rFonts w:cs="Arial"/>
        </w:rPr>
        <w:t>Environment Directorate – Policy and Strategy</w:t>
      </w:r>
    </w:p>
    <w:p>
      <w:pPr>
        <w:pStyle w:val="ListParagraph"/>
        <w:numPr>
          <w:ilvl w:val="0"/>
          <w:numId w:val="2"/>
        </w:numPr>
        <w:rPr/>
      </w:pPr>
      <w:r>
        <w:rPr>
          <w:rFonts w:cs="Arial"/>
          <w:b/>
          <w:bCs/>
          <w:szCs w:val="24"/>
        </w:rPr>
        <w:t>Reporting line:</w:t>
      </w:r>
      <w:r>
        <w:rPr>
          <w:rFonts w:cs="Arial"/>
          <w:szCs w:val="24"/>
        </w:rPr>
        <w:t xml:space="preserve"> </w:t>
      </w:r>
      <w:r>
        <w:rPr>
          <w:rFonts w:cs="Arial"/>
          <w:color w:val="auto"/>
          <w:szCs w:val="24"/>
        </w:rPr>
        <w:t>Energy Policy and Programmes Lead</w:t>
      </w:r>
    </w:p>
    <w:p>
      <w:pPr>
        <w:pStyle w:val="ListParagraph"/>
        <w:numPr>
          <w:ilvl w:val="0"/>
          <w:numId w:val="2"/>
        </w:numPr>
        <w:rPr/>
      </w:pPr>
      <w:r>
        <w:rPr>
          <w:rFonts w:cs="Arial"/>
          <w:b/>
          <w:bCs/>
          <w:szCs w:val="24"/>
        </w:rPr>
        <w:t>Team:</w:t>
      </w:r>
      <w:r>
        <w:rPr>
          <w:rFonts w:cs="Arial"/>
          <w:szCs w:val="24"/>
        </w:rPr>
        <w:t xml:space="preserve"> Low Carbon</w:t>
      </w:r>
    </w:p>
    <w:p>
      <w:pPr>
        <w:pStyle w:val="Heading2"/>
        <w:shd w:fill="004F6E" w:val="clear"/>
        <w:rPr>
          <w:rFonts w:cs="Arial"/>
          <w:sz w:val="24"/>
          <w:szCs w:val="24"/>
        </w:rPr>
      </w:pPr>
      <w:r>
        <w:rPr>
          <w:rFonts w:cs="Arial"/>
          <w:sz w:val="24"/>
          <w:szCs w:val="24"/>
        </w:rPr>
        <w:t>Job Purpose</w:t>
      </w:r>
    </w:p>
    <w:p>
      <w:pPr>
        <w:pStyle w:val="Normal"/>
        <w:jc w:val="both"/>
        <w:rPr>
          <w:rFonts w:eastAsia="Times New Roman" w:cs="Arial"/>
          <w:color w:val="000000"/>
          <w:u w:val="none" w:color="000000"/>
        </w:rPr>
      </w:pPr>
      <w:r>
        <w:rPr>
          <w:rFonts w:eastAsia="Times New Roman" w:cs="Arial"/>
          <w:color w:val="000000"/>
          <w:u w:val="none" w:color="000000"/>
        </w:rPr>
        <w:t>The low carbon team plays a key role in setting GM’s overall direction through the formulation of Greater Manchester’s strategies. We are outward facing with networks across business, universities, international city governments and arts and cultural organisations.</w:t>
      </w:r>
    </w:p>
    <w:p>
      <w:pPr>
        <w:pStyle w:val="Normal"/>
        <w:jc w:val="both"/>
        <w:rPr>
          <w:rFonts w:eastAsia="Times New Roman" w:cs="Arial"/>
          <w:color w:val="000000"/>
          <w:u w:val="none" w:color="000000"/>
        </w:rPr>
      </w:pPr>
      <w:r>
        <w:rPr>
          <w:rFonts w:eastAsia="Times New Roman" w:cs="Arial"/>
          <w:color w:val="000000"/>
          <w:u w:val="none" w:color="000000"/>
        </w:rPr>
        <w:t xml:space="preserve">The purpose of the role in the low carbon team is to provide high-quality development and implementation support covering strategy, policy, and partnerships across the scope of the GMCA’s carbon neutral ambition. The team works on a range of high-profile policy areas that are central to Greater Manchester’s 2038 carbon neutral target, which underpins the wider economic, social and recovery agendas.  </w:t>
      </w:r>
    </w:p>
    <w:p>
      <w:pPr>
        <w:pStyle w:val="Normal"/>
        <w:jc w:val="both"/>
        <w:rPr>
          <w:rFonts w:eastAsia="Times New Roman" w:cs="Arial"/>
          <w:color w:val="000000"/>
          <w:u w:val="none" w:color="000000"/>
        </w:rPr>
      </w:pPr>
      <w:r>
        <w:rPr>
          <w:rFonts w:eastAsia="Times New Roman" w:cs="Arial"/>
          <w:color w:val="000000"/>
          <w:u w:val="none" w:color="000000"/>
        </w:rPr>
        <w:t xml:space="preserve">Partnerships are critical to the realization of our objectives and the team is responsible for advising the Mayor, the GMCA, Green City Region Partnership Board, the GM Local Enterprise Partnership as well as other local and national partners to develop and deliver strategies and interventions that deliver a fair and just transition to net zero. </w:t>
      </w:r>
    </w:p>
    <w:p>
      <w:pPr>
        <w:pStyle w:val="Heading2"/>
        <w:shd w:fill="004F6E" w:val="clear"/>
        <w:rPr>
          <w:rFonts w:cs="Arial"/>
          <w:sz w:val="24"/>
          <w:szCs w:val="24"/>
        </w:rPr>
      </w:pPr>
      <w:r>
        <w:rPr>
          <w:rFonts w:cs="Arial"/>
          <w:sz w:val="24"/>
          <w:szCs w:val="24"/>
        </w:rPr>
        <w:t>Key working relationships</w:t>
      </w:r>
    </w:p>
    <w:p>
      <w:pPr>
        <w:pStyle w:val="ListParagraph"/>
        <w:widowControl/>
        <w:numPr>
          <w:ilvl w:val="0"/>
          <w:numId w:val="3"/>
        </w:numPr>
        <w:spacing w:lineRule="auto" w:line="240" w:before="0" w:after="0"/>
        <w:ind w:left="720" w:right="261" w:hanging="360"/>
        <w:rPr>
          <w:color w:val="000000"/>
          <w:szCs w:val="24"/>
        </w:rPr>
      </w:pPr>
      <w:r>
        <w:rPr>
          <w:color w:val="000000"/>
          <w:szCs w:val="24"/>
        </w:rPr>
        <w:t>Mayor of Greater Manchester</w:t>
      </w:r>
    </w:p>
    <w:p>
      <w:pPr>
        <w:pStyle w:val="ListParagraph"/>
        <w:widowControl/>
        <w:numPr>
          <w:ilvl w:val="0"/>
          <w:numId w:val="3"/>
        </w:numPr>
        <w:spacing w:lineRule="auto" w:line="240" w:before="0" w:after="0"/>
        <w:ind w:left="720" w:right="261" w:hanging="360"/>
        <w:rPr>
          <w:color w:val="000000"/>
          <w:szCs w:val="24"/>
        </w:rPr>
      </w:pPr>
      <w:r>
        <w:rPr>
          <w:color w:val="000000"/>
          <w:szCs w:val="24"/>
        </w:rPr>
        <w:t>Chief Executive GMCA</w:t>
      </w:r>
    </w:p>
    <w:p>
      <w:pPr>
        <w:pStyle w:val="ListParagraph"/>
        <w:widowControl/>
        <w:numPr>
          <w:ilvl w:val="0"/>
          <w:numId w:val="3"/>
        </w:numPr>
        <w:spacing w:lineRule="auto" w:line="240" w:before="0" w:after="0"/>
        <w:ind w:left="720" w:right="261" w:hanging="360"/>
        <w:rPr/>
      </w:pPr>
      <w:r>
        <w:rPr>
          <w:color w:val="000000"/>
          <w:szCs w:val="24"/>
        </w:rPr>
        <w:t xml:space="preserve">Internal / External Stakeholders &amp; Partners </w:t>
      </w:r>
      <w:r>
        <w:rPr>
          <w:rFonts w:eastAsia="Arial"/>
          <w:color w:val="000000"/>
          <w:szCs w:val="24"/>
        </w:rPr>
        <w:t xml:space="preserve">Internal teams </w:t>
      </w:r>
      <w:r>
        <w:rPr>
          <w:color w:val="000000"/>
          <w:szCs w:val="24"/>
        </w:rPr>
        <w:t>including</w:t>
      </w:r>
      <w:r>
        <w:rPr>
          <w:rFonts w:eastAsia="Arial"/>
          <w:color w:val="000000"/>
          <w:szCs w:val="24"/>
        </w:rPr>
        <w:t xml:space="preserve"> Research, Strategy, Policy, and Core Investment</w:t>
      </w:r>
    </w:p>
    <w:p>
      <w:pPr>
        <w:pStyle w:val="Normal"/>
        <w:widowControl/>
        <w:numPr>
          <w:ilvl w:val="0"/>
          <w:numId w:val="3"/>
        </w:numPr>
        <w:spacing w:lineRule="auto" w:line="240" w:before="0" w:after="0"/>
        <w:rPr>
          <w:rFonts w:cs="Arial"/>
          <w:bCs/>
          <w:iCs/>
        </w:rPr>
      </w:pPr>
      <w:r>
        <w:rPr>
          <w:rFonts w:cs="Arial"/>
          <w:bCs/>
          <w:iCs/>
        </w:rPr>
        <w:t xml:space="preserve">GMCA Senior and Extended Leadership Teams </w:t>
      </w:r>
    </w:p>
    <w:p>
      <w:pPr>
        <w:pStyle w:val="Normal"/>
        <w:widowControl/>
        <w:numPr>
          <w:ilvl w:val="0"/>
          <w:numId w:val="3"/>
        </w:numPr>
        <w:spacing w:lineRule="auto" w:line="240" w:before="0" w:after="0"/>
        <w:rPr>
          <w:rFonts w:cs="Arial"/>
          <w:bCs/>
          <w:iCs/>
        </w:rPr>
      </w:pPr>
      <w:r>
        <w:rPr>
          <w:rFonts w:cs="Arial"/>
          <w:bCs/>
          <w:iCs/>
        </w:rPr>
        <w:t>Greater Manchester Local Enterprise Partnership</w:t>
      </w:r>
    </w:p>
    <w:p>
      <w:pPr>
        <w:pStyle w:val="Normal"/>
        <w:widowControl/>
        <w:numPr>
          <w:ilvl w:val="0"/>
          <w:numId w:val="3"/>
        </w:numPr>
        <w:spacing w:lineRule="auto" w:line="240" w:before="0" w:after="0"/>
        <w:rPr>
          <w:rFonts w:cs="Arial"/>
          <w:bCs/>
          <w:iCs/>
        </w:rPr>
      </w:pPr>
      <w:r>
        <w:rPr>
          <w:rFonts w:cs="Arial"/>
          <w:bCs/>
          <w:iCs/>
        </w:rPr>
        <w:t xml:space="preserve">Greater Manchester’s ten Local Authorities </w:t>
      </w:r>
    </w:p>
    <w:p>
      <w:pPr>
        <w:pStyle w:val="ListParagraph"/>
        <w:widowControl/>
        <w:numPr>
          <w:ilvl w:val="0"/>
          <w:numId w:val="3"/>
        </w:numPr>
        <w:spacing w:lineRule="auto" w:line="240" w:before="0" w:after="0"/>
        <w:ind w:left="720" w:right="261" w:hanging="360"/>
        <w:jc w:val="both"/>
        <w:rPr>
          <w:szCs w:val="24"/>
        </w:rPr>
      </w:pPr>
      <w:r>
        <w:rPr>
          <w:szCs w:val="24"/>
        </w:rPr>
        <w:t xml:space="preserve">Members of the Challenge Groups </w:t>
      </w:r>
    </w:p>
    <w:p>
      <w:pPr>
        <w:pStyle w:val="ListParagraph"/>
        <w:numPr>
          <w:ilvl w:val="0"/>
          <w:numId w:val="3"/>
        </w:numPr>
        <w:rPr>
          <w:szCs w:val="24"/>
        </w:rPr>
      </w:pPr>
      <w:r>
        <w:rPr>
          <w:szCs w:val="24"/>
        </w:rPr>
        <w:t>Members of the Retrofit Task Force</w:t>
      </w:r>
    </w:p>
    <w:p>
      <w:pPr>
        <w:pStyle w:val="Heading2"/>
        <w:shd w:fill="004F6E" w:val="clear"/>
        <w:rPr>
          <w:rFonts w:cs="Arial"/>
          <w:sz w:val="24"/>
          <w:szCs w:val="24"/>
        </w:rPr>
      </w:pPr>
      <w:r>
        <w:rPr>
          <w:rFonts w:cs="Arial"/>
          <w:sz w:val="24"/>
          <w:szCs w:val="24"/>
        </w:rPr>
        <w:t>Key Responsibilities</w:t>
      </w:r>
    </w:p>
    <w:p>
      <w:pPr>
        <w:pStyle w:val="Default"/>
        <w:widowControl/>
        <w:numPr>
          <w:ilvl w:val="0"/>
          <w:numId w:val="6"/>
        </w:numPr>
        <w:tabs>
          <w:tab w:val="clear" w:pos="720"/>
          <w:tab w:val="left" w:pos="1026" w:leader="none"/>
        </w:tabs>
        <w:spacing w:before="0" w:after="219"/>
        <w:ind w:left="1026" w:right="0" w:hanging="567"/>
        <w:rPr/>
      </w:pPr>
      <w:r>
        <w:rPr/>
        <w:t>To provide policy advice and guidance support in relation to the GMCA’s carbon neutral priorities, drafting reports and developing proposed policy initiatives alone and with partners</w:t>
      </w:r>
    </w:p>
    <w:p>
      <w:pPr>
        <w:pStyle w:val="Default"/>
        <w:widowControl/>
        <w:numPr>
          <w:ilvl w:val="0"/>
          <w:numId w:val="6"/>
        </w:numPr>
        <w:tabs>
          <w:tab w:val="clear" w:pos="720"/>
          <w:tab w:val="left" w:pos="1026" w:leader="none"/>
        </w:tabs>
        <w:spacing w:before="0" w:after="219"/>
        <w:ind w:left="1026" w:right="0" w:hanging="567"/>
        <w:rPr/>
      </w:pPr>
      <w:r>
        <w:rPr/>
        <w:t>To provide influence, advice and guidance and management support to executive decision making bodies on low carbon and related issues</w:t>
      </w:r>
    </w:p>
    <w:p>
      <w:pPr>
        <w:pStyle w:val="Default"/>
        <w:widowControl/>
        <w:numPr>
          <w:ilvl w:val="0"/>
          <w:numId w:val="6"/>
        </w:numPr>
        <w:tabs>
          <w:tab w:val="clear" w:pos="720"/>
          <w:tab w:val="left" w:pos="1026" w:leader="none"/>
        </w:tabs>
        <w:spacing w:before="0" w:after="219"/>
        <w:ind w:left="1026" w:right="0" w:hanging="567"/>
        <w:rPr/>
      </w:pPr>
      <w:r>
        <w:rPr/>
        <w:t>To provide research and analysis to colleagues and Executive Boards to inform and support delivery of key objectives, including responses to policy consultation and contributing to the decision making processes which support the Mayor’s priorities across a range of policy areas</w:t>
      </w:r>
    </w:p>
    <w:p>
      <w:pPr>
        <w:pStyle w:val="Default"/>
        <w:widowControl/>
        <w:numPr>
          <w:ilvl w:val="0"/>
          <w:numId w:val="6"/>
        </w:numPr>
        <w:tabs>
          <w:tab w:val="clear" w:pos="720"/>
          <w:tab w:val="left" w:pos="1026" w:leader="none"/>
        </w:tabs>
        <w:spacing w:before="0" w:after="219"/>
        <w:ind w:left="1026" w:right="0" w:hanging="567"/>
        <w:rPr/>
      </w:pPr>
      <w:r>
        <w:rPr/>
        <w:t>To support bid assessment/development as directed to accord with delivery of the Mayor’s plans and priorities.</w:t>
      </w:r>
    </w:p>
    <w:p>
      <w:pPr>
        <w:pStyle w:val="Default"/>
        <w:widowControl/>
        <w:numPr>
          <w:ilvl w:val="0"/>
          <w:numId w:val="6"/>
        </w:numPr>
        <w:tabs>
          <w:tab w:val="clear" w:pos="720"/>
          <w:tab w:val="left" w:pos="1026" w:leader="none"/>
        </w:tabs>
        <w:spacing w:before="0" w:after="219"/>
        <w:ind w:left="1026" w:right="0" w:hanging="567"/>
        <w:rPr/>
      </w:pPr>
      <w:r>
        <w:rPr/>
        <w:t>To produce and present reports and relevant documentation to support the delivery of the directorate’s portfolio of activity discussing options and proposals with internal and external stakeholders as appropriate</w:t>
      </w:r>
    </w:p>
    <w:p>
      <w:pPr>
        <w:pStyle w:val="Default"/>
        <w:widowControl/>
        <w:numPr>
          <w:ilvl w:val="0"/>
          <w:numId w:val="6"/>
        </w:numPr>
        <w:tabs>
          <w:tab w:val="clear" w:pos="720"/>
          <w:tab w:val="left" w:pos="1026" w:leader="none"/>
        </w:tabs>
        <w:spacing w:before="0" w:after="219"/>
        <w:ind w:left="1026" w:right="0" w:hanging="567"/>
        <w:rPr/>
      </w:pPr>
      <w:r>
        <w:rPr/>
        <w:t xml:space="preserve">To build, develop and support key developments of partnerships between the GMCA, TfGM, and other GM wide agencies </w:t>
      </w:r>
    </w:p>
    <w:p>
      <w:pPr>
        <w:pStyle w:val="Default"/>
        <w:widowControl/>
        <w:numPr>
          <w:ilvl w:val="0"/>
          <w:numId w:val="6"/>
        </w:numPr>
        <w:tabs>
          <w:tab w:val="clear" w:pos="720"/>
          <w:tab w:val="left" w:pos="1026" w:leader="none"/>
        </w:tabs>
        <w:spacing w:before="0" w:after="219"/>
        <w:ind w:left="1026" w:right="0" w:hanging="567"/>
        <w:rPr/>
      </w:pPr>
      <w:r>
        <w:rPr/>
        <w:t>To review and support (as appropriate) links with the Green City Region Partnership and wider Challenge Groups to build the relationships required to deliver the priorities of the 5 Year Environment Plan.</w:t>
      </w:r>
    </w:p>
    <w:p>
      <w:pPr>
        <w:pStyle w:val="Default"/>
        <w:widowControl/>
        <w:numPr>
          <w:ilvl w:val="0"/>
          <w:numId w:val="6"/>
        </w:numPr>
        <w:tabs>
          <w:tab w:val="clear" w:pos="720"/>
          <w:tab w:val="left" w:pos="1026" w:leader="none"/>
        </w:tabs>
        <w:spacing w:before="0" w:after="219"/>
        <w:ind w:left="1026" w:right="0" w:hanging="567"/>
        <w:rPr/>
      </w:pPr>
      <w:r>
        <w:rPr/>
        <w:t>To work as directed on projects which support delivery of low carbon teams portfolio</w:t>
      </w:r>
    </w:p>
    <w:p>
      <w:pPr>
        <w:pStyle w:val="Default"/>
        <w:widowControl/>
        <w:numPr>
          <w:ilvl w:val="0"/>
          <w:numId w:val="6"/>
        </w:numPr>
        <w:tabs>
          <w:tab w:val="clear" w:pos="720"/>
          <w:tab w:val="left" w:pos="1026" w:leader="none"/>
        </w:tabs>
        <w:spacing w:before="0" w:after="219"/>
        <w:ind w:left="1026" w:right="0" w:hanging="567"/>
        <w:rPr/>
      </w:pPr>
      <w:r>
        <w:rPr/>
        <w:t>To support commissioning activity in line with the strategic needs assessment</w:t>
      </w:r>
    </w:p>
    <w:p>
      <w:pPr>
        <w:pStyle w:val="Default"/>
        <w:widowControl/>
        <w:numPr>
          <w:ilvl w:val="0"/>
          <w:numId w:val="6"/>
        </w:numPr>
        <w:tabs>
          <w:tab w:val="clear" w:pos="720"/>
          <w:tab w:val="left" w:pos="1026" w:leader="none"/>
        </w:tabs>
        <w:spacing w:before="0" w:after="219"/>
        <w:ind w:left="1026" w:right="0" w:hanging="567"/>
        <w:rPr/>
      </w:pPr>
      <w:r>
        <w:rPr/>
        <w:t>Attend events at which the GMCA requires representation</w:t>
      </w:r>
    </w:p>
    <w:p>
      <w:pPr>
        <w:pStyle w:val="Default"/>
        <w:widowControl/>
        <w:numPr>
          <w:ilvl w:val="0"/>
          <w:numId w:val="6"/>
        </w:numPr>
        <w:tabs>
          <w:tab w:val="clear" w:pos="720"/>
          <w:tab w:val="left" w:pos="1026" w:leader="none"/>
        </w:tabs>
        <w:spacing w:before="0" w:after="219"/>
        <w:ind w:left="1026" w:right="0" w:hanging="567"/>
        <w:rPr/>
      </w:pPr>
      <w:r>
        <w:rPr/>
        <w:t>To undertake such additional duties as are reasonably commensurate with the level of the post.</w:t>
      </w:r>
    </w:p>
    <w:p>
      <w:pPr>
        <w:pStyle w:val="Default"/>
        <w:widowControl/>
        <w:numPr>
          <w:ilvl w:val="0"/>
          <w:numId w:val="6"/>
        </w:numPr>
        <w:tabs>
          <w:tab w:val="clear" w:pos="720"/>
          <w:tab w:val="left" w:pos="1026" w:leader="none"/>
        </w:tabs>
        <w:spacing w:before="0" w:after="219"/>
        <w:ind w:left="1026" w:right="0" w:hanging="567"/>
        <w:rPr/>
      </w:pPr>
      <w:r>
        <w:rPr/>
        <w:t>The post holder will carry out their duties with full regard to the organisation’s strategies and policies including Equal Opportunities and Health &amp; Safety. The post holder will demonstrate a commitment to Crime and Disorder responsibilities.</w:t>
      </w:r>
    </w:p>
    <w:p>
      <w:pPr>
        <w:pStyle w:val="Heading2"/>
        <w:shd w:fill="004F6E" w:val="clear"/>
        <w:rPr>
          <w:rFonts w:cs="Arial"/>
          <w:sz w:val="24"/>
          <w:szCs w:val="24"/>
        </w:rPr>
      </w:pPr>
      <w:r>
        <w:rPr>
          <w:rFonts w:cs="Arial"/>
          <w:sz w:val="24"/>
          <w:szCs w:val="24"/>
        </w:rPr>
        <w:t>General</w:t>
      </w:r>
    </w:p>
    <w:p>
      <w:pPr>
        <w:pStyle w:val="Default"/>
        <w:widowControl/>
        <w:tabs>
          <w:tab w:val="clear" w:pos="720"/>
          <w:tab w:val="left" w:pos="1026" w:leader="none"/>
        </w:tabs>
        <w:spacing w:before="0" w:after="219"/>
        <w:ind w:left="1026" w:right="0" w:hanging="0"/>
        <w:rPr/>
      </w:pPr>
      <w:r>
        <w:rPr/>
      </w:r>
    </w:p>
    <w:p>
      <w:pPr>
        <w:pStyle w:val="Default"/>
        <w:widowControl/>
        <w:numPr>
          <w:ilvl w:val="0"/>
          <w:numId w:val="6"/>
        </w:numPr>
        <w:tabs>
          <w:tab w:val="clear" w:pos="720"/>
          <w:tab w:val="left" w:pos="1026" w:leader="none"/>
        </w:tabs>
        <w:spacing w:before="0" w:after="219"/>
        <w:ind w:left="1026" w:right="0" w:hanging="567"/>
        <w:rPr/>
      </w:pPr>
      <w:r>
        <w:rPr/>
        <w:t>To always hold yourself and others to a high standard of professionalism, demonstrating your commitment to our values and behaviours as well as ensuring service confidentiality is maintained throughout all we do.</w:t>
      </w:r>
    </w:p>
    <w:p>
      <w:pPr>
        <w:pStyle w:val="Default"/>
        <w:widowControl/>
        <w:numPr>
          <w:ilvl w:val="0"/>
          <w:numId w:val="6"/>
        </w:numPr>
        <w:tabs>
          <w:tab w:val="clear" w:pos="720"/>
          <w:tab w:val="left" w:pos="1026" w:leader="none"/>
        </w:tabs>
        <w:spacing w:before="0" w:after="219"/>
        <w:ind w:left="1026" w:right="0" w:hanging="567"/>
        <w:rPr/>
      </w:pPr>
      <w:r>
        <w:rPr/>
        <w:t>Working with other teams internally and externally collaboration is maximised and supporting on activity where appropriate.</w:t>
      </w:r>
    </w:p>
    <w:p>
      <w:pPr>
        <w:pStyle w:val="Default"/>
        <w:widowControl/>
        <w:numPr>
          <w:ilvl w:val="0"/>
          <w:numId w:val="6"/>
        </w:numPr>
        <w:tabs>
          <w:tab w:val="clear" w:pos="720"/>
          <w:tab w:val="left" w:pos="1026" w:leader="none"/>
        </w:tabs>
        <w:spacing w:before="0" w:after="219"/>
        <w:ind w:left="1026" w:right="0" w:hanging="567"/>
        <w:rPr/>
      </w:pPr>
      <w:r>
        <w:rPr/>
        <w:t>Ensure the services delivered internally and externally are inclusive and accessible.</w:t>
      </w:r>
    </w:p>
    <w:p>
      <w:pPr>
        <w:pStyle w:val="Default"/>
        <w:widowControl/>
        <w:numPr>
          <w:ilvl w:val="0"/>
          <w:numId w:val="6"/>
        </w:numPr>
        <w:tabs>
          <w:tab w:val="clear" w:pos="720"/>
          <w:tab w:val="left" w:pos="1026" w:leader="none"/>
        </w:tabs>
        <w:spacing w:before="0" w:after="219"/>
        <w:ind w:left="1026" w:right="0" w:hanging="567"/>
        <w:rPr/>
      </w:pPr>
      <w:r>
        <w:rPr/>
        <w:t xml:space="preserve">To align work area to the Sustainability Strategy and ensure work practices are inclusive of this value &amp; strategic intent. </w:t>
      </w:r>
    </w:p>
    <w:p>
      <w:pPr>
        <w:pStyle w:val="Normal"/>
        <w:rPr>
          <w:rFonts w:cs="Arial"/>
          <w:b/>
          <w:b/>
          <w:color w:val="auto"/>
        </w:rPr>
      </w:pPr>
      <w:r>
        <w:rPr>
          <w:rFonts w:cs="Arial"/>
          <w:b/>
          <w:color w:val="auto"/>
        </w:rPr>
      </w:r>
    </w:p>
    <w:p>
      <w:pPr>
        <w:pStyle w:val="Normal"/>
        <w:rPr>
          <w:rFonts w:cs="Arial"/>
          <w:bCs/>
          <w:color w:val="auto"/>
        </w:rPr>
      </w:pPr>
      <w:r>
        <w:rPr>
          <w:rFonts w:cs="Arial"/>
          <w:bCs/>
          <w:color w:val="auto"/>
        </w:rPr>
        <w:t>NB: This list of duties and responsibilities is by no means exhaustive, and the post holder may be required to undertake other relevant and appropriate duties as required.</w:t>
      </w:r>
    </w:p>
    <w:p>
      <w:pPr>
        <w:pStyle w:val="Heading2"/>
        <w:shd w:fill="004F6E" w:val="clear"/>
        <w:rPr>
          <w:rFonts w:cs="Arial"/>
          <w:sz w:val="24"/>
          <w:szCs w:val="24"/>
        </w:rPr>
      </w:pPr>
      <w:r>
        <w:rPr>
          <w:rFonts w:cs="Arial"/>
          <w:sz w:val="24"/>
          <w:szCs w:val="24"/>
        </w:rPr>
        <w:t>Knowledge, Skills, and Experience</w:t>
      </w:r>
    </w:p>
    <w:p>
      <w:pPr>
        <w:pStyle w:val="Default"/>
        <w:widowControl/>
        <w:tabs>
          <w:tab w:val="clear" w:pos="720"/>
          <w:tab w:val="left" w:pos="1026" w:leader="none"/>
        </w:tabs>
        <w:spacing w:before="0" w:after="219"/>
        <w:ind w:left="1026" w:right="0" w:hanging="0"/>
        <w:rPr/>
      </w:pPr>
      <w:r>
        <w:rPr/>
      </w:r>
    </w:p>
    <w:p>
      <w:pPr>
        <w:pStyle w:val="Default"/>
        <w:widowControl/>
        <w:numPr>
          <w:ilvl w:val="0"/>
          <w:numId w:val="7"/>
        </w:numPr>
        <w:tabs>
          <w:tab w:val="clear" w:pos="720"/>
          <w:tab w:val="left" w:pos="1026" w:leader="none"/>
        </w:tabs>
        <w:spacing w:before="0" w:after="219"/>
        <w:ind w:left="1026" w:right="0" w:hanging="567"/>
        <w:rPr/>
      </w:pPr>
      <w:r>
        <w:rPr/>
        <w:t>Educated to degree level or equivalent relevant experience</w:t>
      </w:r>
    </w:p>
    <w:p>
      <w:pPr>
        <w:pStyle w:val="Default"/>
        <w:widowControl/>
        <w:numPr>
          <w:ilvl w:val="0"/>
          <w:numId w:val="7"/>
        </w:numPr>
        <w:tabs>
          <w:tab w:val="clear" w:pos="720"/>
          <w:tab w:val="left" w:pos="1026" w:leader="none"/>
        </w:tabs>
        <w:spacing w:before="0" w:after="219"/>
        <w:ind w:left="1026" w:right="0" w:hanging="567"/>
        <w:rPr/>
      </w:pPr>
      <w:r>
        <w:rPr/>
        <w:t xml:space="preserve">Experience of working in partnership with a range of diverse stakeholders </w:t>
      </w:r>
    </w:p>
    <w:p>
      <w:pPr>
        <w:pStyle w:val="Default"/>
        <w:widowControl/>
        <w:numPr>
          <w:ilvl w:val="0"/>
          <w:numId w:val="7"/>
        </w:numPr>
        <w:tabs>
          <w:tab w:val="clear" w:pos="720"/>
          <w:tab w:val="left" w:pos="1026" w:leader="none"/>
        </w:tabs>
        <w:spacing w:before="0" w:after="219"/>
        <w:ind w:left="1026" w:right="0" w:hanging="567"/>
        <w:rPr/>
      </w:pPr>
      <w:r>
        <w:rPr/>
        <w:t>Knowledge and evidence of low carbon policy development and strategy implementation (Local, National, and International)</w:t>
      </w:r>
    </w:p>
    <w:p>
      <w:pPr>
        <w:pStyle w:val="Default"/>
        <w:widowControl/>
        <w:numPr>
          <w:ilvl w:val="0"/>
          <w:numId w:val="7"/>
        </w:numPr>
        <w:tabs>
          <w:tab w:val="clear" w:pos="720"/>
          <w:tab w:val="left" w:pos="1026" w:leader="none"/>
        </w:tabs>
        <w:spacing w:before="0" w:after="219"/>
        <w:ind w:left="1026" w:right="0" w:hanging="567"/>
        <w:rPr/>
      </w:pPr>
      <w:r>
        <w:rPr/>
        <w:t>Evidence of the ability to develop understanding and competency in public sector commissioning and contract monitoring</w:t>
      </w:r>
    </w:p>
    <w:p>
      <w:pPr>
        <w:pStyle w:val="Default"/>
        <w:widowControl/>
        <w:numPr>
          <w:ilvl w:val="0"/>
          <w:numId w:val="7"/>
        </w:numPr>
        <w:tabs>
          <w:tab w:val="clear" w:pos="720"/>
          <w:tab w:val="left" w:pos="1026" w:leader="none"/>
        </w:tabs>
        <w:spacing w:before="0" w:after="219"/>
        <w:ind w:left="1026" w:right="0" w:hanging="567"/>
        <w:rPr/>
      </w:pPr>
      <w:r>
        <w:rPr/>
        <w:t>Proven ability to establish and maintain positive relationships with staff at all levels, and external organisations, groups and individuals, which generate confidence, respect and trust</w:t>
      </w:r>
    </w:p>
    <w:p>
      <w:pPr>
        <w:pStyle w:val="Default"/>
        <w:widowControl/>
        <w:numPr>
          <w:ilvl w:val="0"/>
          <w:numId w:val="7"/>
        </w:numPr>
        <w:tabs>
          <w:tab w:val="clear" w:pos="720"/>
          <w:tab w:val="left" w:pos="1026" w:leader="none"/>
        </w:tabs>
        <w:spacing w:before="0" w:after="219"/>
        <w:ind w:left="1026" w:right="0" w:hanging="567"/>
        <w:rPr/>
      </w:pPr>
      <w:r>
        <w:rPr/>
        <w:t>Experience of project management/participation in project work</w:t>
      </w:r>
    </w:p>
    <w:p>
      <w:pPr>
        <w:pStyle w:val="Heading3"/>
        <w:rPr>
          <w:rFonts w:cs="Arial"/>
          <w:color w:val="FF0000"/>
          <w:sz w:val="24"/>
        </w:rPr>
      </w:pPr>
      <w:r>
        <w:rPr>
          <w:rFonts w:cs="Arial"/>
          <w:color w:val="FF0000"/>
          <w:sz w:val="24"/>
        </w:rPr>
      </w:r>
    </w:p>
    <w:p>
      <w:pPr>
        <w:pStyle w:val="Heading3"/>
        <w:rPr>
          <w:rFonts w:cs="Arial"/>
          <w:sz w:val="24"/>
        </w:rPr>
      </w:pPr>
      <w:r>
        <w:rPr>
          <w:rFonts w:cs="Arial"/>
          <w:sz w:val="24"/>
        </w:rPr>
        <w:t>Desirable</w:t>
      </w:r>
    </w:p>
    <w:p>
      <w:pPr>
        <w:pStyle w:val="Default"/>
        <w:widowControl/>
        <w:numPr>
          <w:ilvl w:val="0"/>
          <w:numId w:val="5"/>
        </w:numPr>
        <w:tabs>
          <w:tab w:val="clear" w:pos="720"/>
          <w:tab w:val="left" w:pos="1026" w:leader="none"/>
        </w:tabs>
        <w:rPr/>
      </w:pPr>
      <w:r>
        <w:rPr/>
        <w:t>Demonstrable understanding of the role of the GMCA</w:t>
      </w:r>
    </w:p>
    <w:p>
      <w:pPr>
        <w:pStyle w:val="Default"/>
        <w:widowControl/>
        <w:numPr>
          <w:ilvl w:val="0"/>
          <w:numId w:val="5"/>
        </w:numPr>
        <w:tabs>
          <w:tab w:val="clear" w:pos="720"/>
          <w:tab w:val="left" w:pos="1026" w:leader="none"/>
        </w:tabs>
        <w:rPr/>
      </w:pPr>
      <w:r>
        <w:rPr/>
        <w:t xml:space="preserve">Experience with innovation projects and funding bids </w:t>
      </w:r>
    </w:p>
    <w:p>
      <w:pPr>
        <w:pStyle w:val="Default"/>
        <w:ind w:left="720" w:right="0" w:hanging="0"/>
        <w:rPr/>
      </w:pPr>
      <w:r>
        <w:rPr/>
      </w:r>
    </w:p>
    <w:p>
      <w:pPr>
        <w:pStyle w:val="Default"/>
        <w:rPr/>
      </w:pPr>
      <w:r>
        <w:rPr/>
      </w:r>
    </w:p>
    <w:p>
      <w:pPr>
        <w:pStyle w:val="Default"/>
        <w:rPr/>
      </w:pPr>
      <w:r>
        <w:rPr/>
      </w:r>
    </w:p>
    <w:p>
      <w:pPr>
        <w:pStyle w:val="Default"/>
        <w:rPr/>
      </w:pPr>
      <w:r>
        <w:rPr/>
      </w:r>
    </w:p>
    <w:p>
      <w:pPr>
        <w:pStyle w:val="Heading3"/>
        <w:rPr/>
      </w:pPr>
      <w:r>
        <w:rPr>
          <w:rFonts w:cs="Arial"/>
          <w:sz w:val="24"/>
        </w:rPr>
        <w:t>Skills, Values</w:t>
      </w:r>
      <w:r>
        <w:rPr>
          <w:rFonts w:cs="Arial"/>
          <w:spacing w:val="-3"/>
          <w:sz w:val="24"/>
        </w:rPr>
        <w:t xml:space="preserve"> </w:t>
      </w:r>
      <w:r>
        <w:rPr>
          <w:rFonts w:cs="Arial"/>
          <w:sz w:val="24"/>
        </w:rPr>
        <w:t>&amp;</w:t>
      </w:r>
      <w:r>
        <w:rPr>
          <w:rFonts w:cs="Arial"/>
          <w:spacing w:val="-3"/>
          <w:sz w:val="24"/>
        </w:rPr>
        <w:t xml:space="preserve"> </w:t>
      </w:r>
      <w:r>
        <w:rPr>
          <w:rFonts w:cs="Arial"/>
          <w:sz w:val="24"/>
        </w:rPr>
        <w:t>Behaviours</w:t>
      </w:r>
    </w:p>
    <w:p>
      <w:pPr>
        <w:pStyle w:val="ListParagraph"/>
        <w:numPr>
          <w:ilvl w:val="0"/>
          <w:numId w:val="4"/>
        </w:numPr>
        <w:spacing w:lineRule="auto" w:line="240" w:before="60" w:after="0"/>
        <w:rPr/>
      </w:pPr>
      <w:r>
        <w:rPr>
          <w:rFonts w:cs="Arial"/>
          <w:b/>
          <w:szCs w:val="24"/>
        </w:rPr>
        <w:t>Communication:</w:t>
      </w:r>
      <w:r>
        <w:rPr>
          <w:rFonts w:cs="Arial"/>
          <w:szCs w:val="24"/>
        </w:rPr>
        <w:t xml:space="preserve"> Ability to influence or persuade internal or external stakeholders.  Speaks fluently, expresses opinions, information and key points of an argument clearly, makes presentations and undertakes public speaking with skill and confidence. Writes convincingly and clearly, succinctly and correctly, avoids the unnecessary use of jargon or complicated language; writes in a well-structured and logical way and structures information to meet the needs and understanding of the intended audience.</w:t>
      </w:r>
    </w:p>
    <w:p>
      <w:pPr>
        <w:pStyle w:val="Normal"/>
        <w:pBdr/>
        <w:ind w:left="720" w:right="0" w:hanging="0"/>
        <w:rPr>
          <w:rFonts w:cs="Arial"/>
          <w:szCs w:val="24"/>
        </w:rPr>
      </w:pPr>
      <w:r>
        <w:rPr>
          <w:rFonts w:cs="Arial"/>
          <w:szCs w:val="24"/>
        </w:rPr>
      </w:r>
    </w:p>
    <w:p>
      <w:pPr>
        <w:pStyle w:val="ListParagraph"/>
        <w:numPr>
          <w:ilvl w:val="0"/>
          <w:numId w:val="4"/>
        </w:numPr>
        <w:spacing w:lineRule="auto" w:line="240" w:before="60" w:after="0"/>
        <w:rPr/>
      </w:pPr>
      <w:r>
        <w:rPr>
          <w:rFonts w:cs="Arial"/>
          <w:b/>
          <w:szCs w:val="24"/>
        </w:rPr>
        <w:t xml:space="preserve">Analytical Skills:  </w:t>
      </w:r>
      <w:r>
        <w:rPr>
          <w:rFonts w:cs="Arial"/>
          <w:szCs w:val="24"/>
        </w:rPr>
        <w:t>Application of strong analytical reasoning skills and intellectual focus, taking in the wider external and internal environments and proactively thinks through problems rather than reactively following a procedure-driven approach</w:t>
      </w:r>
      <w:r>
        <w:rPr>
          <w:rFonts w:cs="Arial"/>
          <w:b/>
          <w:szCs w:val="24"/>
        </w:rPr>
        <w:t xml:space="preserve"> </w:t>
      </w:r>
    </w:p>
    <w:p>
      <w:pPr>
        <w:pStyle w:val="Normal"/>
        <w:pBdr/>
        <w:rPr>
          <w:rFonts w:cs="Arial"/>
          <w:b/>
          <w:b/>
          <w:szCs w:val="24"/>
        </w:rPr>
      </w:pPr>
      <w:r>
        <w:rPr>
          <w:rFonts w:cs="Arial"/>
          <w:b/>
          <w:szCs w:val="24"/>
        </w:rPr>
      </w:r>
    </w:p>
    <w:p>
      <w:pPr>
        <w:pStyle w:val="ListParagraph"/>
        <w:numPr>
          <w:ilvl w:val="0"/>
          <w:numId w:val="4"/>
        </w:numPr>
        <w:spacing w:lineRule="auto" w:line="240" w:before="60" w:after="0"/>
        <w:rPr/>
      </w:pPr>
      <w:r>
        <w:rPr>
          <w:rFonts w:cs="Arial"/>
          <w:b/>
          <w:szCs w:val="24"/>
        </w:rPr>
        <w:t xml:space="preserve">Planning and Organising: </w:t>
      </w:r>
      <w:r>
        <w:rPr>
          <w:rFonts w:cs="Arial"/>
          <w:szCs w:val="24"/>
        </w:rPr>
        <w:t>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
        <w:pBdr/>
        <w:rPr>
          <w:rFonts w:cs="Arial"/>
          <w:b/>
          <w:b/>
          <w:szCs w:val="24"/>
        </w:rPr>
      </w:pPr>
      <w:r>
        <w:rPr>
          <w:rFonts w:cs="Arial"/>
          <w:b/>
          <w:szCs w:val="24"/>
        </w:rPr>
      </w:r>
    </w:p>
    <w:p>
      <w:pPr>
        <w:pStyle w:val="ListParagraph"/>
        <w:numPr>
          <w:ilvl w:val="0"/>
          <w:numId w:val="4"/>
        </w:numPr>
        <w:spacing w:lineRule="auto" w:line="240" w:before="60" w:after="0"/>
        <w:rPr/>
      </w:pPr>
      <w:r>
        <w:rPr>
          <w:rFonts w:cs="Arial"/>
          <w:b/>
          <w:szCs w:val="24"/>
        </w:rPr>
        <w:t xml:space="preserve">Problem Solving and Decision Making:  </w:t>
      </w:r>
      <w:r>
        <w:rPr>
          <w:rFonts w:cs="Arial"/>
          <w:szCs w:val="24"/>
        </w:rPr>
        <w:t>Strong decision-making skills and the ability to resolve issues in a pressurised environment. Continually performs at a high-level demonstrating commitment to achieve desired results.  Prepared to challenge the status quo to bring about improvements.</w:t>
      </w:r>
    </w:p>
    <w:p>
      <w:pPr>
        <w:pStyle w:val="Normal"/>
        <w:pBdr/>
        <w:rPr>
          <w:rFonts w:cs="Arial"/>
          <w:b/>
          <w:b/>
          <w:szCs w:val="24"/>
        </w:rPr>
      </w:pPr>
      <w:r>
        <w:rPr>
          <w:rFonts w:cs="Arial"/>
          <w:b/>
          <w:szCs w:val="24"/>
        </w:rPr>
      </w:r>
    </w:p>
    <w:p>
      <w:pPr>
        <w:pStyle w:val="ListParagraph"/>
        <w:numPr>
          <w:ilvl w:val="0"/>
          <w:numId w:val="4"/>
        </w:numPr>
        <w:spacing w:lineRule="auto" w:line="240" w:before="60" w:after="0"/>
        <w:rPr/>
      </w:pPr>
      <w:r>
        <w:rPr>
          <w:rFonts w:cs="Arial"/>
          <w:b/>
          <w:szCs w:val="24"/>
        </w:rPr>
        <w:t xml:space="preserve">Creative Skills: </w:t>
      </w:r>
      <w:r>
        <w:rPr>
          <w:rFonts w:cs="Arial"/>
          <w:szCs w:val="24"/>
        </w:rPr>
        <w:t>Ability to find creative solutions where there are no existing parameters or procedural framework.</w:t>
      </w:r>
    </w:p>
    <w:p>
      <w:pPr>
        <w:pStyle w:val="Normal"/>
        <w:pBdr/>
        <w:rPr>
          <w:rFonts w:cs="Arial"/>
          <w:b/>
          <w:b/>
          <w:szCs w:val="24"/>
        </w:rPr>
      </w:pPr>
      <w:r>
        <w:rPr>
          <w:rFonts w:cs="Arial"/>
          <w:b/>
          <w:szCs w:val="24"/>
        </w:rPr>
      </w:r>
    </w:p>
    <w:p>
      <w:pPr>
        <w:pStyle w:val="ListParagraph"/>
        <w:numPr>
          <w:ilvl w:val="0"/>
          <w:numId w:val="4"/>
        </w:numPr>
        <w:spacing w:lineRule="auto" w:line="240" w:before="60" w:after="0"/>
        <w:rPr/>
      </w:pPr>
      <w:r>
        <w:rPr>
          <w:rFonts w:cs="Arial"/>
          <w:b/>
          <w:szCs w:val="24"/>
        </w:rPr>
        <w:t xml:space="preserve">Strategic Thinking:  </w:t>
      </w:r>
      <w:r>
        <w:rPr>
          <w:rFonts w:cs="Arial"/>
          <w:szCs w:val="24"/>
        </w:rPr>
        <w:t>Ability to contribute to the development, implementation and evaluation of strategy to shape future plans.</w:t>
      </w:r>
    </w:p>
    <w:p>
      <w:pPr>
        <w:pStyle w:val="Normal"/>
        <w:pBdr/>
        <w:rPr>
          <w:rFonts w:cs="Arial"/>
          <w:b/>
          <w:b/>
          <w:szCs w:val="24"/>
        </w:rPr>
      </w:pPr>
      <w:r>
        <w:rPr>
          <w:rFonts w:cs="Arial"/>
          <w:b/>
          <w:szCs w:val="24"/>
        </w:rPr>
      </w:r>
    </w:p>
    <w:p>
      <w:pPr>
        <w:pStyle w:val="ListParagraph"/>
        <w:numPr>
          <w:ilvl w:val="0"/>
          <w:numId w:val="4"/>
        </w:numPr>
        <w:spacing w:lineRule="auto" w:line="240" w:before="60" w:after="0"/>
        <w:rPr/>
      </w:pPr>
      <w:r>
        <w:rPr>
          <w:rFonts w:cs="Arial"/>
          <w:b/>
          <w:szCs w:val="24"/>
        </w:rPr>
        <w:t xml:space="preserve">Commercial Awareness: </w:t>
      </w:r>
      <w:r>
        <w:rPr>
          <w:rFonts w:cs="Arial"/>
          <w:bCs/>
          <w:szCs w:val="24"/>
        </w:rPr>
        <w:t>Demonstrates business intelligence and ability to understand and evaluate all options for optimum service delivery, identify risks and plans to mitigate, to promote entrepreneurial approaches and ensure value for money in all transactions.</w:t>
      </w:r>
    </w:p>
    <w:p>
      <w:pPr>
        <w:pStyle w:val="ListParagraph"/>
        <w:numPr>
          <w:ilvl w:val="0"/>
          <w:numId w:val="0"/>
        </w:numPr>
        <w:spacing w:lineRule="auto" w:line="240" w:before="60" w:after="0"/>
        <w:ind w:left="720" w:right="0" w:hanging="0"/>
        <w:rPr>
          <w:rFonts w:cs="Arial"/>
          <w:b/>
          <w:b/>
          <w:szCs w:val="24"/>
        </w:rPr>
      </w:pPr>
      <w:r>
        <w:rPr>
          <w:rFonts w:cs="Arial"/>
          <w:b/>
          <w:szCs w:val="24"/>
        </w:rPr>
      </w:r>
    </w:p>
    <w:p>
      <w:pPr>
        <w:pStyle w:val="ListParagraph"/>
        <w:numPr>
          <w:ilvl w:val="0"/>
          <w:numId w:val="4"/>
        </w:numPr>
        <w:spacing w:lineRule="auto" w:line="240" w:before="60" w:after="0"/>
        <w:rPr/>
      </w:pPr>
      <w:r>
        <w:rPr>
          <w:rFonts w:cs="Arial"/>
          <w:b/>
          <w:szCs w:val="24"/>
        </w:rPr>
        <w:t xml:space="preserve">Political Awareness: </w:t>
      </w:r>
      <w:r>
        <w:rPr>
          <w:rFonts w:cs="Arial"/>
          <w:bCs/>
          <w:szCs w:val="24"/>
        </w:rPr>
        <w:t>Ability to understand the sensitivities and pressures of working with political figures, as well as the need to be politically neutral as an officer of the Authority</w:t>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sectPr>
      <w:headerReference w:type="default" r:id="rId2"/>
      <w:headerReference w:type="first" r:id="rId3"/>
      <w:type w:val="nextPage"/>
      <w:pgSz w:w="11906" w:h="16850"/>
      <w:pgMar w:left="720" w:right="720" w:header="709" w:top="766" w:footer="0" w:bottom="720"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drawing>
        <wp:anchor behindDoc="1" distT="0" distB="0" distL="0" distR="0" simplePos="0" locked="0" layoutInCell="1" allowOverlap="1" relativeHeight="2">
          <wp:simplePos x="0" y="0"/>
          <wp:positionH relativeFrom="column">
            <wp:posOffset>4718050</wp:posOffset>
          </wp:positionH>
          <wp:positionV relativeFrom="paragraph">
            <wp:posOffset>-343535</wp:posOffset>
          </wp:positionV>
          <wp:extent cx="2190115" cy="6864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color w:val="auto"/>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color w:val="auto"/>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Cs w:val="24"/>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b/>
        <w:szCs w:val="24"/>
        <w:bCs/>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color w:val="auto"/>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eastAsia="Arial" w:cs="Symbol"/>
      <w:color w:val="000000"/>
      <w:szCs w:val="24"/>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b/>
      <w:bCs/>
      <w:szCs w:val="24"/>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ListParagraphChar">
    <w:name w:val="List Paragraph Char"/>
    <w:basedOn w:val="DefaultParagraphFont"/>
    <w:qFormat/>
    <w:rPr>
      <w:rFonts w:ascii="Arial" w:hAnsi="Arial" w:eastAsia="Calibri" w:cs="Calibri"/>
      <w:color w:val="262626"/>
      <w:sz w:val="24"/>
      <w:lang w:val="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2024-04-02T15:21:00Z</dcterms:created>
  <dc:creator>Caddy-Dale, Anna (Manchester Growth Company)</dc:creator>
  <dc:description/>
  <dc:language>en-US</dc:language>
  <cp:lastModifiedBy>Dickinson, Daniel</cp:lastModifiedBy>
  <cp:lastPrinted>1995-11-21T17:41:00Z</cp:lastPrinted>
  <dcterms:modified xsi:type="dcterms:W3CDTF">2026-04-03T15:23:00Z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0x01010063DC97FC8150DD49AD465F8A73657C42</vt:lpwstr>
  </property>
  <property fmtid="{D5CDD505-2E9C-101B-9397-08002B2CF9AE}" pid="4" name="Created">
    <vt:filetime>2018-12-06T00:00:00Z</vt:filetime>
  </property>
  <property fmtid="{D5CDD505-2E9C-101B-9397-08002B2CF9AE}" pid="5" name="Creator">
    <vt:lpwstr>Microsoft® Word 2016</vt:lpwstr>
  </property>
  <property fmtid="{D5CDD505-2E9C-101B-9397-08002B2CF9AE}" pid="6" name="DocSecurity">
    <vt:i4>2</vt:i4>
  </property>
  <property fmtid="{D5CDD505-2E9C-101B-9397-08002B2CF9AE}" pid="7" name="HyperlinksChanged">
    <vt:bool>0</vt:bool>
  </property>
  <property fmtid="{D5CDD505-2E9C-101B-9397-08002B2CF9AE}" pid="8" name="LastSaved">
    <vt:filetime>2021-02-17T00:00:00Z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docLang">
    <vt:lpwstr>en</vt:lpwstr>
  </property>
</Properties>
</file>