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2.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bookmarkStart w:id="0" w:name="permission-for-group%2525253A344789259%2"/>
      <w:bookmarkEnd w:id="0"/>
      <w:r>
        <w:rPr>
          <w:rFonts w:cs="Arial"/>
          <w:sz w:val="24"/>
          <w:szCs w:val="24"/>
        </w:rPr>
        <w:t>Role profile</w:t>
      </w:r>
    </w:p>
    <w:p>
      <w:pPr>
        <w:pStyle w:val="ListParagraph"/>
        <w:numPr>
          <w:ilvl w:val="0"/>
          <w:numId w:val="2"/>
        </w:numPr>
        <w:spacing w:lineRule="auto" w:line="240"/>
        <w:rPr/>
      </w:pPr>
      <w:r>
        <w:rPr>
          <w:rFonts w:eastAsia="Arial"/>
          <w:b/>
          <w:sz w:val="22"/>
          <w:szCs w:val="24"/>
        </w:rPr>
        <w:t xml:space="preserve">Job title: </w:t>
      </w:r>
      <w:r>
        <w:rPr>
          <w:rFonts w:eastAsia="Arial"/>
          <w:sz w:val="22"/>
          <w:szCs w:val="24"/>
        </w:rPr>
        <w:t>Transformation Coach - SAVVI</w:t>
      </w:r>
    </w:p>
    <w:p>
      <w:pPr>
        <w:pStyle w:val="ListParagraph"/>
        <w:numPr>
          <w:ilvl w:val="0"/>
          <w:numId w:val="2"/>
        </w:numPr>
        <w:spacing w:lineRule="auto" w:line="240"/>
        <w:rPr/>
      </w:pPr>
      <w:r>
        <w:rPr>
          <w:rFonts w:eastAsia="Arial"/>
          <w:b/>
          <w:sz w:val="22"/>
          <w:szCs w:val="24"/>
        </w:rPr>
        <w:t xml:space="preserve">Grade: </w:t>
      </w:r>
      <w:r>
        <w:rPr>
          <w:rFonts w:eastAsia="Arial"/>
          <w:sz w:val="22"/>
          <w:szCs w:val="24"/>
        </w:rPr>
        <w:t xml:space="preserve">Grade 9 </w:t>
      </w:r>
    </w:p>
    <w:p>
      <w:pPr>
        <w:pStyle w:val="ListParagraph"/>
        <w:numPr>
          <w:ilvl w:val="0"/>
          <w:numId w:val="4"/>
        </w:numPr>
        <w:spacing w:lineRule="auto" w:line="240"/>
        <w:rPr/>
      </w:pPr>
      <w:r>
        <w:rPr>
          <w:rFonts w:eastAsia="Arial"/>
          <w:b/>
          <w:bCs/>
          <w:sz w:val="22"/>
        </w:rPr>
        <w:t>Business area:</w:t>
      </w:r>
      <w:r>
        <w:rPr>
          <w:rFonts w:eastAsia="Arial"/>
          <w:sz w:val="22"/>
        </w:rPr>
        <w:t xml:space="preserve"> Information and Data Governance Shared Service; and Digital Services, GM Digital</w:t>
      </w:r>
    </w:p>
    <w:p>
      <w:pPr>
        <w:pStyle w:val="ListParagraph"/>
        <w:numPr>
          <w:ilvl w:val="0"/>
          <w:numId w:val="2"/>
        </w:numPr>
        <w:spacing w:lineRule="auto" w:line="240"/>
        <w:rPr/>
      </w:pPr>
      <w:r>
        <w:rPr>
          <w:rFonts w:eastAsia="Arial"/>
          <w:b/>
          <w:sz w:val="22"/>
          <w:szCs w:val="24"/>
        </w:rPr>
        <w:t xml:space="preserve">Reporting line: </w:t>
      </w:r>
      <w:r>
        <w:rPr>
          <w:rFonts w:eastAsia="Arial"/>
          <w:sz w:val="22"/>
          <w:szCs w:val="24"/>
        </w:rPr>
        <w:t>Information and Data Governance Change Programme Manager</w:t>
      </w:r>
    </w:p>
    <w:p>
      <w:pPr>
        <w:pStyle w:val="ListParagraph"/>
        <w:numPr>
          <w:ilvl w:val="0"/>
          <w:numId w:val="4"/>
        </w:numPr>
        <w:spacing w:lineRule="auto" w:line="240"/>
        <w:rPr/>
      </w:pPr>
      <w:r>
        <w:rPr>
          <w:rFonts w:eastAsia="Arial"/>
          <w:b/>
          <w:bCs/>
          <w:sz w:val="22"/>
        </w:rPr>
        <w:t xml:space="preserve">Team: </w:t>
      </w:r>
      <w:r>
        <w:rPr>
          <w:rFonts w:eastAsia="Arial"/>
          <w:sz w:val="22"/>
        </w:rPr>
        <w:t>Information and Data Governance Shared Service / SAVVI</w:t>
      </w:r>
    </w:p>
    <w:p>
      <w:pPr>
        <w:pStyle w:val="Heading2"/>
        <w:shd w:fill="004F6E" w:val="clear"/>
        <w:rPr>
          <w:rFonts w:cs="Arial"/>
          <w:sz w:val="24"/>
          <w:szCs w:val="24"/>
        </w:rPr>
      </w:pPr>
      <w:r>
        <w:rPr>
          <w:rFonts w:cs="Arial"/>
          <w:sz w:val="24"/>
          <w:szCs w:val="24"/>
        </w:rPr>
        <w:t>Job Purpose</w:t>
      </w:r>
    </w:p>
    <w:p>
      <w:pPr>
        <w:pStyle w:val="Normal"/>
        <w:spacing w:lineRule="auto" w:line="240"/>
        <w:rPr>
          <w:rFonts w:eastAsia="Arial"/>
          <w:b/>
          <w:b/>
        </w:rPr>
      </w:pPr>
      <w:r>
        <w:rPr>
          <w:rFonts w:eastAsia="Arial"/>
          <w:b/>
        </w:rPr>
        <w:t>Do you want to play a pivotal role in helping Greater Manchester use data and collaboration to identify vulnerability earlier and connect people and households with support before they reach crisis point?</w:t>
      </w:r>
    </w:p>
    <w:p>
      <w:pPr>
        <w:pStyle w:val="Normal"/>
        <w:spacing w:lineRule="auto" w:line="240"/>
        <w:rPr>
          <w:rFonts w:eastAsia="Arial"/>
        </w:rPr>
      </w:pPr>
      <w:r>
        <w:rPr>
          <w:rFonts w:eastAsia="Arial"/>
        </w:rPr>
        <w:t>We are seeking an experienced Transformation Coach - SAVVI to join our dynamic team at the Greater Manchester Combined Authority (GMCA). In this role, you will support the delivery of the Scalable Approach to Vulnerability Via Interoperability (SAVVI), helping councils and partners use data more effectively, ethically and collaboratively to improve outcomes for people across Greater Manchester.</w:t>
      </w:r>
    </w:p>
    <w:p>
      <w:pPr>
        <w:pStyle w:val="Normal"/>
        <w:spacing w:lineRule="auto" w:line="240"/>
        <w:rPr>
          <w:rFonts w:eastAsia="Arial" w:cs="Arial"/>
          <w:b/>
          <w:b/>
          <w:bCs/>
          <w:szCs w:val="24"/>
        </w:rPr>
      </w:pPr>
      <w:r>
        <w:rPr>
          <w:rFonts w:eastAsia="Arial" w:cs="Arial"/>
          <w:b/>
          <w:bCs/>
          <w:szCs w:val="24"/>
        </w:rPr>
        <w:t>About the role:</w:t>
      </w:r>
    </w:p>
    <w:p>
      <w:pPr>
        <w:pStyle w:val="Normal"/>
        <w:spacing w:lineRule="auto" w:line="240"/>
        <w:rPr>
          <w:rFonts w:eastAsia="Arial"/>
        </w:rPr>
      </w:pPr>
      <w:r>
        <w:rPr>
          <w:rFonts w:eastAsia="Arial"/>
        </w:rPr>
        <w:t>As a Transformation Coach - SAVVI, you will leverage your skills and expertise in transformation, facilitation, coaching and project delivery to support local partnerships through real-world data challenges. You will work collaboratively with stakeholders across GMCA and partner organisations to apply SAVVI methods, build shared understanding, remove barriers to data sharing and embed sustainable, data-informed practice.</w:t>
      </w:r>
    </w:p>
    <w:p>
      <w:pPr>
        <w:pStyle w:val="Normal"/>
        <w:spacing w:lineRule="auto" w:line="240"/>
        <w:rPr/>
      </w:pPr>
      <w:r>
        <w:rPr>
          <w:rFonts w:eastAsia="Arial"/>
        </w:rPr>
        <w:t xml:space="preserve">This is the model you will be delivering into the GMCA: </w:t>
      </w:r>
      <w:r>
        <w:rPr>
          <w:rStyle w:val="InternetLink"/>
          <w:rFonts w:eastAsia="Arial"/>
        </w:rPr>
        <w:t>SAVVI | iStand UK</w:t>
      </w:r>
    </w:p>
    <w:p>
      <w:pPr>
        <w:pStyle w:val="Normal"/>
        <w:spacing w:lineRule="auto" w:line="240"/>
        <w:rPr>
          <w:rFonts w:cs="Arial"/>
          <w:b/>
          <w:b/>
          <w:bCs/>
          <w:color w:val="000000"/>
          <w:szCs w:val="24"/>
          <w:u w:val="single"/>
        </w:rPr>
      </w:pPr>
      <w:r>
        <w:rPr>
          <w:rFonts w:cs="Arial"/>
          <w:b/>
          <w:bCs/>
          <w:color w:val="000000"/>
          <w:szCs w:val="24"/>
          <w:u w:val="single"/>
        </w:rPr>
        <w:t>Greater Manchester (GM) Digital Blueprint 2023-2026</w:t>
      </w:r>
    </w:p>
    <w:p>
      <w:pPr>
        <w:pStyle w:val="Normal"/>
        <w:spacing w:lineRule="auto" w:line="240"/>
        <w:rPr>
          <w:rFonts w:eastAsia="Arial"/>
        </w:rPr>
      </w:pPr>
      <w:r>
        <w:rPr>
          <w:rFonts w:eastAsia="Arial"/>
        </w:rPr>
        <w:t>The GM Digital Blueprint is Greater Manchester’s digital strategy. It has been developed in collaboration with stakeholders from across Greater Manchester’s digital sector and shares strategic commitments to put our people, our environment, and our place firmly at the heart of our digital plans.</w:t>
      </w:r>
    </w:p>
    <w:p>
      <w:pPr>
        <w:pStyle w:val="Normal"/>
        <w:spacing w:lineRule="auto" w:line="240"/>
        <w:rPr>
          <w:rFonts w:eastAsia="Arial"/>
        </w:rPr>
      </w:pPr>
      <w:r>
        <w:rPr>
          <w:rFonts w:eastAsia="Arial"/>
        </w:rPr>
        <w:t>We want to better the lives of our people and for them to be empowered by the opportunities a digitally fuelled city-region brings.</w:t>
      </w:r>
    </w:p>
    <w:p>
      <w:pPr>
        <w:pStyle w:val="Normal"/>
        <w:spacing w:lineRule="auto" w:line="240"/>
        <w:rPr>
          <w:rFonts w:eastAsia="Arial"/>
        </w:rPr>
      </w:pPr>
      <w:r>
        <w:rPr>
          <w:rFonts w:eastAsia="Arial"/>
        </w:rPr>
        <w:t>We want to use technology and data better to make Greater Manchester a greener, fairer, more prosperous city-region.</w:t>
      </w:r>
    </w:p>
    <w:p>
      <w:pPr>
        <w:pStyle w:val="Normal"/>
        <w:spacing w:lineRule="auto" w:line="240"/>
        <w:rPr/>
      </w:pPr>
      <w:r>
        <w:rPr>
          <w:rStyle w:val="InternetLink"/>
          <w:rFonts w:cs="Arial"/>
          <w:szCs w:val="24"/>
        </w:rPr>
        <w:t>https://greatermanchester-ca.gov.uk/media/7953/gm-digital-blueprint-2023-26-final.pdf</w:t>
      </w:r>
    </w:p>
    <w:p>
      <w:pPr>
        <w:pStyle w:val="Normal"/>
        <w:spacing w:lineRule="auto" w:line="240"/>
        <w:rPr>
          <w:rFonts w:cs="Arial"/>
          <w:b/>
          <w:b/>
          <w:bCs/>
          <w:color w:val="000000"/>
          <w:szCs w:val="24"/>
          <w:u w:val="single"/>
        </w:rPr>
      </w:pPr>
      <w:r>
        <w:rPr>
          <w:rFonts w:cs="Arial"/>
          <w:b/>
          <w:bCs/>
          <w:color w:val="000000"/>
          <w:szCs w:val="24"/>
          <w:u w:val="single"/>
        </w:rPr>
        <w:t>Greater Manchester Information Strategy 2022 – 2025</w:t>
      </w:r>
    </w:p>
    <w:p>
      <w:pPr>
        <w:pStyle w:val="Normal"/>
        <w:spacing w:lineRule="auto" w:line="240"/>
        <w:rPr>
          <w:rFonts w:cs="Arial"/>
          <w:color w:val="000000"/>
          <w:szCs w:val="24"/>
        </w:rPr>
      </w:pPr>
      <w:r>
        <w:rPr>
          <w:rFonts w:cs="Arial"/>
          <w:color w:val="000000"/>
          <w:szCs w:val="24"/>
        </w:rPr>
        <w:t xml:space="preserve">The GM Information Strategy sets out our ambition to improve information and data management across Greater Manchester. Through this strategy we aim to unlock better data sharing, management, value and ethics. </w:t>
      </w:r>
    </w:p>
    <w:p>
      <w:pPr>
        <w:pStyle w:val="Normal"/>
        <w:spacing w:lineRule="auto" w:line="240"/>
        <w:rPr>
          <w:rFonts w:cs="Arial"/>
          <w:color w:val="000000"/>
          <w:szCs w:val="24"/>
        </w:rPr>
      </w:pPr>
      <w:r>
        <w:rPr>
          <w:rFonts w:cs="Arial"/>
          <w:color w:val="000000"/>
          <w:szCs w:val="24"/>
        </w:rPr>
        <w:t xml:space="preserve">As a three year strategy, this is currently being refreshed for the next three year period of delivery. </w:t>
      </w:r>
    </w:p>
    <w:p>
      <w:pPr>
        <w:pStyle w:val="Normal"/>
        <w:spacing w:lineRule="auto" w:line="240"/>
        <w:rPr/>
      </w:pPr>
      <w:r>
        <w:rPr>
          <w:rStyle w:val="InternetLink"/>
          <w:rFonts w:cs="Arial"/>
          <w:szCs w:val="24"/>
        </w:rPr>
        <w:t>Information Strategy - Greater Manchester Combined Authority</w:t>
      </w:r>
      <w:r>
        <w:rPr>
          <w:rFonts w:cs="Arial"/>
          <w:color w:val="000000"/>
          <w:szCs w:val="24"/>
        </w:rPr>
        <w:t xml:space="preserve"> </w:t>
      </w:r>
    </w:p>
    <w:p>
      <w:pPr>
        <w:pStyle w:val="Normal"/>
        <w:spacing w:lineRule="auto" w:line="240"/>
        <w:rPr>
          <w:rFonts w:cs="Arial"/>
          <w:b/>
          <w:b/>
          <w:bCs/>
          <w:color w:val="000000"/>
          <w:szCs w:val="24"/>
          <w:u w:val="single"/>
        </w:rPr>
      </w:pPr>
      <w:r>
        <w:rPr>
          <w:rFonts w:cs="Arial"/>
          <w:b/>
          <w:bCs/>
          <w:color w:val="000000"/>
          <w:szCs w:val="24"/>
          <w:u w:val="single"/>
        </w:rPr>
        <w:t>GM Digital and the Information and Data Governance (IDG) Shared Service</w:t>
      </w:r>
    </w:p>
    <w:p>
      <w:pPr>
        <w:pStyle w:val="Normal"/>
        <w:spacing w:lineRule="auto" w:line="240"/>
        <w:rPr>
          <w:rFonts w:eastAsia="Arial"/>
        </w:rPr>
      </w:pPr>
      <w:r>
        <w:rPr>
          <w:rFonts w:eastAsia="Arial"/>
        </w:rPr>
        <w:t>GM Digital comprises digital transformation and project management professionals with technical subject matter expertise.</w:t>
      </w:r>
    </w:p>
    <w:p>
      <w:pPr>
        <w:pStyle w:val="Normal"/>
        <w:spacing w:lineRule="auto" w:line="240"/>
        <w:rPr>
          <w:rFonts w:eastAsia="Arial"/>
        </w:rPr>
      </w:pPr>
      <w:r>
        <w:rPr>
          <w:rFonts w:eastAsia="Arial"/>
        </w:rPr>
        <w:t xml:space="preserve">The IDG shared service comprises of subject matter expertise on information governance and data protection and is supported by a change function providing programme and project management delivery. </w:t>
      </w:r>
    </w:p>
    <w:p>
      <w:pPr>
        <w:pStyle w:val="Normal"/>
        <w:spacing w:lineRule="auto" w:line="240"/>
        <w:rPr>
          <w:rFonts w:eastAsia="Arial"/>
        </w:rPr>
      </w:pPr>
      <w:r>
        <w:rPr>
          <w:rFonts w:eastAsia="Arial"/>
        </w:rPr>
        <w:t>The GM Digital and IDG Share Service are two separate directorates working in collaboration to delivery the SAVVI model into the GMCA. We both work with the ten local authority organisations, and other partner organisations, to manage the delivery of pan-GM digital, data and information transformation programmes and projects.</w:t>
      </w:r>
    </w:p>
    <w:p>
      <w:pPr>
        <w:pStyle w:val="Normal"/>
        <w:spacing w:lineRule="auto" w:line="240"/>
        <w:rPr>
          <w:rFonts w:eastAsia="Arial"/>
        </w:rPr>
      </w:pPr>
      <w:r>
        <w:rPr>
          <w:rFonts w:eastAsia="Arial"/>
        </w:rPr>
        <w:t xml:space="preserve">This role will report into the Change Programme Manager in the IDG Shared Service. The role will work very closely with two other roles being recruited to support the delivery of SAVVI. These are a Senior Information and Data Governance Lead and a Technical Data Lead. Together, you will implement and deliver the SAVVI model and, in this role, you will act as the SAVVI transformation coach.   </w:t>
      </w:r>
    </w:p>
    <w:p>
      <w:pPr>
        <w:pStyle w:val="Normal"/>
        <w:widowControl/>
        <w:shd w:fill="FFFFFF" w:val="clear"/>
        <w:spacing w:lineRule="auto" w:line="240" w:before="0" w:after="0"/>
        <w:rPr>
          <w:rFonts w:eastAsia="Times New Roman" w:cs="Arial"/>
          <w:color w:val="1F1F1F"/>
          <w:szCs w:val="24"/>
          <w:lang w:eastAsia="en-GB"/>
        </w:rPr>
      </w:pPr>
      <w:r>
        <w:rPr>
          <w:rFonts w:eastAsia="Times New Roman" w:cs="Arial"/>
          <w:color w:val="1F1F1F"/>
          <w:szCs w:val="24"/>
          <w:lang w:eastAsia="en-GB"/>
        </w:rPr>
        <w:t>You'll have the incredible opportunity to see the direct impact your work has on the lives of people in Greater Manchester.</w:t>
      </w:r>
    </w:p>
    <w:p>
      <w:pPr>
        <w:pStyle w:val="Normal"/>
        <w:widowControl/>
        <w:shd w:fill="FFFFFF" w:val="clear"/>
        <w:spacing w:lineRule="auto" w:line="240" w:before="0" w:after="0"/>
        <w:rPr>
          <w:rFonts w:eastAsia="Times New Roman" w:cs="Arial"/>
          <w:color w:val="1F1F1F"/>
          <w:szCs w:val="24"/>
          <w:lang w:eastAsia="en-GB"/>
        </w:rPr>
      </w:pPr>
      <w:r>
        <w:rPr>
          <w:rFonts w:eastAsia="Times New Roman" w:cs="Arial"/>
          <w:color w:val="1F1F1F"/>
          <w:szCs w:val="24"/>
          <w:lang w:eastAsia="en-GB"/>
        </w:rPr>
      </w:r>
    </w:p>
    <w:p>
      <w:pPr>
        <w:pStyle w:val="Normal"/>
        <w:widowControl/>
        <w:shd w:fill="FFFFFF" w:val="clear"/>
        <w:spacing w:lineRule="auto" w:line="240" w:before="0" w:after="280"/>
        <w:rPr>
          <w:rFonts w:eastAsia="Times New Roman" w:cs="Arial"/>
          <w:b/>
          <w:b/>
          <w:bCs/>
          <w:color w:val="1F1F1F"/>
          <w:szCs w:val="24"/>
          <w:lang w:eastAsia="en-GB"/>
        </w:rPr>
      </w:pPr>
      <w:r>
        <w:rPr>
          <w:rFonts w:eastAsia="Times New Roman" w:cs="Arial"/>
          <w:b/>
          <w:bCs/>
          <w:color w:val="1F1F1F"/>
          <w:szCs w:val="24"/>
          <w:lang w:eastAsia="en-GB"/>
        </w:rPr>
        <w:t>You're a great fit if you have:</w:t>
      </w:r>
    </w:p>
    <w:p>
      <w:pPr>
        <w:pStyle w:val="ListParagraph"/>
        <w:numPr>
          <w:ilvl w:val="0"/>
          <w:numId w:val="11"/>
        </w:numPr>
        <w:spacing w:lineRule="auto" w:line="240"/>
        <w:rPr>
          <w:rFonts w:eastAsia="Arial"/>
        </w:rPr>
      </w:pPr>
      <w:r>
        <w:rPr>
          <w:rFonts w:eastAsia="Arial"/>
        </w:rPr>
        <w:t>Excellent communication, facilitation and interpersonal skills to build strong relationships with internal and external stakeholders.</w:t>
      </w:r>
    </w:p>
    <w:p>
      <w:pPr>
        <w:pStyle w:val="ListParagraph"/>
        <w:numPr>
          <w:ilvl w:val="0"/>
          <w:numId w:val="11"/>
        </w:numPr>
        <w:spacing w:lineRule="auto" w:line="240"/>
        <w:rPr>
          <w:rFonts w:eastAsia="Arial"/>
        </w:rPr>
      </w:pPr>
      <w:r>
        <w:rPr>
          <w:rFonts w:eastAsia="Arial"/>
        </w:rPr>
        <w:t>A passion for using data, digital transformation and collaboration to improve outcomes for the people of Greater Manchester.</w:t>
      </w:r>
    </w:p>
    <w:p>
      <w:pPr>
        <w:pStyle w:val="ListParagraph"/>
        <w:numPr>
          <w:ilvl w:val="0"/>
          <w:numId w:val="11"/>
        </w:numPr>
        <w:spacing w:lineRule="auto" w:line="240"/>
        <w:rPr>
          <w:rFonts w:eastAsia="Arial"/>
        </w:rPr>
      </w:pPr>
      <w:r>
        <w:rPr>
          <w:rFonts w:eastAsia="Arial"/>
        </w:rPr>
        <w:t xml:space="preserve">The GMCA’s values of purpose-driven and delivery focussed, empowered and collaborative align with your own values, and you can demonstrate these values in the workplace. </w:t>
      </w:r>
    </w:p>
    <w:p>
      <w:pPr>
        <w:pStyle w:val="Normal"/>
        <w:widowControl/>
        <w:shd w:fill="FFFFFF" w:val="clear"/>
        <w:spacing w:lineRule="auto" w:line="240" w:before="0" w:after="0"/>
        <w:rPr>
          <w:rFonts w:eastAsia="Times New Roman" w:cs="Arial"/>
          <w:color w:val="1F1F1F"/>
          <w:szCs w:val="24"/>
          <w:lang w:eastAsia="en-GB"/>
        </w:rPr>
      </w:pPr>
      <w:r>
        <w:rPr>
          <w:rFonts w:eastAsia="Times New Roman" w:cs="Arial"/>
          <w:color w:val="1F1F1F"/>
          <w:szCs w:val="24"/>
          <w:lang w:eastAsia="en-GB"/>
        </w:rPr>
      </w:r>
    </w:p>
    <w:p>
      <w:pPr>
        <w:pStyle w:val="Normal"/>
        <w:widowControl/>
        <w:shd w:fill="FFFFFF" w:val="clear"/>
        <w:spacing w:lineRule="auto" w:line="240" w:before="0" w:after="0"/>
        <w:rPr>
          <w:rFonts w:eastAsia="Times New Roman" w:cs="Arial"/>
          <w:color w:val="1F1F1F"/>
          <w:szCs w:val="24"/>
          <w:lang w:eastAsia="en-GB"/>
        </w:rPr>
      </w:pPr>
      <w:r>
        <w:rPr>
          <w:rFonts w:eastAsia="Times New Roman" w:cs="Arial"/>
          <w:color w:val="1F1F1F"/>
          <w:szCs w:val="24"/>
          <w:lang w:eastAsia="en-GB"/>
        </w:rPr>
      </w:r>
    </w:p>
    <w:p>
      <w:pPr>
        <w:pStyle w:val="Normal"/>
        <w:widowControl/>
        <w:shd w:fill="FFFFFF" w:val="clear"/>
        <w:spacing w:lineRule="auto" w:line="240" w:before="0" w:after="280"/>
        <w:rPr>
          <w:rFonts w:eastAsia="Times New Roman" w:cs="Arial"/>
          <w:b/>
          <w:b/>
          <w:bCs/>
          <w:color w:val="1F1F1F"/>
          <w:szCs w:val="24"/>
          <w:lang w:eastAsia="en-GB"/>
        </w:rPr>
      </w:pPr>
      <w:r>
        <w:rPr>
          <w:rFonts w:eastAsia="Times New Roman" w:cs="Arial"/>
          <w:b/>
          <w:bCs/>
          <w:color w:val="1F1F1F"/>
          <w:szCs w:val="24"/>
          <w:lang w:eastAsia="en-GB"/>
        </w:rPr>
        <w:t>Join us and be part of something bigger. Together, we'll make a positive difference in Greater Manchester!</w:t>
      </w:r>
    </w:p>
    <w:p>
      <w:pPr>
        <w:pStyle w:val="Heading2"/>
        <w:shd w:fill="004F6E" w:val="clear"/>
        <w:rPr>
          <w:rFonts w:cs="Arial"/>
          <w:sz w:val="24"/>
          <w:szCs w:val="24"/>
        </w:rPr>
      </w:pPr>
      <w:r>
        <w:rPr>
          <w:rFonts w:cs="Arial"/>
          <w:sz w:val="24"/>
          <w:szCs w:val="24"/>
        </w:rPr>
        <w:t>Key working relationships</w:t>
      </w:r>
    </w:p>
    <w:tbl>
      <w:tblPr>
        <w:tblW w:w="10458" w:type="dxa"/>
        <w:jc w:val="left"/>
        <w:tblInd w:w="103" w:type="dxa"/>
        <w:tblCellMar>
          <w:top w:w="0" w:type="dxa"/>
          <w:left w:w="108" w:type="dxa"/>
          <w:bottom w:w="0" w:type="dxa"/>
          <w:right w:w="108" w:type="dxa"/>
        </w:tblCellMar>
      </w:tblPr>
      <w:tblGrid>
        <w:gridCol w:w="5224"/>
        <w:gridCol w:w="5234"/>
      </w:tblGrid>
      <w:tr>
        <w:trPr/>
        <w:tc>
          <w:tcPr>
            <w:tcW w:w="5224" w:type="dxa"/>
            <w:tcBorders>
              <w:top w:val="single" w:sz="4" w:space="0" w:color="000000"/>
              <w:left w:val="single" w:sz="4" w:space="0" w:color="000000"/>
              <w:bottom w:val="single" w:sz="4" w:space="0" w:color="000000"/>
            </w:tcBorders>
            <w:shd w:fill="2C5060" w:val="clear"/>
          </w:tcPr>
          <w:p>
            <w:pPr>
              <w:pStyle w:val="Normal"/>
              <w:spacing w:lineRule="auto" w:line="240" w:before="0" w:after="240"/>
              <w:rPr>
                <w:rFonts w:cs="Arial"/>
                <w:b/>
                <w:b/>
                <w:bCs/>
                <w:color w:val="FFFFFF"/>
                <w:szCs w:val="24"/>
              </w:rPr>
            </w:pPr>
            <w:r>
              <w:rPr>
                <w:rFonts w:cs="Arial"/>
                <w:b/>
                <w:bCs/>
                <w:color w:val="FFFFFF"/>
                <w:szCs w:val="24"/>
              </w:rPr>
              <w:t xml:space="preserve">Who </w:t>
            </w:r>
          </w:p>
        </w:tc>
        <w:tc>
          <w:tcPr>
            <w:tcW w:w="5234" w:type="dxa"/>
            <w:tcBorders>
              <w:top w:val="single" w:sz="4" w:space="0" w:color="000000"/>
              <w:left w:val="single" w:sz="4" w:space="0" w:color="000000"/>
              <w:bottom w:val="single" w:sz="4" w:space="0" w:color="000000"/>
              <w:right w:val="single" w:sz="4" w:space="0" w:color="000000"/>
            </w:tcBorders>
            <w:shd w:fill="2C5060" w:val="clear"/>
          </w:tcPr>
          <w:p>
            <w:pPr>
              <w:pStyle w:val="Normal"/>
              <w:spacing w:lineRule="auto" w:line="240" w:before="0" w:after="240"/>
              <w:rPr>
                <w:rFonts w:cs="Arial"/>
                <w:b/>
                <w:b/>
                <w:bCs/>
                <w:color w:val="FFFFFF"/>
                <w:szCs w:val="24"/>
              </w:rPr>
            </w:pPr>
            <w:r>
              <w:rPr>
                <w:rFonts w:cs="Arial"/>
                <w:b/>
                <w:bCs/>
                <w:color w:val="FFFFFF"/>
                <w:szCs w:val="24"/>
              </w:rPr>
              <w:t>Why</w:t>
            </w:r>
          </w:p>
        </w:tc>
      </w:tr>
      <w:tr>
        <w:trPr>
          <w:trHeight w:val="721" w:hRule="atLeast"/>
        </w:trPr>
        <w:tc>
          <w:tcPr>
            <w:tcW w:w="5224" w:type="dxa"/>
            <w:tcBorders>
              <w:top w:val="single" w:sz="4" w:space="0" w:color="000000"/>
              <w:left w:val="single" w:sz="4" w:space="0" w:color="000000"/>
              <w:bottom w:val="single" w:sz="4" w:space="0" w:color="000000"/>
            </w:tcBorders>
            <w:shd w:fill="auto" w:val="clear"/>
          </w:tcPr>
          <w:p>
            <w:pPr>
              <w:pStyle w:val="Normal"/>
              <w:spacing w:lineRule="auto" w:line="240" w:before="0" w:after="240"/>
              <w:rPr>
                <w:rFonts w:cs="Arial"/>
                <w:color w:val="000000"/>
                <w:szCs w:val="24"/>
              </w:rPr>
            </w:pPr>
            <w:r>
              <w:rPr>
                <w:rFonts w:cs="Arial"/>
                <w:color w:val="000000"/>
                <w:szCs w:val="24"/>
              </w:rPr>
              <w:t>IDG Change Programme Function</w:t>
            </w:r>
          </w:p>
        </w:tc>
        <w:tc>
          <w:tcPr>
            <w:tcW w:w="5234"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7"/>
              </w:numPr>
              <w:spacing w:lineRule="auto" w:line="240" w:before="60" w:after="240"/>
              <w:rPr>
                <w:rFonts w:eastAsia="Arial"/>
                <w:color w:val="000000"/>
              </w:rPr>
            </w:pPr>
            <w:r>
              <w:rPr>
                <w:rFonts w:eastAsia="Arial"/>
                <w:color w:val="000000"/>
              </w:rPr>
              <w:t xml:space="preserve">The Transformation Coach - SAVVI will report into this functional area and be supported by other project managers and partnership leads. </w:t>
            </w:r>
          </w:p>
        </w:tc>
      </w:tr>
      <w:tr>
        <w:trPr>
          <w:trHeight w:val="721" w:hRule="atLeast"/>
        </w:trPr>
        <w:tc>
          <w:tcPr>
            <w:tcW w:w="5224" w:type="dxa"/>
            <w:tcBorders>
              <w:top w:val="single" w:sz="4" w:space="0" w:color="000000"/>
              <w:left w:val="single" w:sz="4" w:space="0" w:color="000000"/>
              <w:bottom w:val="single" w:sz="4" w:space="0" w:color="000000"/>
            </w:tcBorders>
            <w:shd w:fill="auto" w:val="clear"/>
          </w:tcPr>
          <w:p>
            <w:pPr>
              <w:pStyle w:val="Normal"/>
              <w:spacing w:lineRule="auto" w:line="240" w:before="0" w:after="240"/>
              <w:rPr>
                <w:rFonts w:eastAsia="Arial"/>
                <w:color w:val="000000"/>
              </w:rPr>
            </w:pPr>
            <w:r>
              <w:rPr>
                <w:rFonts w:eastAsia="Arial"/>
                <w:color w:val="000000"/>
              </w:rPr>
              <w:t>GM Digital Application Support Team members and relevant technical/data colleagues</w:t>
            </w:r>
          </w:p>
        </w:tc>
        <w:tc>
          <w:tcPr>
            <w:tcW w:w="5234"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7"/>
              </w:numPr>
              <w:spacing w:lineRule="auto" w:line="240" w:before="60" w:after="240"/>
              <w:rPr>
                <w:rFonts w:cs="Arial"/>
                <w:color w:val="000000"/>
                <w:szCs w:val="24"/>
              </w:rPr>
            </w:pPr>
            <w:r>
              <w:rPr>
                <w:rFonts w:cs="Arial"/>
                <w:color w:val="000000"/>
                <w:szCs w:val="24"/>
              </w:rPr>
              <w:t xml:space="preserve">The Technical Data Lead – SAVVI will report into this team and therefore you will develop a close working relationship with colleagues in this area. </w:t>
            </w:r>
          </w:p>
          <w:p>
            <w:pPr>
              <w:pStyle w:val="ListParagraph"/>
              <w:numPr>
                <w:ilvl w:val="0"/>
                <w:numId w:val="7"/>
              </w:numPr>
              <w:spacing w:lineRule="auto" w:line="240" w:before="60" w:after="240"/>
              <w:rPr>
                <w:rFonts w:eastAsia="Arial"/>
                <w:color w:val="000000"/>
              </w:rPr>
            </w:pPr>
            <w:r>
              <w:rPr>
                <w:rFonts w:eastAsia="Arial"/>
                <w:color w:val="000000"/>
              </w:rPr>
              <w:t>Support effective handover of SAVVI-related products, processes or learning where ongoing support is required.</w:t>
            </w:r>
          </w:p>
        </w:tc>
      </w:tr>
      <w:tr>
        <w:trPr/>
        <w:tc>
          <w:tcPr>
            <w:tcW w:w="5224" w:type="dxa"/>
            <w:tcBorders>
              <w:top w:val="single" w:sz="4" w:space="0" w:color="000000"/>
              <w:left w:val="single" w:sz="4" w:space="0" w:color="000000"/>
              <w:bottom w:val="single" w:sz="4" w:space="0" w:color="000000"/>
            </w:tcBorders>
            <w:shd w:fill="auto" w:val="clear"/>
          </w:tcPr>
          <w:p>
            <w:pPr>
              <w:pStyle w:val="Normal"/>
              <w:spacing w:lineRule="auto" w:line="240" w:before="0" w:after="240"/>
              <w:rPr>
                <w:rFonts w:cs="Arial"/>
                <w:color w:val="000000"/>
                <w:szCs w:val="24"/>
              </w:rPr>
            </w:pPr>
            <w:r>
              <w:rPr>
                <w:rFonts w:cs="Arial"/>
                <w:color w:val="000000"/>
                <w:szCs w:val="24"/>
              </w:rPr>
              <w:t>GM Digital senior management and IDG senior management</w:t>
            </w:r>
          </w:p>
        </w:tc>
        <w:tc>
          <w:tcPr>
            <w:tcW w:w="5234"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8"/>
              </w:numPr>
              <w:spacing w:lineRule="auto" w:line="240" w:before="60" w:after="240"/>
              <w:rPr>
                <w:rFonts w:cs="Arial"/>
                <w:color w:val="000000"/>
                <w:szCs w:val="24"/>
              </w:rPr>
            </w:pPr>
            <w:r>
              <w:rPr>
                <w:rFonts w:cs="Arial"/>
                <w:color w:val="000000"/>
                <w:szCs w:val="24"/>
              </w:rPr>
              <w:t>Escalate issues, keep informed, advise and receive instructions</w:t>
            </w:r>
          </w:p>
          <w:p>
            <w:pPr>
              <w:pStyle w:val="ListParagraph"/>
              <w:numPr>
                <w:ilvl w:val="0"/>
                <w:numId w:val="8"/>
              </w:numPr>
              <w:spacing w:lineRule="auto" w:line="240" w:before="60" w:after="240"/>
              <w:rPr>
                <w:rFonts w:cs="Arial"/>
                <w:color w:val="000000"/>
                <w:szCs w:val="24"/>
              </w:rPr>
            </w:pPr>
            <w:r>
              <w:rPr>
                <w:rFonts w:cs="Arial"/>
                <w:color w:val="000000"/>
                <w:szCs w:val="24"/>
              </w:rPr>
              <w:t>Provide regular updates on key projects, issues and priorities.</w:t>
            </w:r>
          </w:p>
        </w:tc>
      </w:tr>
      <w:tr>
        <w:trPr/>
        <w:tc>
          <w:tcPr>
            <w:tcW w:w="5224" w:type="dxa"/>
            <w:tcBorders>
              <w:top w:val="single" w:sz="4" w:space="0" w:color="000000"/>
              <w:left w:val="single" w:sz="4" w:space="0" w:color="000000"/>
              <w:bottom w:val="single" w:sz="4" w:space="0" w:color="000000"/>
            </w:tcBorders>
            <w:shd w:fill="auto" w:val="clear"/>
          </w:tcPr>
          <w:p>
            <w:pPr>
              <w:pStyle w:val="Normal"/>
              <w:spacing w:lineRule="auto" w:line="240" w:before="0" w:after="240"/>
              <w:rPr>
                <w:rFonts w:cs="Arial"/>
                <w:color w:val="000000"/>
                <w:szCs w:val="24"/>
              </w:rPr>
            </w:pPr>
            <w:r>
              <w:rPr>
                <w:rFonts w:cs="Arial"/>
                <w:color w:val="000000"/>
                <w:szCs w:val="24"/>
              </w:rPr>
              <w:t>Information and Data Governance Directorate</w:t>
            </w:r>
          </w:p>
        </w:tc>
        <w:tc>
          <w:tcPr>
            <w:tcW w:w="5234"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9"/>
              </w:numPr>
              <w:spacing w:lineRule="auto" w:line="240" w:before="60" w:after="240"/>
              <w:rPr>
                <w:rFonts w:eastAsia="Arial"/>
                <w:color w:val="000000"/>
              </w:rPr>
            </w:pPr>
            <w:r>
              <w:rPr>
                <w:rFonts w:eastAsia="Arial"/>
                <w:color w:val="000000"/>
              </w:rPr>
              <w:t xml:space="preserve">The Senior Information and Data Governance Lead will report into this team and therefore you will develop a close working relationship with colleagues in this area. </w:t>
            </w:r>
          </w:p>
          <w:p>
            <w:pPr>
              <w:pStyle w:val="ListParagraph"/>
              <w:spacing w:lineRule="auto" w:line="240"/>
              <w:ind w:left="720" w:right="0" w:hanging="0"/>
              <w:rPr>
                <w:rFonts w:eastAsia="Arial"/>
                <w:color w:val="000000"/>
              </w:rPr>
            </w:pPr>
            <w:r>
              <w:rPr>
                <w:rFonts w:eastAsia="Arial"/>
                <w:color w:val="000000"/>
              </w:rPr>
              <w:t xml:space="preserve">The Change Programme you will report into forms part of this directorate. </w:t>
            </w:r>
          </w:p>
          <w:p>
            <w:pPr>
              <w:pStyle w:val="ListParagraph"/>
              <w:numPr>
                <w:ilvl w:val="0"/>
                <w:numId w:val="9"/>
              </w:numPr>
              <w:spacing w:lineRule="auto" w:line="240" w:before="60" w:after="240"/>
              <w:rPr>
                <w:rFonts w:eastAsia="Arial"/>
                <w:color w:val="000000"/>
              </w:rPr>
            </w:pPr>
            <w:r>
              <w:rPr>
                <w:rFonts w:eastAsia="Arial"/>
                <w:color w:val="000000"/>
              </w:rPr>
              <w:t>Provide value-add communication around learning, risks and recovery steps to aid process improvements.</w:t>
            </w:r>
          </w:p>
        </w:tc>
      </w:tr>
      <w:tr>
        <w:trPr/>
        <w:tc>
          <w:tcPr>
            <w:tcW w:w="5224" w:type="dxa"/>
            <w:tcBorders>
              <w:top w:val="single" w:sz="4" w:space="0" w:color="000000"/>
              <w:left w:val="single" w:sz="4" w:space="0" w:color="000000"/>
              <w:bottom w:val="single" w:sz="4" w:space="0" w:color="000000"/>
            </w:tcBorders>
            <w:shd w:fill="auto" w:val="clear"/>
          </w:tcPr>
          <w:p>
            <w:pPr>
              <w:pStyle w:val="Normal"/>
              <w:spacing w:lineRule="auto" w:line="240" w:before="0" w:after="240"/>
              <w:rPr>
                <w:rFonts w:eastAsia="Arial"/>
                <w:color w:val="000000"/>
              </w:rPr>
            </w:pPr>
            <w:r>
              <w:rPr>
                <w:rFonts w:eastAsia="Arial"/>
                <w:color w:val="000000"/>
              </w:rPr>
              <w:t>The SAVVI team</w:t>
            </w:r>
          </w:p>
        </w:tc>
        <w:tc>
          <w:tcPr>
            <w:tcW w:w="5234"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9"/>
              </w:numPr>
              <w:spacing w:lineRule="auto" w:line="240" w:before="60" w:after="240"/>
              <w:rPr>
                <w:rFonts w:cs="Arial"/>
                <w:color w:val="000000"/>
                <w:szCs w:val="24"/>
              </w:rPr>
            </w:pPr>
            <w:r>
              <w:rPr>
                <w:rFonts w:cs="Arial"/>
                <w:color w:val="000000"/>
                <w:szCs w:val="24"/>
              </w:rPr>
              <w:t xml:space="preserve">As detailed above, this role is one of three SAVVI roles being recruited to deliver this model. Therefore, as the SAVVI transformation coach you will be working closely with the Technical Data Lead and the Senior IDG Lead. </w:t>
            </w:r>
          </w:p>
        </w:tc>
      </w:tr>
      <w:tr>
        <w:trPr/>
        <w:tc>
          <w:tcPr>
            <w:tcW w:w="5224" w:type="dxa"/>
            <w:tcBorders>
              <w:top w:val="single" w:sz="4" w:space="0" w:color="000000"/>
              <w:left w:val="single" w:sz="4" w:space="0" w:color="000000"/>
              <w:bottom w:val="single" w:sz="4" w:space="0" w:color="000000"/>
            </w:tcBorders>
            <w:shd w:fill="auto" w:val="clear"/>
          </w:tcPr>
          <w:p>
            <w:pPr>
              <w:pStyle w:val="Normal"/>
              <w:spacing w:lineRule="auto" w:line="240" w:before="0" w:after="240"/>
              <w:rPr>
                <w:rFonts w:cs="Arial"/>
                <w:color w:val="000000"/>
                <w:szCs w:val="24"/>
              </w:rPr>
            </w:pPr>
            <w:r>
              <w:rPr>
                <w:rFonts w:cs="Arial"/>
                <w:color w:val="000000"/>
                <w:szCs w:val="24"/>
              </w:rPr>
              <w:t>The GMCA Digital Directorate and other GMCA Directorates.</w:t>
            </w:r>
          </w:p>
        </w:tc>
        <w:tc>
          <w:tcPr>
            <w:tcW w:w="5234"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10"/>
              </w:numPr>
              <w:spacing w:lineRule="auto" w:line="240" w:before="60" w:after="240"/>
              <w:rPr>
                <w:rFonts w:cs="Arial"/>
                <w:color w:val="000000"/>
                <w:szCs w:val="24"/>
              </w:rPr>
            </w:pPr>
            <w:r>
              <w:rPr>
                <w:rFonts w:cs="Arial"/>
                <w:color w:val="000000"/>
                <w:szCs w:val="24"/>
              </w:rPr>
              <w:t>Build collaborative working relationships.</w:t>
            </w:r>
          </w:p>
        </w:tc>
      </w:tr>
      <w:tr>
        <w:trPr/>
        <w:tc>
          <w:tcPr>
            <w:tcW w:w="5224" w:type="dxa"/>
            <w:tcBorders>
              <w:top w:val="single" w:sz="4" w:space="0" w:color="000000"/>
              <w:left w:val="single" w:sz="4" w:space="0" w:color="000000"/>
              <w:bottom w:val="single" w:sz="4" w:space="0" w:color="000000"/>
            </w:tcBorders>
            <w:shd w:fill="auto" w:val="clear"/>
          </w:tcPr>
          <w:p>
            <w:pPr>
              <w:pStyle w:val="Normal"/>
              <w:spacing w:lineRule="auto" w:line="240" w:before="0" w:after="240"/>
              <w:rPr>
                <w:rFonts w:eastAsia="Arial"/>
                <w:color w:val="000000"/>
              </w:rPr>
            </w:pPr>
            <w:r>
              <w:rPr>
                <w:rFonts w:eastAsia="Arial"/>
                <w:color w:val="000000"/>
              </w:rPr>
              <w:t>Users, partners and services involved in SAVVI-related products, processes or interventions.</w:t>
            </w:r>
          </w:p>
        </w:tc>
        <w:tc>
          <w:tcPr>
            <w:tcW w:w="5234"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6"/>
              </w:numPr>
              <w:spacing w:lineRule="auto" w:line="240" w:before="60" w:after="240"/>
              <w:ind w:left="720" w:right="0" w:hanging="247"/>
              <w:rPr>
                <w:rFonts w:eastAsia="Arial"/>
                <w:color w:val="000000"/>
              </w:rPr>
            </w:pPr>
            <w:r>
              <w:rPr>
                <w:rFonts w:eastAsia="Arial"/>
                <w:color w:val="000000"/>
              </w:rPr>
              <w:t>Build collaborative working relationships.</w:t>
            </w:r>
          </w:p>
          <w:p>
            <w:pPr>
              <w:pStyle w:val="ListParagraph"/>
              <w:numPr>
                <w:ilvl w:val="0"/>
                <w:numId w:val="6"/>
              </w:numPr>
              <w:spacing w:lineRule="auto" w:line="240" w:before="60" w:after="240"/>
              <w:ind w:left="720" w:right="0" w:hanging="247"/>
              <w:rPr>
                <w:rFonts w:eastAsia="Arial"/>
                <w:color w:val="000000"/>
              </w:rPr>
            </w:pPr>
            <w:r>
              <w:rPr>
                <w:rFonts w:eastAsia="Arial"/>
                <w:color w:val="000000"/>
              </w:rPr>
              <w:t>With the wider delivery team and more senior Project and Product Managers, contribute to relevant product, service and transformation roadmaps.</w:t>
            </w:r>
          </w:p>
        </w:tc>
      </w:tr>
      <w:tr>
        <w:trPr/>
        <w:tc>
          <w:tcPr>
            <w:tcW w:w="5224" w:type="dxa"/>
            <w:tcBorders>
              <w:top w:val="single" w:sz="4" w:space="0" w:color="000000"/>
              <w:left w:val="single" w:sz="4" w:space="0" w:color="000000"/>
              <w:bottom w:val="single" w:sz="4" w:space="0" w:color="000000"/>
            </w:tcBorders>
            <w:shd w:fill="auto" w:val="clear"/>
          </w:tcPr>
          <w:p>
            <w:pPr>
              <w:pStyle w:val="Normal"/>
              <w:spacing w:lineRule="auto" w:line="240" w:before="0" w:after="240"/>
              <w:rPr>
                <w:rFonts w:eastAsia="Arial"/>
                <w:color w:val="000000"/>
              </w:rPr>
            </w:pPr>
            <w:r>
              <w:rPr>
                <w:rFonts w:eastAsia="Arial"/>
                <w:color w:val="000000"/>
              </w:rPr>
              <w:t xml:space="preserve">National SAVVI leads from i-Stand UK </w:t>
            </w:r>
          </w:p>
        </w:tc>
        <w:tc>
          <w:tcPr>
            <w:tcW w:w="5234" w:type="dxa"/>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6"/>
              </w:numPr>
              <w:spacing w:lineRule="auto" w:line="240" w:before="60" w:after="240"/>
              <w:rPr>
                <w:rFonts w:eastAsia="Arial"/>
                <w:color w:val="000000"/>
              </w:rPr>
            </w:pPr>
            <w:r>
              <w:rPr>
                <w:rFonts w:eastAsia="Arial"/>
                <w:color w:val="000000"/>
              </w:rPr>
              <w:t>Gain training and knowledge from the national leads for SAVVI.</w:t>
            </w:r>
          </w:p>
          <w:p>
            <w:pPr>
              <w:pStyle w:val="ListParagraph"/>
              <w:numPr>
                <w:ilvl w:val="0"/>
                <w:numId w:val="6"/>
              </w:numPr>
              <w:spacing w:lineRule="auto" w:line="240"/>
              <w:rPr>
                <w:color w:val="000000"/>
                <w:szCs w:val="24"/>
              </w:rPr>
            </w:pPr>
            <w:r>
              <w:rPr>
                <w:color w:val="000000"/>
                <w:szCs w:val="24"/>
              </w:rPr>
              <w:t>Develop collaborative relationships with the i-Stand UK team.</w:t>
            </w:r>
          </w:p>
          <w:p>
            <w:pPr>
              <w:pStyle w:val="ListParagraph"/>
              <w:numPr>
                <w:ilvl w:val="0"/>
                <w:numId w:val="6"/>
              </w:numPr>
              <w:spacing w:lineRule="auto" w:line="240" w:before="60" w:after="240"/>
              <w:rPr>
                <w:rFonts w:eastAsia="Arial"/>
                <w:color w:val="000000"/>
              </w:rPr>
            </w:pPr>
            <w:r>
              <w:rPr>
                <w:rFonts w:eastAsia="Arial"/>
                <w:color w:val="000000"/>
              </w:rPr>
              <w:t>Escalate issues with external providers or partners where they may affect delivery, adoption or continuity of SAVVI-related work.</w:t>
            </w:r>
          </w:p>
        </w:tc>
      </w:tr>
    </w:tbl>
    <w:p>
      <w:pPr>
        <w:pStyle w:val="Heading2"/>
        <w:shd w:fill="004F6E" w:val="clear"/>
        <w:rPr>
          <w:rFonts w:cs="Arial"/>
          <w:sz w:val="24"/>
          <w:szCs w:val="24"/>
        </w:rPr>
      </w:pPr>
      <w:r>
        <w:rPr>
          <w:rFonts w:cs="Arial"/>
          <w:sz w:val="24"/>
          <w:szCs w:val="24"/>
        </w:rPr>
        <w:t>Key Responsibilities</w:t>
      </w:r>
    </w:p>
    <w:p>
      <w:pPr>
        <w:pStyle w:val="Normal"/>
        <w:rPr>
          <w:rFonts w:eastAsia="Arial"/>
        </w:rPr>
      </w:pPr>
      <w:r>
        <w:rPr>
          <w:rFonts w:eastAsia="Arial"/>
        </w:rPr>
        <w:t>Transformation Coaching and Project Delivery:</w:t>
      </w:r>
    </w:p>
    <w:p>
      <w:pPr>
        <w:pStyle w:val="ListParagraph"/>
        <w:numPr>
          <w:ilvl w:val="0"/>
          <w:numId w:val="12"/>
        </w:numPr>
        <w:spacing w:lineRule="auto" w:line="240"/>
        <w:rPr>
          <w:rFonts w:eastAsia="Arial"/>
        </w:rPr>
      </w:pPr>
      <w:r>
        <w:rPr>
          <w:rFonts w:eastAsia="Arial"/>
        </w:rPr>
        <w:t>Partner with internal and external stakeholders to define SAVVI-related activity including the approach to delivery, timelines, benefits and practical routes to implementation.</w:t>
      </w:r>
    </w:p>
    <w:p>
      <w:pPr>
        <w:pStyle w:val="ListParagraph"/>
        <w:numPr>
          <w:ilvl w:val="0"/>
          <w:numId w:val="12"/>
        </w:numPr>
        <w:spacing w:lineRule="auto" w:line="240"/>
        <w:rPr>
          <w:rFonts w:eastAsia="Arial"/>
        </w:rPr>
      </w:pPr>
      <w:r>
        <w:rPr>
          <w:rFonts w:eastAsia="Arial"/>
        </w:rPr>
        <w:t>Develop and manage delivery plans using appropriate waterfall and Agile methodologies (e.g., Scrum, Kanban), where these support SAVVI implementation.</w:t>
      </w:r>
    </w:p>
    <w:p>
      <w:pPr>
        <w:pStyle w:val="ListParagraph"/>
        <w:numPr>
          <w:ilvl w:val="0"/>
          <w:numId w:val="12"/>
        </w:numPr>
        <w:spacing w:lineRule="auto" w:line="240"/>
        <w:rPr>
          <w:rFonts w:eastAsia="Arial"/>
        </w:rPr>
      </w:pPr>
      <w:r>
        <w:rPr>
          <w:rFonts w:eastAsia="Arial"/>
        </w:rPr>
        <w:t>Responsible for supporting SAVVI-related project/product development and delivery, identifying and mitigating risks, and implementing corrective actions as necessary.</w:t>
      </w:r>
    </w:p>
    <w:p>
      <w:pPr>
        <w:pStyle w:val="ListParagraph"/>
        <w:numPr>
          <w:ilvl w:val="0"/>
          <w:numId w:val="12"/>
        </w:numPr>
        <w:spacing w:lineRule="auto" w:line="240"/>
        <w:rPr>
          <w:rFonts w:eastAsia="Arial"/>
        </w:rPr>
      </w:pPr>
      <w:r>
        <w:rPr>
          <w:rFonts w:eastAsia="Arial"/>
        </w:rPr>
        <w:t>Facilitate effective communication and collaboration across diverse teams, including policy, data, information governance, technical and user groups.</w:t>
      </w:r>
    </w:p>
    <w:p>
      <w:pPr>
        <w:pStyle w:val="ListParagraph"/>
        <w:numPr>
          <w:ilvl w:val="0"/>
          <w:numId w:val="12"/>
        </w:numPr>
        <w:spacing w:lineRule="auto" w:line="240"/>
        <w:rPr>
          <w:rFonts w:eastAsia="Arial"/>
        </w:rPr>
      </w:pPr>
      <w:r>
        <w:rPr>
          <w:rFonts w:eastAsia="Arial"/>
        </w:rPr>
        <w:t>Manage project documentation and ensure assigned SAVVI-related deliverables are met on time and within agreed scope.</w:t>
      </w:r>
    </w:p>
    <w:p>
      <w:pPr>
        <w:pStyle w:val="Normal"/>
        <w:spacing w:before="60" w:after="240"/>
        <w:rPr>
          <w:rFonts w:eastAsia="Arial"/>
        </w:rPr>
      </w:pPr>
      <w:r>
        <w:rPr>
          <w:rFonts w:eastAsia="Arial"/>
        </w:rPr>
        <w:t>Transformation and Product Support:</w:t>
      </w:r>
    </w:p>
    <w:p>
      <w:pPr>
        <w:pStyle w:val="ListParagraph"/>
        <w:numPr>
          <w:ilvl w:val="0"/>
          <w:numId w:val="13"/>
        </w:numPr>
        <w:spacing w:lineRule="auto" w:line="240"/>
        <w:rPr>
          <w:rFonts w:eastAsia="Arial"/>
        </w:rPr>
      </w:pPr>
      <w:r>
        <w:rPr>
          <w:rFonts w:eastAsia="Arial"/>
        </w:rPr>
        <w:t>Support the development of user research, analysis and learning to support the development and improvement of SAVVI-related products, services and processes.</w:t>
      </w:r>
    </w:p>
    <w:p>
      <w:pPr>
        <w:pStyle w:val="ListParagraph"/>
        <w:numPr>
          <w:ilvl w:val="0"/>
          <w:numId w:val="13"/>
        </w:numPr>
        <w:spacing w:lineRule="auto" w:line="240"/>
        <w:rPr>
          <w:rFonts w:eastAsia="Arial"/>
        </w:rPr>
      </w:pPr>
      <w:r>
        <w:rPr>
          <w:rFonts w:eastAsia="Arial"/>
        </w:rPr>
        <w:t>Work with stakeholders to define requirements, user stories, workshop outputs and success measures that align with Greater Manchester’s strategic objectives and SAVVI principles.</w:t>
      </w:r>
    </w:p>
    <w:p>
      <w:pPr>
        <w:pStyle w:val="ListParagraph"/>
        <w:numPr>
          <w:ilvl w:val="0"/>
          <w:numId w:val="13"/>
        </w:numPr>
        <w:spacing w:lineRule="auto" w:line="240"/>
        <w:rPr>
          <w:rFonts w:eastAsia="Arial"/>
        </w:rPr>
      </w:pPr>
      <w:r>
        <w:rPr>
          <w:rFonts w:eastAsia="Arial"/>
        </w:rPr>
        <w:t>In collaboration with stakeholders, and aligned to agreed transformation and product strategy objectives, support the prioritisation of activities and the development of roadmaps that deliver value to our citizens and services.</w:t>
      </w:r>
    </w:p>
    <w:p>
      <w:pPr>
        <w:pStyle w:val="ListParagraph"/>
        <w:numPr>
          <w:ilvl w:val="0"/>
          <w:numId w:val="13"/>
        </w:numPr>
        <w:spacing w:lineRule="auto" w:line="240"/>
        <w:rPr>
          <w:rFonts w:eastAsia="Arial"/>
        </w:rPr>
      </w:pPr>
      <w:r>
        <w:rPr>
          <w:rFonts w:eastAsia="Arial"/>
        </w:rPr>
        <w:t>In collaboration with Scrum Teams, software developers, user researchers, data and information governance colleagues, help translate SAVVI-related service and product needs into practical delivery.</w:t>
      </w:r>
    </w:p>
    <w:p>
      <w:pPr>
        <w:pStyle w:val="ListParagraph"/>
        <w:numPr>
          <w:ilvl w:val="0"/>
          <w:numId w:val="13"/>
        </w:numPr>
        <w:spacing w:lineRule="auto" w:line="240"/>
        <w:rPr>
          <w:rFonts w:eastAsia="Arial"/>
        </w:rPr>
      </w:pPr>
      <w:r>
        <w:rPr>
          <w:rFonts w:eastAsia="Arial"/>
        </w:rPr>
        <w:t>Conduct workshops, user testing and feedback activity to iterate and improve SAVVI-related products, services and ways of working.</w:t>
      </w:r>
    </w:p>
    <w:p>
      <w:pPr>
        <w:pStyle w:val="ListParagraph"/>
        <w:numPr>
          <w:ilvl w:val="0"/>
          <w:numId w:val="13"/>
        </w:numPr>
        <w:spacing w:lineRule="auto" w:line="240"/>
        <w:rPr>
          <w:rFonts w:eastAsia="Arial"/>
        </w:rPr>
      </w:pPr>
      <w:r>
        <w:rPr>
          <w:rFonts w:eastAsia="Arial"/>
        </w:rPr>
        <w:t>Contributing to team development activities to support continuous improvement across the service, including capturing and sharing SAVVI learning and good practice.</w:t>
      </w:r>
    </w:p>
    <w:p>
      <w:pPr>
        <w:pStyle w:val="ListParagraph"/>
        <w:numPr>
          <w:ilvl w:val="0"/>
          <w:numId w:val="13"/>
        </w:numPr>
        <w:spacing w:lineRule="auto" w:line="240"/>
        <w:rPr>
          <w:rFonts w:eastAsia="Arial"/>
        </w:rPr>
      </w:pPr>
      <w:r>
        <w:rPr>
          <w:rFonts w:eastAsia="Arial"/>
        </w:rPr>
        <w:t>Act as an ambassador for GM Digital Transformation and SAVVI, both within the GMCA, and with our extensive partner network.</w:t>
      </w:r>
    </w:p>
    <w:p>
      <w:pPr>
        <w:pStyle w:val="Heading2"/>
        <w:shd w:fill="004F6E" w:val="clear"/>
        <w:rPr>
          <w:rFonts w:cs="Arial"/>
          <w:sz w:val="24"/>
          <w:szCs w:val="24"/>
        </w:rPr>
      </w:pPr>
      <w:r>
        <w:rPr>
          <w:rFonts w:cs="Arial"/>
          <w:sz w:val="24"/>
          <w:szCs w:val="24"/>
        </w:rPr>
        <w:t>General</w:t>
      </w:r>
    </w:p>
    <w:p>
      <w:pPr>
        <w:pStyle w:val="ListParagraph"/>
        <w:numPr>
          <w:ilvl w:val="0"/>
          <w:numId w:val="14"/>
        </w:numPr>
        <w:spacing w:lineRule="auto" w:line="240"/>
        <w:rPr>
          <w:rFonts w:eastAsia="Arial"/>
        </w:rPr>
      </w:pPr>
      <w:r>
        <w:rPr>
          <w:rFonts w:eastAsia="Arial"/>
        </w:rPr>
        <w:t>Contribute to the development and coaching of Associate Project and Product Managers and other members of the project team, where appropriate.</w:t>
      </w:r>
    </w:p>
    <w:p>
      <w:pPr>
        <w:pStyle w:val="ListParagraph"/>
        <w:numPr>
          <w:ilvl w:val="0"/>
          <w:numId w:val="14"/>
        </w:numPr>
        <w:spacing w:lineRule="auto" w:line="240"/>
        <w:rPr>
          <w:rFonts w:cs="Arial"/>
          <w:color w:val="auto"/>
        </w:rPr>
      </w:pPr>
      <w:r>
        <w:rPr>
          <w:rFonts w:cs="Arial"/>
          <w:color w:val="auto"/>
        </w:rPr>
        <w:t>A commitment to your personal and professional development, proactively identifying both informal and formal opportunities for development and growth.</w:t>
      </w:r>
    </w:p>
    <w:p>
      <w:pPr>
        <w:pStyle w:val="ListParagraph"/>
        <w:numPr>
          <w:ilvl w:val="0"/>
          <w:numId w:val="14"/>
        </w:numPr>
        <w:spacing w:lineRule="auto" w:line="240"/>
        <w:rPr>
          <w:rFonts w:cs="Arial"/>
          <w:color w:val="auto"/>
        </w:rPr>
      </w:pPr>
      <w:r>
        <w:rPr>
          <w:rFonts w:cs="Arial"/>
          <w:color w:val="auto"/>
        </w:rPr>
        <w:t>Committed to undertaking continuous improvement activities, recognising that you have an active role to play in improving the products and services that you deliver to the people of Greater Manchester.</w:t>
      </w:r>
    </w:p>
    <w:p>
      <w:pPr>
        <w:pStyle w:val="ListParagraph"/>
        <w:numPr>
          <w:ilvl w:val="0"/>
          <w:numId w:val="14"/>
        </w:numPr>
        <w:spacing w:lineRule="auto" w:line="240"/>
        <w:rPr>
          <w:rFonts w:cs="Arial"/>
          <w:color w:val="auto"/>
        </w:rPr>
      </w:pPr>
      <w:r>
        <w:rPr>
          <w:rFonts w:cs="Arial"/>
          <w:color w:val="auto"/>
        </w:rPr>
        <w:t>To 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14"/>
        </w:numPr>
        <w:spacing w:lineRule="auto" w:line="240"/>
        <w:rPr>
          <w:rFonts w:eastAsia="Arial" w:cs="Arial"/>
          <w:color w:val="auto"/>
        </w:rPr>
      </w:pPr>
      <w:r>
        <w:rPr>
          <w:rFonts w:eastAsia="Arial" w:cs="Arial"/>
          <w:color w:val="auto"/>
        </w:rPr>
        <w:t>Working with other teams internally and externally collaboration is maximised and supporting on activity where appropriate.</w:t>
      </w:r>
    </w:p>
    <w:p>
      <w:pPr>
        <w:pStyle w:val="ListParagraph"/>
        <w:numPr>
          <w:ilvl w:val="0"/>
          <w:numId w:val="14"/>
        </w:numPr>
        <w:spacing w:lineRule="auto" w:line="240"/>
        <w:rPr>
          <w:color w:val="auto"/>
        </w:rPr>
      </w:pPr>
      <w:r>
        <w:rPr>
          <w:color w:val="auto"/>
        </w:rPr>
        <w:t>Ensure the services delivered internally and externally are inclusive and accessible.</w:t>
      </w:r>
    </w:p>
    <w:p>
      <w:pPr>
        <w:pStyle w:val="ListParagraph"/>
        <w:numPr>
          <w:ilvl w:val="0"/>
          <w:numId w:val="14"/>
        </w:numPr>
        <w:spacing w:lineRule="auto" w:line="240"/>
        <w:rPr>
          <w:rFonts w:cs="Arial"/>
          <w:color w:val="auto"/>
        </w:rPr>
      </w:pPr>
      <w:r>
        <w:rPr>
          <w:rFonts w:cs="Arial"/>
          <w:color w:val="auto"/>
        </w:rPr>
        <w:t xml:space="preserve">To align work area to the Sustainability Strategy and ensure work practices are inclusive of this value &amp; strategic intent. </w:t>
      </w:r>
    </w:p>
    <w:p>
      <w:pPr>
        <w:pStyle w:val="Normal"/>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Knowledge, Skills, and Experience</w:t>
      </w:r>
    </w:p>
    <w:p>
      <w:pPr>
        <w:pStyle w:val="Heading3"/>
        <w:rPr>
          <w:rFonts w:cs="Arial"/>
          <w:sz w:val="24"/>
        </w:rPr>
      </w:pPr>
      <w:r>
        <w:rPr>
          <w:rFonts w:cs="Arial"/>
          <w:sz w:val="24"/>
        </w:rPr>
        <w:t>Essential:</w:t>
      </w:r>
    </w:p>
    <w:p>
      <w:pPr>
        <w:pStyle w:val="Heading3"/>
        <w:spacing w:lineRule="auto" w:line="240"/>
        <w:rPr>
          <w:rFonts w:eastAsia="Arial"/>
          <w:sz w:val="24"/>
        </w:rPr>
      </w:pPr>
      <w:r>
        <w:rPr>
          <w:rFonts w:eastAsia="Arial"/>
          <w:sz w:val="24"/>
        </w:rPr>
        <w:t>Significant demonstrable experience in transformation, improvement, project management and/or product management and ideally with some public sector experience.</w:t>
      </w:r>
    </w:p>
    <w:p>
      <w:pPr>
        <w:pStyle w:val="ListParagraph"/>
        <w:numPr>
          <w:ilvl w:val="0"/>
          <w:numId w:val="3"/>
        </w:numPr>
        <w:spacing w:lineRule="auto" w:line="240"/>
        <w:rPr>
          <w:rFonts w:eastAsia="Arial"/>
        </w:rPr>
      </w:pPr>
      <w:r>
        <w:rPr>
          <w:rFonts w:eastAsia="Arial"/>
        </w:rPr>
        <w:t>Experience of successfully applying Agile Methodologies, including but not limited to Scrum, Kanban, user stories, epics, sprints and product backlogs, and how to apply them appropriately.</w:t>
      </w:r>
    </w:p>
    <w:p>
      <w:pPr>
        <w:pStyle w:val="ListParagraph"/>
        <w:numPr>
          <w:ilvl w:val="0"/>
          <w:numId w:val="3"/>
        </w:numPr>
        <w:spacing w:lineRule="auto" w:line="240"/>
        <w:rPr>
          <w:rFonts w:eastAsia="Arial"/>
        </w:rPr>
      </w:pPr>
      <w:r>
        <w:rPr>
          <w:rFonts w:eastAsia="Arial"/>
        </w:rPr>
        <w:t>Experience of successfully applying Project Management Frameworks such as Prince2 or PMP, or equivalent transformation, improvement or service design approaches.</w:t>
      </w:r>
    </w:p>
    <w:p>
      <w:pPr>
        <w:pStyle w:val="ListParagraph"/>
        <w:numPr>
          <w:ilvl w:val="0"/>
          <w:numId w:val="3"/>
        </w:numPr>
        <w:spacing w:lineRule="auto" w:line="240"/>
        <w:rPr>
          <w:rFonts w:eastAsia="Arial"/>
        </w:rPr>
      </w:pPr>
      <w:r>
        <w:rPr>
          <w:rFonts w:eastAsia="Arial"/>
        </w:rPr>
        <w:t>A good understanding of common digital transformation concepts such as data sharing, information governance, cloud computing, artificial intelligence and cyber security.</w:t>
      </w:r>
    </w:p>
    <w:p>
      <w:pPr>
        <w:pStyle w:val="ListParagraph"/>
        <w:numPr>
          <w:ilvl w:val="0"/>
          <w:numId w:val="3"/>
        </w:numPr>
        <w:spacing w:lineRule="auto" w:line="240"/>
        <w:rPr>
          <w:rFonts w:eastAsia="Arial"/>
        </w:rPr>
      </w:pPr>
      <w:r>
        <w:rPr>
          <w:rFonts w:eastAsia="Arial"/>
        </w:rPr>
        <w:t>Experience of delivering projects, products or transformation activity that have information and data governance implications, especially in the context of public service delivery.</w:t>
      </w:r>
    </w:p>
    <w:p>
      <w:pPr>
        <w:pStyle w:val="ListParagraph"/>
        <w:numPr>
          <w:ilvl w:val="0"/>
          <w:numId w:val="3"/>
        </w:numPr>
        <w:spacing w:lineRule="auto" w:line="240"/>
        <w:rPr>
          <w:rFonts w:eastAsia="Arial"/>
        </w:rPr>
      </w:pPr>
      <w:r>
        <w:rPr>
          <w:rFonts w:eastAsia="Arial"/>
        </w:rPr>
        <w:t>Be a certified practitioner in an industry recognised project, product, Agile, improvement or transformation methodology e.g. Prince2, Prince2 Agile, APMG Agile or similar, or have equivalent experience.</w:t>
      </w:r>
    </w:p>
    <w:p>
      <w:pPr>
        <w:pStyle w:val="ListParagraph"/>
        <w:numPr>
          <w:ilvl w:val="0"/>
          <w:numId w:val="3"/>
        </w:numPr>
        <w:spacing w:lineRule="auto" w:line="240"/>
        <w:rPr>
          <w:rFonts w:eastAsia="Arial"/>
        </w:rPr>
      </w:pPr>
      <w:r>
        <w:rPr>
          <w:rFonts w:eastAsia="Arial"/>
        </w:rPr>
        <w:t>Excellent communication, collaboration, facilitation and interpersonal skills, with the ability to build strong relationships with diverse stakeholders.</w:t>
      </w:r>
    </w:p>
    <w:p>
      <w:pPr>
        <w:pStyle w:val="Heading3"/>
        <w:spacing w:lineRule="auto" w:line="240"/>
        <w:rPr>
          <w:rFonts w:cs="Arial"/>
          <w:sz w:val="24"/>
        </w:rPr>
      </w:pPr>
      <w:r>
        <w:rPr>
          <w:rFonts w:cs="Arial"/>
          <w:sz w:val="24"/>
        </w:rPr>
        <w:t>Desirable:</w:t>
      </w:r>
    </w:p>
    <w:p>
      <w:pPr>
        <w:pStyle w:val="Default"/>
        <w:numPr>
          <w:ilvl w:val="0"/>
          <w:numId w:val="5"/>
        </w:numPr>
        <w:rPr>
          <w:rFonts w:eastAsia="Arial"/>
        </w:rPr>
      </w:pPr>
      <w:r>
        <w:rPr>
          <w:rFonts w:eastAsia="Arial"/>
        </w:rPr>
        <w:t>An understanding of the public sector environment, especially local and combined authorities, and the role that they play; awareness of the SAVVI approach would be beneficial.</w:t>
      </w:r>
    </w:p>
    <w:p>
      <w:pPr>
        <w:pStyle w:val="Default"/>
        <w:rPr/>
      </w:pPr>
      <w:r>
        <w:rPr/>
      </w:r>
    </w:p>
    <w:p>
      <w:pPr>
        <w:pStyle w:val="Default"/>
        <w:rPr/>
      </w:pPr>
      <w:r>
        <w:rPr/>
      </w:r>
    </w:p>
    <w:p>
      <w:pPr>
        <w:pStyle w:val="Heading3"/>
        <w:rPr/>
      </w:pPr>
      <w:r>
        <w:rPr>
          <w:rFonts w:cs="Arial"/>
          <w:sz w:val="24"/>
        </w:rPr>
        <w:t>Skills, Values</w:t>
      </w:r>
      <w:r>
        <w:rPr>
          <w:rFonts w:cs="Arial"/>
          <w:spacing w:val="-3"/>
          <w:sz w:val="24"/>
        </w:rPr>
        <w:t xml:space="preserve"> </w:t>
      </w:r>
      <w:r>
        <w:rPr>
          <w:rFonts w:cs="Arial"/>
          <w:sz w:val="24"/>
        </w:rPr>
        <w:t>&amp;</w:t>
      </w:r>
      <w:r>
        <w:rPr>
          <w:rFonts w:cs="Arial"/>
          <w:spacing w:val="-3"/>
          <w:sz w:val="24"/>
        </w:rPr>
        <w:t xml:space="preserve"> </w:t>
      </w:r>
      <w:r>
        <w:rPr>
          <w:rFonts w:cs="Arial"/>
          <w:sz w:val="24"/>
        </w:rPr>
        <w:t>Behaviours:</w:t>
      </w:r>
    </w:p>
    <w:p>
      <w:pPr>
        <w:pStyle w:val="ListParagraph"/>
        <w:numPr>
          <w:ilvl w:val="0"/>
          <w:numId w:val="15"/>
        </w:numPr>
        <w:rPr>
          <w:rFonts w:eastAsia="Arial"/>
        </w:rPr>
      </w:pPr>
      <w:r>
        <w:rPr>
          <w:rFonts w:eastAsia="Arial"/>
        </w:rPr>
        <w:t>A commitment to the GMCA values of purpose driven and delivery focussed, collaborative and empowered, alongside a commitment to tackling inequality and improving outcomes through better use of data.</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suppressAutoHyphens w:val="tru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type w:val="nextPage"/>
      <w:pgSz w:w="11906" w:h="16838"/>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2">
          <wp:simplePos x="0" y="0"/>
          <wp:positionH relativeFrom="column">
            <wp:posOffset>4718050</wp:posOffset>
          </wp:positionH>
          <wp:positionV relativeFrom="paragraph">
            <wp:posOffset>-343535</wp:posOffset>
          </wp:positionV>
          <wp:extent cx="2189480" cy="68580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19" t="-61" r="-19" b="-61"/>
                  <a:stretch>
                    <a:fillRect/>
                  </a:stretch>
                </pic:blipFill>
                <pic:spPr bwMode="auto">
                  <a:xfrm>
                    <a:off x="0" y="0"/>
                    <a:ext cx="2189480" cy="68580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rPr/>
    </w:lvl>
    <w:lvl w:ilvl="1">
      <w:start w:val="1"/>
      <w:pStyle w:val="Heading2"/>
      <w:numFmt w:val="none"/>
      <w:suff w:val="nothing"/>
      <w:lvlText w:val=""/>
      <w:lvlJc w:val="left"/>
      <w:pPr>
        <w:ind w:left="0" w:hanging="0"/>
      </w:pPr>
      <w:rPr/>
    </w:lvl>
    <w:lvl w:ilvl="2">
      <w:start w:val="1"/>
      <w:pStyle w:val="Heading3"/>
      <w:numFmt w:val="none"/>
      <w:suff w:val="nothing"/>
      <w:lvlText w:val=""/>
      <w:lvlJc w:val="left"/>
      <w:pPr>
        <w:ind w:left="0" w:hanging="0"/>
      </w:pPr>
      <w:r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 w:val="22"/>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720" w:hanging="360"/>
      </w:pPr>
      <w:rPr>
        <w:sz w:val="22"/>
        <w:rFonts w:eastAsia="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0">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2">
    <w:lvl w:ilvl="0">
      <w:start w:val="1"/>
      <w:numFmt w:val="bullet"/>
      <w:lvlText w:val=""/>
      <w:lvlJc w:val="left"/>
      <w:pPr>
        <w:ind w:left="720" w:hanging="360"/>
      </w:pPr>
      <w:rPr>
        <w:rFonts w:ascii="Symbol" w:hAnsi="Symbol" w:cs="Symbol" w:hint="default"/>
        <w:rFonts w:cs="Symbo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Symbol" w:hAnsi="Symbol" w:cs="Symbol" w:hint="default"/>
        <w:rFonts w:cs="Symbo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rFonts w:ascii="Symbol" w:hAnsi="Symbol" w:cs="Symbol" w:hint="default"/>
        <w:rFonts w:cs="Symbo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bullet"/>
      <w:lvlText w:val=""/>
      <w:lvlJc w:val="left"/>
      <w:pPr>
        <w:ind w:left="720" w:hanging="360"/>
      </w:pPr>
      <w:rPr>
        <w:rFonts w:ascii="Symbol" w:hAnsi="Symbol" w:cs="Symbol" w:hint="default"/>
        <w:rFonts w:cs="Symbo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eastAsia="Arial" w:cs="Symbol"/>
      <w:sz w:val="22"/>
      <w:szCs w:val="24"/>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eastAsia="Arial"/>
      <w:sz w:val="22"/>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Symbol" w:hAnsi="Symbol" w:cs="Symbol"/>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ymbol" w:hAnsi="Symbol" w:cs="Symbol"/>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ymbol" w:hAnsi="Symbol" w:cs="Symbol"/>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InternetLink">
    <w:name w:val="Internet Link"/>
    <w:basedOn w:val="DefaultParagraphFont"/>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Cs w:val="24"/>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