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header2.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Heading1"/>
        <w:shd w:fill="004F6E" w:val="clear"/>
        <w:rPr>
          <w:rFonts w:cs="Arial"/>
          <w:sz w:val="24"/>
          <w:szCs w:val="24"/>
        </w:rPr>
      </w:pPr>
      <w:r>
        <w:rPr>
          <w:rFonts w:cs="Arial"/>
          <w:sz w:val="24"/>
          <w:szCs w:val="24"/>
        </w:rPr>
        <w:t>Role profile</w:t>
      </w:r>
    </w:p>
    <w:p>
      <w:pPr>
        <w:pStyle w:val="ListParagraph"/>
        <w:numPr>
          <w:ilvl w:val="0"/>
          <w:numId w:val="2"/>
        </w:numPr>
        <w:rPr/>
      </w:pPr>
      <w:r>
        <w:rPr>
          <w:rFonts w:cs="Arial"/>
          <w:b/>
          <w:bCs/>
          <w:szCs w:val="24"/>
        </w:rPr>
        <w:t>Job title</w:t>
      </w:r>
      <w:r>
        <w:rPr>
          <w:rFonts w:cs="Arial"/>
          <w:szCs w:val="24"/>
        </w:rPr>
        <w:t>: Strategic Policy and Programme Manager (Stronger Communities)</w:t>
      </w:r>
    </w:p>
    <w:p>
      <w:pPr>
        <w:pStyle w:val="ListParagraph"/>
        <w:numPr>
          <w:ilvl w:val="0"/>
          <w:numId w:val="2"/>
        </w:numPr>
        <w:rPr/>
      </w:pPr>
      <w:r>
        <w:rPr>
          <w:rFonts w:cs="Arial"/>
          <w:b/>
          <w:bCs/>
          <w:szCs w:val="24"/>
        </w:rPr>
        <w:t>Grade:</w:t>
      </w:r>
      <w:r>
        <w:rPr>
          <w:rFonts w:cs="Arial"/>
          <w:szCs w:val="24"/>
        </w:rPr>
        <w:t xml:space="preserve"> Grade 10</w:t>
      </w:r>
    </w:p>
    <w:p>
      <w:pPr>
        <w:pStyle w:val="ListParagraph"/>
        <w:numPr>
          <w:ilvl w:val="0"/>
          <w:numId w:val="2"/>
        </w:numPr>
        <w:rPr/>
      </w:pPr>
      <w:r>
        <w:rPr>
          <w:rFonts w:cs="Arial"/>
          <w:b/>
          <w:bCs/>
          <w:szCs w:val="24"/>
        </w:rPr>
        <w:t>Business area:</w:t>
      </w:r>
      <w:r>
        <w:rPr>
          <w:rFonts w:cs="Arial"/>
          <w:szCs w:val="24"/>
        </w:rPr>
        <w:t xml:space="preserve"> </w:t>
      </w:r>
      <w:r>
        <w:rPr>
          <w:rFonts w:cs="Arial"/>
        </w:rPr>
        <w:t>GMCA</w:t>
      </w:r>
    </w:p>
    <w:p>
      <w:pPr>
        <w:pStyle w:val="ListParagraph"/>
        <w:numPr>
          <w:ilvl w:val="0"/>
          <w:numId w:val="2"/>
        </w:numPr>
        <w:rPr/>
      </w:pPr>
      <w:r>
        <w:rPr>
          <w:rFonts w:cs="Arial"/>
          <w:b/>
          <w:bCs/>
          <w:szCs w:val="24"/>
        </w:rPr>
        <w:t>Reporting line:</w:t>
      </w:r>
      <w:r>
        <w:rPr>
          <w:rFonts w:cs="Arial"/>
          <w:szCs w:val="24"/>
        </w:rPr>
        <w:t xml:space="preserve"> Deputy Director for Safer and Stronger Communities</w:t>
      </w:r>
    </w:p>
    <w:p>
      <w:pPr>
        <w:pStyle w:val="ListParagraph"/>
        <w:numPr>
          <w:ilvl w:val="0"/>
          <w:numId w:val="2"/>
        </w:numPr>
        <w:rPr/>
      </w:pPr>
      <w:r>
        <w:rPr>
          <w:rFonts w:cs="Arial"/>
          <w:b/>
          <w:bCs/>
          <w:szCs w:val="24"/>
        </w:rPr>
        <w:t>Team:</w:t>
      </w:r>
      <w:r>
        <w:rPr>
          <w:rFonts w:cs="Arial"/>
          <w:szCs w:val="24"/>
        </w:rPr>
        <w:t xml:space="preserve"> Safer and Stronger Communities</w:t>
      </w:r>
    </w:p>
    <w:p>
      <w:pPr>
        <w:pStyle w:val="Heading2"/>
        <w:shd w:fill="004F6E" w:val="clear"/>
        <w:rPr>
          <w:rFonts w:cs="Arial"/>
          <w:sz w:val="24"/>
          <w:szCs w:val="24"/>
        </w:rPr>
      </w:pPr>
      <w:r>
        <w:rPr>
          <w:rFonts w:cs="Arial"/>
          <w:sz w:val="24"/>
          <w:szCs w:val="24"/>
        </w:rPr>
        <w:t>Job Purpose</w:t>
      </w:r>
    </w:p>
    <w:p>
      <w:pPr>
        <w:pStyle w:val="Normal"/>
        <w:rPr>
          <w:rFonts w:eastAsia="Arial" w:cs="Arial"/>
          <w:color w:val="FF0000"/>
          <w:szCs w:val="24"/>
        </w:rPr>
      </w:pPr>
      <w:r>
        <w:rPr>
          <w:rFonts w:eastAsia="Arial" w:cs="Arial"/>
          <w:color w:val="FF0000"/>
          <w:szCs w:val="24"/>
        </w:rPr>
        <w:t xml:space="preserve"> </w:t>
      </w:r>
    </w:p>
    <w:p>
      <w:pPr>
        <w:pStyle w:val="NormalWeb"/>
        <w:spacing w:before="0" w:after="219"/>
        <w:rPr/>
      </w:pPr>
      <w:r>
        <w:rPr>
          <w:rFonts w:cs="Arial" w:ascii="Arial" w:hAnsi="Arial"/>
          <w:shd w:fill="FFFFFF" w:val="clear"/>
        </w:rPr>
        <w:t xml:space="preserve">Greater Manchester Combined Authority have an exciting opportunity for an experienced Strategic Policy and Programme Manager to play a key role leading the delivery of the strategic priorities of the GMCA into programmes and projects to support the communities, businesses and places of Greater Manchester. The role will </w:t>
      </w:r>
      <w:r>
        <w:rPr>
          <w:rFonts w:eastAsia="Calibri" w:cs="Arial" w:ascii="Arial" w:hAnsi="Arial"/>
          <w:color w:val="000000"/>
          <w:u w:val="none" w:color="000000"/>
          <w:shd w:fill="FFFFFF" w:val="clear"/>
          <w:lang w:val="en-US" w:eastAsia="en-US"/>
        </w:rPr>
        <w:t>support the Mayor, Deputy Mayor, political and officer portfolio holders in driving community cohesion, safety and live well related objectives as outlined in the Greater Manchester Strategy.</w:t>
      </w:r>
    </w:p>
    <w:p>
      <w:pPr>
        <w:pStyle w:val="NormalWeb"/>
        <w:spacing w:before="0" w:after="219"/>
        <w:rPr/>
      </w:pPr>
      <w:r>
        <w:rPr>
          <w:rFonts w:cs="Arial" w:ascii="Arial" w:hAnsi="Arial"/>
          <w:shd w:fill="FFFFFF" w:val="clear"/>
        </w:rPr>
        <w:t>This will involve</w:t>
      </w:r>
      <w:r>
        <w:rPr>
          <w:rFonts w:eastAsia="Calibri" w:cs="Arial" w:ascii="Arial" w:hAnsi="Arial"/>
          <w:color w:val="000000"/>
          <w:u w:val="none" w:color="000000"/>
          <w:shd w:fill="FFFFFF" w:val="clear"/>
          <w:lang w:val="en-US" w:eastAsia="en-US"/>
        </w:rPr>
        <w:t xml:space="preserve"> leading and driving forward the delivery of Greater Manchester agreed approaches to stronger communities including Hate Crime; Tension Monitoring; Live Well; Community Engagement and Communications; Children and Young People and Education approaches, including pulling together leads from across the GMCA and beyond to coordinate delivery.</w:t>
      </w:r>
    </w:p>
    <w:p>
      <w:pPr>
        <w:pStyle w:val="NormalWeb"/>
        <w:spacing w:before="0" w:after="219"/>
        <w:rPr/>
      </w:pPr>
      <w:r>
        <w:rPr>
          <w:rFonts w:cs="Arial" w:ascii="Arial" w:hAnsi="Arial"/>
          <w:shd w:fill="FFFFFF" w:val="clear"/>
        </w:rPr>
        <w:t>Working with local strategic and community partners the role will d</w:t>
      </w:r>
      <w:r>
        <w:rPr>
          <w:rFonts w:eastAsia="Calibri" w:cs="Arial" w:ascii="Arial" w:hAnsi="Arial"/>
          <w:color w:val="000000"/>
          <w:shd w:fill="FFFFFF" w:val="clear"/>
          <w:lang w:val="en-US" w:eastAsia="en-US"/>
        </w:rPr>
        <w:t>evelop innovative solutions that bring communities together and contribute to increased trust and confidence. This will include the identification of new funding and collaboration opportunities and w</w:t>
      </w:r>
      <w:r>
        <w:rPr>
          <w:rFonts w:cs="Arial" w:ascii="Arial" w:hAnsi="Arial"/>
          <w:shd w:fill="FFFFFF" w:val="clear"/>
        </w:rPr>
        <w:t xml:space="preserve">orking with strategic partners and communities to understand and respond positively to the drivers of community tensions, disinformation and hate. The role will support the continued development of a GM Cohesion Needs Assessment and will commission and manage work in support of positive communications, education and training – working to implement the objectives of the agreed GM stronger communities and live well </w:t>
      </w:r>
      <w:r>
        <w:rPr>
          <w:rFonts w:cs="Arial" w:ascii="Arial" w:hAnsi="Arial"/>
        </w:rPr>
        <w:t>agenda.</w:t>
      </w:r>
    </w:p>
    <w:p>
      <w:pPr>
        <w:pStyle w:val="NormalWeb"/>
        <w:spacing w:before="0" w:after="219"/>
        <w:rPr>
          <w:rFonts w:ascii="Arial" w:hAnsi="Arial" w:eastAsia="Calibri" w:cs="Arial"/>
          <w:color w:val="000000"/>
          <w:highlight w:val="white"/>
          <w:u w:val="none" w:color="000000"/>
          <w:lang w:val="en-US" w:eastAsia="en-US"/>
        </w:rPr>
      </w:pPr>
      <w:r>
        <w:rPr>
          <w:rFonts w:eastAsia="Calibri" w:cs="Arial" w:ascii="Arial" w:hAnsi="Arial"/>
          <w:color w:val="000000"/>
          <w:u w:val="none" w:color="000000"/>
          <w:shd w:fill="FFFFFF" w:val="clear"/>
          <w:lang w:val="en-US" w:eastAsia="en-US"/>
        </w:rPr>
        <w:t>An important aspect to the role will be to act as a key coordination point for community safety partners, the Voluntary, Community, Faith and Social Enterprise sector, lived experience groups and Greater Manchester Panels in the delivery of this work.</w:t>
      </w:r>
    </w:p>
    <w:p>
      <w:pPr>
        <w:pStyle w:val="NormalWeb"/>
        <w:spacing w:before="120" w:after="120"/>
        <w:rPr>
          <w:rFonts w:ascii="Arial" w:hAnsi="Arial" w:cs="Arial"/>
          <w:highlight w:val="white"/>
        </w:rPr>
      </w:pPr>
      <w:r>
        <w:rPr>
          <w:rFonts w:cs="Arial" w:ascii="Arial" w:hAnsi="Arial"/>
          <w:shd w:fill="FFFFFF" w:val="clear"/>
        </w:rPr>
      </w:r>
    </w:p>
    <w:p>
      <w:pPr>
        <w:pStyle w:val="NormalWeb"/>
        <w:spacing w:before="120" w:after="120"/>
        <w:rPr>
          <w:rFonts w:ascii="Arial" w:hAnsi="Arial" w:cs="Arial"/>
          <w:highlight w:val="white"/>
        </w:rPr>
      </w:pPr>
      <w:r>
        <w:rPr>
          <w:rFonts w:cs="Arial" w:ascii="Arial" w:hAnsi="Arial"/>
          <w:shd w:fill="FFFFFF" w:val="clear"/>
        </w:rPr>
      </w:r>
    </w:p>
    <w:p>
      <w:pPr>
        <w:pStyle w:val="NormalWeb"/>
        <w:spacing w:before="120" w:after="120"/>
        <w:rPr>
          <w:rFonts w:ascii="Arial" w:hAnsi="Arial" w:cs="Arial"/>
          <w:highlight w:val="white"/>
        </w:rPr>
      </w:pPr>
      <w:r>
        <w:rPr>
          <w:rFonts w:cs="Arial" w:ascii="Arial" w:hAnsi="Arial"/>
          <w:shd w:fill="FFFFFF" w:val="clear"/>
        </w:rPr>
      </w:r>
    </w:p>
    <w:p>
      <w:pPr>
        <w:pStyle w:val="NormalWeb"/>
        <w:spacing w:before="120" w:after="120"/>
        <w:rPr>
          <w:rFonts w:ascii="Arial" w:hAnsi="Arial" w:cs="Arial"/>
          <w:highlight w:val="white"/>
        </w:rPr>
      </w:pPr>
      <w:r>
        <w:rPr>
          <w:rFonts w:cs="Arial" w:ascii="Arial" w:hAnsi="Arial"/>
          <w:shd w:fill="FFFFFF" w:val="clear"/>
        </w:rPr>
      </w:r>
    </w:p>
    <w:p>
      <w:pPr>
        <w:pStyle w:val="Heading2"/>
        <w:shd w:fill="004F6E" w:val="clear"/>
        <w:rPr>
          <w:rFonts w:cs="Arial"/>
          <w:sz w:val="24"/>
          <w:szCs w:val="24"/>
        </w:rPr>
      </w:pPr>
      <w:r>
        <w:rPr>
          <w:rFonts w:cs="Arial"/>
          <w:sz w:val="24"/>
          <w:szCs w:val="24"/>
        </w:rPr>
        <w:t>Key working relationships</w:t>
      </w:r>
    </w:p>
    <w:p>
      <w:pPr>
        <w:pStyle w:val="ListParagraph"/>
        <w:widowControl/>
        <w:numPr>
          <w:ilvl w:val="0"/>
          <w:numId w:val="5"/>
        </w:numPr>
        <w:spacing w:lineRule="auto" w:line="240" w:before="0" w:after="0"/>
        <w:ind w:left="199" w:right="261" w:hanging="283"/>
        <w:jc w:val="both"/>
        <w:rPr>
          <w:szCs w:val="24"/>
        </w:rPr>
      </w:pPr>
      <w:r>
        <w:rPr>
          <w:szCs w:val="24"/>
        </w:rPr>
        <w:t>Deputy Mayor</w:t>
      </w:r>
    </w:p>
    <w:p>
      <w:pPr>
        <w:pStyle w:val="ListParagraph"/>
        <w:widowControl/>
        <w:numPr>
          <w:ilvl w:val="0"/>
          <w:numId w:val="5"/>
        </w:numPr>
        <w:spacing w:lineRule="auto" w:line="240" w:before="0" w:after="0"/>
        <w:ind w:left="199" w:right="261" w:hanging="283"/>
        <w:jc w:val="both"/>
        <w:rPr>
          <w:szCs w:val="24"/>
        </w:rPr>
      </w:pPr>
      <w:r>
        <w:rPr>
          <w:szCs w:val="24"/>
        </w:rPr>
        <w:t>Internal and external customer groups and strategic partners</w:t>
      </w:r>
    </w:p>
    <w:p>
      <w:pPr>
        <w:pStyle w:val="ListParagraph"/>
        <w:widowControl/>
        <w:numPr>
          <w:ilvl w:val="0"/>
          <w:numId w:val="5"/>
        </w:numPr>
        <w:spacing w:lineRule="auto" w:line="240" w:before="0" w:after="0"/>
        <w:ind w:left="199" w:right="261" w:hanging="283"/>
        <w:jc w:val="both"/>
        <w:rPr>
          <w:szCs w:val="24"/>
        </w:rPr>
      </w:pPr>
      <w:r>
        <w:rPr>
          <w:szCs w:val="24"/>
        </w:rPr>
        <w:t xml:space="preserve">Senior Managers from across GM’s public sector and stakeholders/partners  </w:t>
      </w:r>
    </w:p>
    <w:p>
      <w:pPr>
        <w:pStyle w:val="ListParagraph"/>
        <w:widowControl/>
        <w:numPr>
          <w:ilvl w:val="0"/>
          <w:numId w:val="5"/>
        </w:numPr>
        <w:spacing w:lineRule="auto" w:line="240" w:before="0" w:after="0"/>
        <w:ind w:left="199" w:right="261" w:hanging="283"/>
        <w:jc w:val="both"/>
        <w:rPr>
          <w:szCs w:val="24"/>
        </w:rPr>
      </w:pPr>
      <w:r>
        <w:rPr>
          <w:szCs w:val="24"/>
        </w:rPr>
        <w:t>Senior Managers and staff within GMCA</w:t>
      </w:r>
    </w:p>
    <w:p>
      <w:pPr>
        <w:pStyle w:val="ListParagraph"/>
        <w:widowControl/>
        <w:numPr>
          <w:ilvl w:val="0"/>
          <w:numId w:val="5"/>
        </w:numPr>
        <w:spacing w:lineRule="auto" w:line="240" w:before="0" w:after="0"/>
        <w:ind w:left="199" w:right="261" w:hanging="283"/>
        <w:jc w:val="both"/>
        <w:rPr>
          <w:szCs w:val="24"/>
        </w:rPr>
      </w:pPr>
      <w:r>
        <w:rPr>
          <w:szCs w:val="24"/>
        </w:rPr>
        <w:t>Greater Manchester Police</w:t>
      </w:r>
    </w:p>
    <w:p>
      <w:pPr>
        <w:pStyle w:val="ListParagraph"/>
        <w:widowControl/>
        <w:numPr>
          <w:ilvl w:val="0"/>
          <w:numId w:val="5"/>
        </w:numPr>
        <w:spacing w:lineRule="auto" w:line="240" w:before="0" w:after="0"/>
        <w:ind w:left="199" w:right="261" w:hanging="283"/>
        <w:jc w:val="both"/>
        <w:rPr>
          <w:szCs w:val="24"/>
        </w:rPr>
      </w:pPr>
      <w:r>
        <w:rPr>
          <w:szCs w:val="24"/>
        </w:rPr>
        <w:t>Greater Manchester Fire and Rescue Service</w:t>
      </w:r>
    </w:p>
    <w:p>
      <w:pPr>
        <w:pStyle w:val="ListParagraph"/>
        <w:widowControl/>
        <w:numPr>
          <w:ilvl w:val="0"/>
          <w:numId w:val="5"/>
        </w:numPr>
        <w:spacing w:lineRule="auto" w:line="240" w:before="0" w:after="0"/>
        <w:ind w:left="199" w:right="261" w:hanging="283"/>
        <w:jc w:val="both"/>
        <w:rPr>
          <w:szCs w:val="24"/>
        </w:rPr>
      </w:pPr>
      <w:r>
        <w:rPr>
          <w:szCs w:val="24"/>
        </w:rPr>
        <w:t>Transport for Greater Manchester</w:t>
      </w:r>
    </w:p>
    <w:p>
      <w:pPr>
        <w:pStyle w:val="ListParagraph"/>
        <w:widowControl/>
        <w:numPr>
          <w:ilvl w:val="0"/>
          <w:numId w:val="5"/>
        </w:numPr>
        <w:spacing w:lineRule="auto" w:line="240" w:before="0" w:after="0"/>
        <w:ind w:left="199" w:right="261" w:hanging="283"/>
        <w:jc w:val="both"/>
        <w:rPr>
          <w:szCs w:val="24"/>
        </w:rPr>
      </w:pPr>
      <w:r>
        <w:rPr>
          <w:szCs w:val="24"/>
        </w:rPr>
        <w:t>Community Safety Partnerships across Greater Manchester</w:t>
      </w:r>
    </w:p>
    <w:p>
      <w:pPr>
        <w:pStyle w:val="ListParagraph"/>
        <w:widowControl/>
        <w:numPr>
          <w:ilvl w:val="0"/>
          <w:numId w:val="5"/>
        </w:numPr>
        <w:spacing w:lineRule="auto" w:line="240" w:before="0" w:after="0"/>
        <w:ind w:left="199" w:right="261" w:hanging="283"/>
        <w:jc w:val="both"/>
        <w:rPr>
          <w:szCs w:val="24"/>
        </w:rPr>
      </w:pPr>
      <w:r>
        <w:rPr>
          <w:szCs w:val="24"/>
        </w:rPr>
        <w:t>Greater Manchester Voluntary, Community and Faith Sector</w:t>
      </w:r>
    </w:p>
    <w:p>
      <w:pPr>
        <w:pStyle w:val="ListParagraph"/>
        <w:widowControl/>
        <w:numPr>
          <w:ilvl w:val="0"/>
          <w:numId w:val="5"/>
        </w:numPr>
        <w:spacing w:lineRule="auto" w:line="240" w:before="0" w:after="0"/>
        <w:ind w:left="199" w:right="261" w:hanging="283"/>
        <w:jc w:val="both"/>
        <w:rPr>
          <w:szCs w:val="24"/>
        </w:rPr>
      </w:pPr>
      <w:r>
        <w:rPr>
          <w:szCs w:val="24"/>
        </w:rPr>
        <w:t>Greater Manchester Equality Panels and Lived Experience Groups</w:t>
      </w:r>
    </w:p>
    <w:p>
      <w:pPr>
        <w:pStyle w:val="ListParagraph"/>
        <w:widowControl/>
        <w:numPr>
          <w:ilvl w:val="0"/>
          <w:numId w:val="5"/>
        </w:numPr>
        <w:spacing w:lineRule="auto" w:line="240" w:before="0" w:after="0"/>
        <w:ind w:left="199" w:right="261" w:hanging="283"/>
        <w:jc w:val="both"/>
        <w:rPr>
          <w:szCs w:val="24"/>
        </w:rPr>
      </w:pPr>
      <w:r>
        <w:rPr>
          <w:szCs w:val="24"/>
        </w:rPr>
        <w:t>Greater Manchester Communications and Engagement staff across Greater Manchester</w:t>
      </w:r>
    </w:p>
    <w:p>
      <w:pPr>
        <w:pStyle w:val="ListParagraph"/>
        <w:widowControl/>
        <w:numPr>
          <w:ilvl w:val="0"/>
          <w:numId w:val="5"/>
        </w:numPr>
        <w:spacing w:lineRule="auto" w:line="240" w:before="0" w:after="0"/>
        <w:ind w:left="199" w:right="261" w:hanging="283"/>
        <w:jc w:val="both"/>
        <w:rPr>
          <w:szCs w:val="24"/>
        </w:rPr>
      </w:pPr>
      <w:r>
        <w:rPr>
          <w:szCs w:val="24"/>
        </w:rPr>
        <w:t>Greater Manchester Resilience Forum and staff</w:t>
      </w:r>
    </w:p>
    <w:p>
      <w:pPr>
        <w:pStyle w:val="Heading2"/>
        <w:shd w:fill="004F6E" w:val="clear"/>
        <w:rPr>
          <w:rFonts w:cs="Arial"/>
          <w:sz w:val="24"/>
          <w:szCs w:val="24"/>
        </w:rPr>
      </w:pPr>
      <w:r>
        <w:rPr>
          <w:rFonts w:cs="Arial"/>
          <w:sz w:val="24"/>
          <w:szCs w:val="24"/>
        </w:rPr>
        <w:t>Key Responsibilities</w:t>
      </w:r>
    </w:p>
    <w:p>
      <w:pPr>
        <w:pStyle w:val="NormalWeb"/>
        <w:numPr>
          <w:ilvl w:val="0"/>
          <w:numId w:val="10"/>
        </w:numPr>
        <w:spacing w:before="120" w:after="0"/>
        <w:rPr>
          <w:rFonts w:ascii="Arial" w:hAnsi="Arial" w:cs="Arial"/>
          <w:highlight w:val="white"/>
        </w:rPr>
      </w:pPr>
      <w:r>
        <w:rPr>
          <w:rFonts w:cs="Arial" w:ascii="Arial" w:hAnsi="Arial"/>
          <w:shd w:fill="FFFFFF" w:val="clear"/>
        </w:rPr>
        <w:t>Managing projects and programmes that support the Greater Manchester Strategy stronger communities, cohesion and live well objectives and working collaboratively with partners to support agreed objectives.</w:t>
      </w:r>
    </w:p>
    <w:p>
      <w:pPr>
        <w:pStyle w:val="NormalWeb"/>
        <w:numPr>
          <w:ilvl w:val="0"/>
          <w:numId w:val="10"/>
        </w:numPr>
        <w:spacing w:before="120" w:after="0"/>
        <w:rPr>
          <w:rFonts w:ascii="Arial" w:hAnsi="Arial" w:cs="Arial"/>
        </w:rPr>
      </w:pPr>
      <w:r>
        <w:rPr>
          <w:rFonts w:cs="Arial" w:ascii="Arial" w:hAnsi="Arial"/>
        </w:rPr>
        <w:t>To provide subject matter expertise on stronger communities, cohesion and live well objectives through briefings and meeting with the Mayor, Deputy Mayor and lead portfolio holders.</w:t>
      </w:r>
    </w:p>
    <w:p>
      <w:pPr>
        <w:pStyle w:val="Default"/>
        <w:widowControl/>
        <w:numPr>
          <w:ilvl w:val="0"/>
          <w:numId w:val="10"/>
        </w:numPr>
        <w:tabs>
          <w:tab w:val="clear" w:pos="720"/>
          <w:tab w:val="left" w:pos="1026" w:leader="none"/>
        </w:tabs>
        <w:spacing w:before="0" w:after="219"/>
        <w:ind w:left="357" w:right="0" w:hanging="357"/>
        <w:rPr/>
      </w:pPr>
      <w:r>
        <w:rPr/>
        <w:t xml:space="preserve">Analysing, interpreting and synthesising complex information from a range of sources for use in project, policy and strategy response and development, presenting this to a variety of audiences in appropriate formats, with the ability to respond to queries in relation to the information. </w:t>
      </w:r>
    </w:p>
    <w:p>
      <w:pPr>
        <w:pStyle w:val="NormalWeb"/>
        <w:numPr>
          <w:ilvl w:val="0"/>
          <w:numId w:val="10"/>
        </w:numPr>
        <w:spacing w:before="120" w:after="0"/>
        <w:rPr>
          <w:rFonts w:ascii="Arial" w:hAnsi="Arial" w:cs="Arial"/>
        </w:rPr>
      </w:pPr>
      <w:r>
        <w:rPr>
          <w:rFonts w:cs="Arial" w:ascii="Arial" w:hAnsi="Arial"/>
        </w:rPr>
        <w:t>To write and present high quality briefings and reports, both independently and in collaboration with partners, on proposed policy initiatives to include evidence-led recommendations.</w:t>
      </w:r>
    </w:p>
    <w:p>
      <w:pPr>
        <w:pStyle w:val="NormalWeb"/>
        <w:numPr>
          <w:ilvl w:val="0"/>
          <w:numId w:val="10"/>
        </w:numPr>
        <w:spacing w:before="120" w:after="0"/>
        <w:rPr>
          <w:rFonts w:ascii="Arial" w:hAnsi="Arial" w:cs="Arial"/>
        </w:rPr>
      </w:pPr>
      <w:r>
        <w:rPr>
          <w:rFonts w:cs="Arial" w:ascii="Arial" w:hAnsi="Arial"/>
        </w:rPr>
        <w:t>Proactively overseeing the procurement and delivery of projects working closely with the contract monitoring team and policy leads ensuring they deliver quality and outcomes, effectively managing risk and taking appropriate action when progress or performance is not as expected.</w:t>
      </w:r>
    </w:p>
    <w:p>
      <w:pPr>
        <w:pStyle w:val="NormalWeb"/>
        <w:numPr>
          <w:ilvl w:val="0"/>
          <w:numId w:val="10"/>
        </w:numPr>
        <w:spacing w:before="120" w:after="0"/>
        <w:rPr>
          <w:rFonts w:ascii="Arial" w:hAnsi="Arial" w:cs="Arial"/>
        </w:rPr>
      </w:pPr>
      <w:r>
        <w:rPr>
          <w:rFonts w:cs="Arial" w:ascii="Arial" w:hAnsi="Arial"/>
        </w:rPr>
        <w:t xml:space="preserve">Establishing, developing and managing multiple strategic relationships with stakeholders including internal colleagues in GMCA and senior external colleagues in local authorities, delivery partners, government departments and other Mayoral Combined Authorities. </w:t>
      </w:r>
    </w:p>
    <w:p>
      <w:pPr>
        <w:pStyle w:val="Default"/>
        <w:widowControl/>
        <w:numPr>
          <w:ilvl w:val="0"/>
          <w:numId w:val="10"/>
        </w:numPr>
        <w:tabs>
          <w:tab w:val="clear" w:pos="720"/>
          <w:tab w:val="left" w:pos="1026" w:leader="none"/>
        </w:tabs>
        <w:spacing w:before="0" w:after="219"/>
        <w:rPr/>
      </w:pPr>
      <w:r>
        <w:rPr/>
        <w:t>To support commissioning activity in line with the strategic needs assessment and support bid assessment/development as directed to accord with delivery of the Deputy Mayor’s plans and priorities.</w:t>
      </w:r>
    </w:p>
    <w:p>
      <w:pPr>
        <w:pStyle w:val="Default"/>
        <w:widowControl/>
        <w:numPr>
          <w:ilvl w:val="0"/>
          <w:numId w:val="10"/>
        </w:numPr>
        <w:tabs>
          <w:tab w:val="clear" w:pos="720"/>
          <w:tab w:val="left" w:pos="1026" w:leader="none"/>
        </w:tabs>
        <w:spacing w:before="0" w:after="219"/>
        <w:ind w:left="357" w:right="0" w:hanging="357"/>
        <w:rPr/>
      </w:pPr>
      <w:r>
        <w:rPr/>
        <w:t xml:space="preserve">Influencing local and national policy and ways of working across geographies and services to support the delivery of the Greater Manchester Strategy and cohesion work. </w:t>
      </w:r>
    </w:p>
    <w:p>
      <w:pPr>
        <w:pStyle w:val="Default"/>
        <w:widowControl/>
        <w:numPr>
          <w:ilvl w:val="0"/>
          <w:numId w:val="10"/>
        </w:numPr>
        <w:tabs>
          <w:tab w:val="clear" w:pos="720"/>
          <w:tab w:val="left" w:pos="1026" w:leader="none"/>
        </w:tabs>
        <w:spacing w:before="0" w:after="219"/>
        <w:ind w:left="357" w:right="0" w:hanging="357"/>
        <w:rPr/>
      </w:pPr>
      <w:r>
        <w:rPr/>
        <w:t>To provide research and analysis to colleagues and Strategic/Executive Boards to inform and support delivery of short-term objectives, including responses to policy consultation and contributing to the decision-making processes which support the Deputy Mayor’s priorities across a range of policy areas.</w:t>
      </w:r>
    </w:p>
    <w:p>
      <w:pPr>
        <w:pStyle w:val="Default"/>
        <w:widowControl/>
        <w:numPr>
          <w:ilvl w:val="0"/>
          <w:numId w:val="10"/>
        </w:numPr>
        <w:tabs>
          <w:tab w:val="clear" w:pos="720"/>
          <w:tab w:val="left" w:pos="1026" w:leader="none"/>
        </w:tabs>
        <w:spacing w:before="0" w:after="219"/>
        <w:rPr/>
      </w:pPr>
      <w:r>
        <w:rPr/>
        <w:t>Financial management of agreed GM funding for cohesion programme activity and to identify new funding and innovative collaboration opportunities.</w:t>
      </w:r>
    </w:p>
    <w:p>
      <w:pPr>
        <w:pStyle w:val="Heading2"/>
        <w:shd w:fill="004F6E" w:val="clear"/>
        <w:rPr>
          <w:rFonts w:cs="Arial"/>
          <w:sz w:val="24"/>
          <w:szCs w:val="24"/>
        </w:rPr>
      </w:pPr>
      <w:r>
        <w:rPr>
          <w:rFonts w:cs="Arial"/>
          <w:sz w:val="24"/>
          <w:szCs w:val="24"/>
        </w:rPr>
        <w:t>General</w:t>
      </w:r>
    </w:p>
    <w:p>
      <w:pPr>
        <w:pStyle w:val="ListParagraph"/>
        <w:numPr>
          <w:ilvl w:val="0"/>
          <w:numId w:val="11"/>
        </w:numPr>
        <w:spacing w:lineRule="auto" w:line="240" w:before="0" w:after="219"/>
        <w:ind w:left="357" w:right="0" w:hanging="357"/>
        <w:rPr>
          <w:highlight w:val="white"/>
          <w:u w:val="none" w:color="000000"/>
          <w:lang w:val="en-US"/>
        </w:rPr>
      </w:pPr>
      <w:r>
        <w:rPr>
          <w:u w:val="none" w:color="000000"/>
          <w:shd w:fill="FFFFFF" w:val="clear"/>
          <w:lang w:val="en-US"/>
        </w:rPr>
        <w:t>Support senior officers and political leaders in Government liaison and dialogue.</w:t>
      </w:r>
    </w:p>
    <w:p>
      <w:pPr>
        <w:pStyle w:val="ListParagraph"/>
        <w:numPr>
          <w:ilvl w:val="0"/>
          <w:numId w:val="11"/>
        </w:numPr>
        <w:spacing w:lineRule="auto" w:line="240" w:before="0" w:after="219"/>
        <w:ind w:left="357" w:right="0" w:hanging="357"/>
        <w:rPr>
          <w:highlight w:val="white"/>
          <w:u w:val="none" w:color="000000"/>
          <w:lang w:val="en-US"/>
        </w:rPr>
      </w:pPr>
      <w:r>
        <w:rPr>
          <w:u w:val="none" w:color="000000"/>
          <w:shd w:fill="FFFFFF" w:val="clear"/>
          <w:lang w:val="en-US"/>
        </w:rPr>
        <w:t>Work closely with other officers across the Greater Manchester Combined Authority and within the 10 boroughs and partners to coordinate policies and workstreams with a particular focus on safer and stronger communities; communications, live well and equalities.</w:t>
      </w:r>
    </w:p>
    <w:p>
      <w:pPr>
        <w:pStyle w:val="ListParagraph"/>
        <w:numPr>
          <w:ilvl w:val="0"/>
          <w:numId w:val="11"/>
        </w:numPr>
        <w:spacing w:lineRule="auto" w:line="240" w:before="0" w:after="219"/>
        <w:ind w:left="357" w:right="0" w:hanging="357"/>
        <w:rPr>
          <w:highlight w:val="white"/>
          <w:u w:val="none" w:color="000000"/>
          <w:lang w:val="en-US"/>
        </w:rPr>
      </w:pPr>
      <w:r>
        <w:rPr>
          <w:u w:val="none" w:color="000000"/>
          <w:shd w:fill="FFFFFF" w:val="clear"/>
          <w:lang w:val="en-US"/>
        </w:rPr>
        <w:t>Liaise with key regional and national partners on the delivery of the cohesion programme.</w:t>
      </w:r>
    </w:p>
    <w:p>
      <w:pPr>
        <w:pStyle w:val="ListParagraph"/>
        <w:numPr>
          <w:ilvl w:val="0"/>
          <w:numId w:val="11"/>
        </w:numPr>
        <w:spacing w:lineRule="auto" w:line="240" w:before="0" w:after="219"/>
        <w:ind w:left="357" w:right="0" w:hanging="357"/>
        <w:rPr>
          <w:highlight w:val="white"/>
        </w:rPr>
      </w:pPr>
      <w:r>
        <w:rPr>
          <w:shd w:fill="FFFFFF" w:val="clear"/>
        </w:rPr>
        <w:t>Provide strategic support and oversight of the correspondence function to enable the Mayor and Deputy Mayor to be able to respond to complex cases.</w:t>
      </w:r>
    </w:p>
    <w:p>
      <w:pPr>
        <w:pStyle w:val="Default"/>
        <w:widowControl/>
        <w:numPr>
          <w:ilvl w:val="0"/>
          <w:numId w:val="11"/>
        </w:numPr>
        <w:tabs>
          <w:tab w:val="clear" w:pos="720"/>
          <w:tab w:val="left" w:pos="1026" w:leader="none"/>
        </w:tabs>
        <w:spacing w:before="0" w:after="219"/>
        <w:ind w:left="357" w:right="0" w:hanging="357"/>
        <w:rPr/>
      </w:pPr>
      <w:r>
        <w:rPr/>
        <w:t>To work as directed on projects which support delivery of the Deputy Mayor’s portfolio.</w:t>
      </w:r>
    </w:p>
    <w:p>
      <w:pPr>
        <w:pStyle w:val="ListParagraph"/>
        <w:numPr>
          <w:ilvl w:val="0"/>
          <w:numId w:val="11"/>
        </w:numPr>
        <w:spacing w:lineRule="auto" w:line="240" w:before="0" w:after="219"/>
        <w:ind w:left="357" w:right="0" w:hanging="357"/>
        <w:rPr>
          <w:szCs w:val="24"/>
        </w:rPr>
      </w:pPr>
      <w:r>
        <w:rPr>
          <w:szCs w:val="24"/>
        </w:rPr>
        <w:t>Deputising for Assistant Director and Deputy Mayor at meetings and events.</w:t>
      </w:r>
    </w:p>
    <w:p>
      <w:pPr>
        <w:pStyle w:val="ListParagraph"/>
        <w:numPr>
          <w:ilvl w:val="0"/>
          <w:numId w:val="3"/>
        </w:numPr>
        <w:spacing w:lineRule="auto" w:line="240" w:before="0" w:after="219"/>
        <w:ind w:left="357" w:right="0" w:hanging="357"/>
        <w:rPr>
          <w:rFonts w:cs="Arial"/>
          <w:color w:val="auto"/>
        </w:rPr>
      </w:pPr>
      <w:r>
        <w:rPr>
          <w:rFonts w:cs="Arial"/>
          <w:color w:val="auto"/>
        </w:rPr>
        <w:t>To always hold yourself and others to a high standard of professionalism, demonstrating your commitment to our values and behaviours as well as ensuring service confidentiality is maintained throughout all we do.</w:t>
      </w:r>
    </w:p>
    <w:p>
      <w:pPr>
        <w:pStyle w:val="ListParagraph"/>
        <w:numPr>
          <w:ilvl w:val="0"/>
          <w:numId w:val="11"/>
        </w:numPr>
        <w:spacing w:lineRule="auto" w:line="240" w:before="0" w:after="219"/>
        <w:ind w:left="357" w:right="0" w:hanging="357"/>
        <w:rPr>
          <w:rFonts w:eastAsia="Arial" w:cs="Arial"/>
          <w:color w:val="auto"/>
          <w:szCs w:val="24"/>
        </w:rPr>
      </w:pPr>
      <w:r>
        <w:rPr>
          <w:rFonts w:eastAsia="Arial" w:cs="Arial"/>
          <w:color w:val="auto"/>
          <w:szCs w:val="24"/>
        </w:rPr>
        <w:t>Working with other teams internally and externally collaboration is maximised and supporting on activity where appropriate.</w:t>
      </w:r>
    </w:p>
    <w:p>
      <w:pPr>
        <w:pStyle w:val="ListParagraph"/>
        <w:numPr>
          <w:ilvl w:val="0"/>
          <w:numId w:val="11"/>
        </w:numPr>
        <w:spacing w:lineRule="auto" w:line="240" w:before="0" w:after="219"/>
        <w:ind w:left="357" w:right="0" w:hanging="357"/>
        <w:rPr>
          <w:color w:val="auto"/>
        </w:rPr>
      </w:pPr>
      <w:r>
        <w:rPr>
          <w:color w:val="auto"/>
        </w:rPr>
        <w:t>Ensure the services delivered internally and externally are inclusive and accessible.</w:t>
      </w:r>
    </w:p>
    <w:p>
      <w:pPr>
        <w:pStyle w:val="ListParagraph"/>
        <w:numPr>
          <w:ilvl w:val="0"/>
          <w:numId w:val="3"/>
        </w:numPr>
        <w:spacing w:lineRule="auto" w:line="240" w:before="0" w:after="219"/>
        <w:ind w:left="357" w:right="0" w:hanging="357"/>
        <w:rPr>
          <w:rFonts w:cs="Arial"/>
          <w:color w:val="auto"/>
        </w:rPr>
      </w:pPr>
      <w:r>
        <w:rPr>
          <w:rFonts w:cs="Arial"/>
          <w:color w:val="auto"/>
        </w:rPr>
        <w:t xml:space="preserve">To align work area to the Sustainability Strategy and ensure work practices are inclusive of this value &amp; strategic intent. </w:t>
      </w:r>
    </w:p>
    <w:p>
      <w:pPr>
        <w:pStyle w:val="Normal"/>
        <w:rPr>
          <w:rFonts w:cs="Arial"/>
          <w:b/>
          <w:b/>
          <w:color w:val="auto"/>
        </w:rPr>
      </w:pPr>
      <w:r>
        <w:rPr>
          <w:rFonts w:cs="Arial"/>
          <w:b/>
          <w:color w:val="auto"/>
        </w:rPr>
        <w:t>NB: This list of duties and responsibilities is by no means exhaustive, and the post holder may be required to undertake other relevant and appropriate duties as required.</w:t>
      </w:r>
    </w:p>
    <w:p>
      <w:pPr>
        <w:pStyle w:val="Heading2"/>
        <w:shd w:fill="004F6E" w:val="clear"/>
        <w:rPr>
          <w:rFonts w:cs="Arial"/>
          <w:sz w:val="24"/>
          <w:szCs w:val="24"/>
        </w:rPr>
      </w:pPr>
      <w:r>
        <w:rPr>
          <w:rFonts w:cs="Arial"/>
          <w:sz w:val="24"/>
          <w:szCs w:val="24"/>
        </w:rPr>
        <w:t>Knowledge, Skills, and Experience</w:t>
      </w:r>
    </w:p>
    <w:p>
      <w:pPr>
        <w:pStyle w:val="Heading3"/>
        <w:rPr>
          <w:rFonts w:cs="Arial"/>
          <w:b/>
          <w:b/>
          <w:bCs/>
          <w:sz w:val="24"/>
        </w:rPr>
      </w:pPr>
      <w:r>
        <w:rPr>
          <w:rFonts w:cs="Arial"/>
          <w:b/>
          <w:bCs/>
          <w:sz w:val="24"/>
        </w:rPr>
        <w:t>Qualifications</w:t>
      </w:r>
    </w:p>
    <w:p>
      <w:pPr>
        <w:pStyle w:val="Default"/>
        <w:widowControl/>
        <w:numPr>
          <w:ilvl w:val="0"/>
          <w:numId w:val="8"/>
        </w:numPr>
        <w:tabs>
          <w:tab w:val="clear" w:pos="720"/>
          <w:tab w:val="left" w:pos="1026" w:leader="none"/>
        </w:tabs>
        <w:rPr/>
      </w:pPr>
      <w:r>
        <w:rPr/>
        <w:t>Educated to degree level, or equivalent relevant experience in the development and delivery of public policy.</w:t>
      </w:r>
    </w:p>
    <w:p>
      <w:pPr>
        <w:pStyle w:val="Default"/>
        <w:widowControl/>
        <w:tabs>
          <w:tab w:val="clear" w:pos="720"/>
          <w:tab w:val="left" w:pos="1026" w:leader="none"/>
        </w:tabs>
        <w:ind w:left="720" w:right="0" w:hanging="0"/>
        <w:rPr/>
      </w:pPr>
      <w:r>
        <w:rPr/>
      </w:r>
    </w:p>
    <w:p>
      <w:pPr>
        <w:pStyle w:val="Heading3"/>
        <w:rPr>
          <w:rFonts w:cs="Arial"/>
          <w:b/>
          <w:b/>
          <w:bCs/>
          <w:sz w:val="24"/>
        </w:rPr>
      </w:pPr>
      <w:r>
        <w:rPr>
          <w:rFonts w:cs="Arial"/>
          <w:b/>
          <w:bCs/>
          <w:sz w:val="24"/>
        </w:rPr>
        <w:t>Desirable</w:t>
      </w:r>
    </w:p>
    <w:p>
      <w:pPr>
        <w:pStyle w:val="Heading3"/>
        <w:numPr>
          <w:ilvl w:val="0"/>
          <w:numId w:val="7"/>
        </w:numPr>
        <w:rPr>
          <w:rFonts w:cs="Arial"/>
          <w:sz w:val="24"/>
        </w:rPr>
      </w:pPr>
      <w:r>
        <w:rPr>
          <w:rFonts w:cs="Arial"/>
          <w:sz w:val="24"/>
        </w:rPr>
        <w:t>Community development experience/background</w:t>
      </w:r>
    </w:p>
    <w:p>
      <w:pPr>
        <w:pStyle w:val="Heading3"/>
        <w:numPr>
          <w:ilvl w:val="0"/>
          <w:numId w:val="7"/>
        </w:numPr>
        <w:rPr>
          <w:rFonts w:cs="Arial"/>
          <w:sz w:val="24"/>
        </w:rPr>
      </w:pPr>
      <w:r>
        <w:rPr>
          <w:rFonts w:cs="Arial"/>
          <w:sz w:val="24"/>
        </w:rPr>
        <w:t xml:space="preserve">Project management qualification or relevant experience </w:t>
      </w:r>
    </w:p>
    <w:p>
      <w:pPr>
        <w:pStyle w:val="Normal"/>
        <w:rPr/>
      </w:pPr>
      <w:r>
        <w:rPr/>
      </w:r>
    </w:p>
    <w:p>
      <w:pPr>
        <w:pStyle w:val="Heading3"/>
        <w:rPr>
          <w:rFonts w:cs="Arial"/>
          <w:b/>
          <w:b/>
          <w:bCs/>
          <w:sz w:val="24"/>
        </w:rPr>
      </w:pPr>
      <w:r>
        <w:rPr>
          <w:rFonts w:cs="Arial"/>
          <w:b/>
          <w:bCs/>
          <w:sz w:val="24"/>
        </w:rPr>
        <w:t>Knowledge and Experience</w:t>
      </w:r>
    </w:p>
    <w:p>
      <w:pPr>
        <w:pStyle w:val="Default"/>
        <w:widowControl/>
        <w:numPr>
          <w:ilvl w:val="0"/>
          <w:numId w:val="6"/>
        </w:numPr>
        <w:tabs>
          <w:tab w:val="clear" w:pos="720"/>
          <w:tab w:val="left" w:pos="1026" w:leader="none"/>
        </w:tabs>
        <w:rPr/>
      </w:pPr>
      <w:r>
        <w:rPr/>
        <w:t>A proven track record of working with communities, lived experience, the Voluntary, Community, Faith and Social Enterprise groups directly.</w:t>
      </w:r>
    </w:p>
    <w:p>
      <w:pPr>
        <w:pStyle w:val="Default"/>
        <w:widowControl/>
        <w:numPr>
          <w:ilvl w:val="0"/>
          <w:numId w:val="6"/>
        </w:numPr>
        <w:tabs>
          <w:tab w:val="clear" w:pos="720"/>
          <w:tab w:val="left" w:pos="1026" w:leader="none"/>
        </w:tabs>
        <w:rPr/>
      </w:pPr>
      <w:r>
        <w:rPr/>
        <w:t>Evidence of the ability to develop understanding and competency in public sector commissioning and contract monitoring.</w:t>
      </w:r>
    </w:p>
    <w:p>
      <w:pPr>
        <w:pStyle w:val="Default"/>
        <w:widowControl/>
        <w:numPr>
          <w:ilvl w:val="0"/>
          <w:numId w:val="6"/>
        </w:numPr>
        <w:tabs>
          <w:tab w:val="clear" w:pos="720"/>
          <w:tab w:val="left" w:pos="1026" w:leader="none"/>
        </w:tabs>
        <w:rPr/>
      </w:pPr>
      <w:r>
        <w:rPr/>
        <w:t>Detailed understanding of the drivers of community relations and knowledge of inclusive policy development methods.</w:t>
      </w:r>
    </w:p>
    <w:p>
      <w:pPr>
        <w:pStyle w:val="Default"/>
        <w:widowControl/>
        <w:numPr>
          <w:ilvl w:val="0"/>
          <w:numId w:val="6"/>
        </w:numPr>
        <w:tabs>
          <w:tab w:val="clear" w:pos="720"/>
          <w:tab w:val="left" w:pos="1026" w:leader="none"/>
        </w:tabs>
        <w:rPr/>
      </w:pPr>
      <w:r>
        <w:rPr/>
        <w:t xml:space="preserve">Experience of operating within a complex political environment. </w:t>
      </w:r>
    </w:p>
    <w:p>
      <w:pPr>
        <w:pStyle w:val="Default"/>
        <w:widowControl/>
        <w:numPr>
          <w:ilvl w:val="0"/>
          <w:numId w:val="6"/>
        </w:numPr>
        <w:tabs>
          <w:tab w:val="clear" w:pos="720"/>
          <w:tab w:val="left" w:pos="1026" w:leader="none"/>
        </w:tabs>
        <w:rPr/>
      </w:pPr>
      <w:r>
        <w:rPr/>
        <w:t>Relevant up to date knowledge of local government rules and regulations and the national issues affecting the delivery of local public services.</w:t>
      </w:r>
    </w:p>
    <w:p>
      <w:pPr>
        <w:pStyle w:val="Default"/>
        <w:widowControl/>
        <w:numPr>
          <w:ilvl w:val="0"/>
          <w:numId w:val="6"/>
        </w:numPr>
        <w:tabs>
          <w:tab w:val="clear" w:pos="720"/>
          <w:tab w:val="left" w:pos="1026" w:leader="none"/>
        </w:tabs>
        <w:rPr/>
      </w:pPr>
      <w:r>
        <w:rPr/>
        <w:t>Evidence of policy development and strategy implementation.</w:t>
      </w:r>
    </w:p>
    <w:p>
      <w:pPr>
        <w:pStyle w:val="Default"/>
        <w:widowControl/>
        <w:numPr>
          <w:ilvl w:val="0"/>
          <w:numId w:val="6"/>
        </w:numPr>
        <w:tabs>
          <w:tab w:val="clear" w:pos="720"/>
          <w:tab w:val="left" w:pos="1026" w:leader="none"/>
        </w:tabs>
        <w:rPr/>
      </w:pPr>
      <w:r>
        <w:rPr/>
        <w:t>Experience of leading on programmes with multiple stakeholders from different teams and/or organisations and cultures in a complex environment.</w:t>
      </w:r>
    </w:p>
    <w:p>
      <w:pPr>
        <w:pStyle w:val="Default"/>
        <w:widowControl/>
        <w:numPr>
          <w:ilvl w:val="0"/>
          <w:numId w:val="6"/>
        </w:numPr>
        <w:tabs>
          <w:tab w:val="clear" w:pos="720"/>
          <w:tab w:val="left" w:pos="1026" w:leader="none"/>
        </w:tabs>
        <w:rPr>
          <w:color w:val="auto"/>
        </w:rPr>
      </w:pPr>
      <w:r>
        <w:rPr>
          <w:color w:val="auto"/>
        </w:rPr>
        <w:t>Experience of successful bid writing/bringing in funding sources.</w:t>
      </w:r>
    </w:p>
    <w:p>
      <w:pPr>
        <w:pStyle w:val="Default"/>
        <w:widowControl/>
        <w:numPr>
          <w:ilvl w:val="0"/>
          <w:numId w:val="6"/>
        </w:numPr>
        <w:tabs>
          <w:tab w:val="clear" w:pos="720"/>
          <w:tab w:val="left" w:pos="1026" w:leader="none"/>
        </w:tabs>
        <w:rPr/>
      </w:pPr>
      <w:r>
        <w:rPr/>
        <w:t>Proven ability to influence and develop joint objectives with senior stakeholders and decision makers to collaboratively achieve GMCA’s objectives through partnership working.</w:t>
      </w:r>
    </w:p>
    <w:p>
      <w:pPr>
        <w:pStyle w:val="Default"/>
        <w:widowControl/>
        <w:numPr>
          <w:ilvl w:val="0"/>
          <w:numId w:val="6"/>
        </w:numPr>
        <w:tabs>
          <w:tab w:val="clear" w:pos="720"/>
          <w:tab w:val="left" w:pos="1026" w:leader="none"/>
        </w:tabs>
        <w:rPr/>
      </w:pPr>
      <w:r>
        <w:rPr/>
        <w:t>Proven ability to establish and maintain positive relationships with staff at all levels, and external organisations, partnerships and individuals, which generate confidence, respect and trust.</w:t>
      </w:r>
    </w:p>
    <w:p>
      <w:pPr>
        <w:pStyle w:val="Default"/>
        <w:widowControl/>
        <w:numPr>
          <w:ilvl w:val="0"/>
          <w:numId w:val="6"/>
        </w:numPr>
        <w:tabs>
          <w:tab w:val="clear" w:pos="720"/>
          <w:tab w:val="left" w:pos="1026" w:leader="none"/>
        </w:tabs>
        <w:rPr/>
      </w:pPr>
      <w:r>
        <w:rPr/>
        <w:t>Demonstrable understanding of the role of the Deputy Mayor and wider GMCA.</w:t>
      </w:r>
      <w:bookmarkStart w:id="0" w:name="_Hlk134519983"/>
      <w:bookmarkEnd w:id="0"/>
    </w:p>
    <w:p>
      <w:pPr>
        <w:pStyle w:val="Default"/>
        <w:tabs>
          <w:tab w:val="clear" w:pos="720"/>
          <w:tab w:val="left" w:pos="1026" w:leader="none"/>
        </w:tabs>
        <w:ind w:left="360" w:right="0" w:hanging="0"/>
        <w:rPr/>
      </w:pPr>
      <w:r>
        <w:rPr/>
      </w:r>
    </w:p>
    <w:p>
      <w:pPr>
        <w:pStyle w:val="Normal"/>
        <w:rPr/>
      </w:pPr>
      <w:r>
        <w:rPr/>
      </w:r>
    </w:p>
    <w:p>
      <w:pPr>
        <w:pStyle w:val="Heading3"/>
        <w:rPr/>
      </w:pPr>
      <w:r>
        <w:rPr>
          <w:rFonts w:cs="Arial"/>
          <w:b/>
          <w:bCs/>
          <w:sz w:val="24"/>
        </w:rPr>
        <w:t>Skills, Values</w:t>
      </w:r>
      <w:r>
        <w:rPr>
          <w:rFonts w:cs="Arial"/>
          <w:b/>
          <w:bCs/>
          <w:spacing w:val="-3"/>
          <w:sz w:val="24"/>
        </w:rPr>
        <w:t xml:space="preserve"> </w:t>
      </w:r>
      <w:r>
        <w:rPr>
          <w:rFonts w:cs="Arial"/>
          <w:b/>
          <w:bCs/>
          <w:sz w:val="24"/>
        </w:rPr>
        <w:t>&amp;</w:t>
      </w:r>
      <w:r>
        <w:rPr>
          <w:rFonts w:cs="Arial"/>
          <w:b/>
          <w:bCs/>
          <w:spacing w:val="-3"/>
          <w:sz w:val="24"/>
        </w:rPr>
        <w:t xml:space="preserve"> </w:t>
      </w:r>
      <w:r>
        <w:rPr>
          <w:rFonts w:cs="Arial"/>
          <w:b/>
          <w:bCs/>
          <w:sz w:val="24"/>
        </w:rPr>
        <w:t>Behaviours</w:t>
      </w:r>
    </w:p>
    <w:p>
      <w:pPr>
        <w:pStyle w:val="ListParagraph"/>
        <w:widowControl/>
        <w:numPr>
          <w:ilvl w:val="0"/>
          <w:numId w:val="9"/>
        </w:numPr>
        <w:spacing w:lineRule="auto" w:line="240" w:before="120" w:after="0"/>
        <w:rPr/>
      </w:pPr>
      <w:r>
        <w:rPr>
          <w:rFonts w:cs="Arial"/>
          <w:bCs/>
        </w:rPr>
        <w:t xml:space="preserve">Ability to work at a </w:t>
      </w:r>
      <w:r>
        <w:rPr>
          <w:rFonts w:cs="Arial"/>
          <w:b/>
        </w:rPr>
        <w:t xml:space="preserve">senior level in a complex environment </w:t>
      </w:r>
      <w:r>
        <w:rPr>
          <w:rFonts w:cs="Arial"/>
          <w:bCs/>
        </w:rPr>
        <w:t>building and driving effective relationships with multiple stakeholders from different organisations and cultures, taking lead responsibility for ensuring commitments are followed through and impact delivered.</w:t>
      </w:r>
    </w:p>
    <w:p>
      <w:pPr>
        <w:pStyle w:val="ListParagraph"/>
        <w:widowControl/>
        <w:numPr>
          <w:ilvl w:val="0"/>
          <w:numId w:val="9"/>
        </w:numPr>
        <w:spacing w:lineRule="auto" w:line="240" w:before="120" w:after="0"/>
        <w:rPr/>
      </w:pPr>
      <w:r>
        <w:rPr>
          <w:rFonts w:cs="Arial"/>
          <w:b/>
        </w:rPr>
        <w:t>Strategic thinking and planning:</w:t>
      </w:r>
      <w:r>
        <w:rPr>
          <w:rFonts w:cs="Arial"/>
        </w:rPr>
        <w:t xml:space="preserve"> able to work collaboratively to translate strategic and conceptual thinking into tangible proposals and objectives and practical well organised plans. </w:t>
      </w:r>
    </w:p>
    <w:p>
      <w:pPr>
        <w:pStyle w:val="ListParagraph"/>
        <w:widowControl/>
        <w:numPr>
          <w:ilvl w:val="0"/>
          <w:numId w:val="9"/>
        </w:numPr>
        <w:spacing w:lineRule="auto" w:line="240" w:before="120" w:after="0"/>
        <w:rPr/>
      </w:pPr>
      <w:r>
        <w:rPr>
          <w:rFonts w:cs="Arial"/>
          <w:b/>
        </w:rPr>
        <w:t>Programme Management:</w:t>
      </w:r>
      <w:r>
        <w:rPr>
          <w:rFonts w:cs="Arial"/>
        </w:rPr>
        <w:t xml:space="preserve"> able to define, document and manage through to implementation multiple, complex projects with significant business impact, and high-risk dependencies.</w:t>
      </w:r>
    </w:p>
    <w:p>
      <w:pPr>
        <w:pStyle w:val="ListParagraph"/>
        <w:widowControl/>
        <w:numPr>
          <w:ilvl w:val="0"/>
          <w:numId w:val="3"/>
        </w:numPr>
        <w:spacing w:lineRule="auto" w:line="240" w:before="120" w:after="0"/>
        <w:rPr/>
      </w:pPr>
      <w:r>
        <w:rPr>
          <w:rFonts w:cs="Arial"/>
          <w:b/>
          <w:bCs/>
        </w:rPr>
        <w:t>Contract management:</w:t>
      </w:r>
      <w:r>
        <w:rPr>
          <w:rFonts w:cs="Arial"/>
        </w:rPr>
        <w:t xml:space="preserve"> including a working understanding of public procurement processes, contract and grant management and bid writing.</w:t>
      </w:r>
    </w:p>
    <w:p>
      <w:pPr>
        <w:pStyle w:val="ListParagraph"/>
        <w:widowControl/>
        <w:numPr>
          <w:ilvl w:val="0"/>
          <w:numId w:val="9"/>
        </w:numPr>
        <w:spacing w:lineRule="auto" w:line="240" w:before="120" w:after="0"/>
        <w:rPr/>
      </w:pPr>
      <w:r>
        <w:rPr>
          <w:rFonts w:cs="Arial"/>
          <w:b/>
        </w:rPr>
        <w:t>Communication and Influence:</w:t>
      </w:r>
      <w:r>
        <w:rPr>
          <w:rFonts w:cs="Arial"/>
        </w:rPr>
        <w:t xml:space="preserve"> ability to influence and persuade internal or external stakeholders, securing and directing necessary commitment and resources to deliver results. </w:t>
      </w:r>
    </w:p>
    <w:p>
      <w:pPr>
        <w:pStyle w:val="ListParagraph"/>
        <w:widowControl/>
        <w:numPr>
          <w:ilvl w:val="0"/>
          <w:numId w:val="9"/>
        </w:numPr>
        <w:spacing w:lineRule="auto" w:line="240" w:before="120" w:after="0"/>
        <w:rPr/>
      </w:pPr>
      <w:r>
        <w:rPr>
          <w:rFonts w:cs="Arial"/>
          <w:b/>
        </w:rPr>
        <w:t>Commissioning Skills</w:t>
      </w:r>
      <w:r>
        <w:rPr>
          <w:rFonts w:cs="Arial"/>
        </w:rPr>
        <w:t>: demonstrates sound business intelligence and ability to identify commercially viable opportunities and secure value for money in product and service delivery.</w:t>
      </w:r>
    </w:p>
    <w:p>
      <w:pPr>
        <w:pStyle w:val="ListParagraph"/>
        <w:widowControl/>
        <w:numPr>
          <w:ilvl w:val="0"/>
          <w:numId w:val="9"/>
        </w:numPr>
        <w:spacing w:lineRule="auto" w:line="240" w:before="120" w:after="0"/>
        <w:rPr/>
      </w:pPr>
      <w:r>
        <w:rPr>
          <w:rFonts w:cs="Arial"/>
          <w:b/>
        </w:rPr>
        <w:t>Analytical Skills:</w:t>
      </w:r>
      <w:r>
        <w:rPr>
          <w:rFonts w:cs="Arial"/>
        </w:rPr>
        <w:t xml:space="preserve"> Ability to review and interpret research, evidence, policy and strategy and synthesise for a range of audiences in a range of formats.</w:t>
      </w:r>
    </w:p>
    <w:p>
      <w:pPr>
        <w:pStyle w:val="ListParagraph"/>
        <w:widowControl/>
        <w:numPr>
          <w:ilvl w:val="0"/>
          <w:numId w:val="9"/>
        </w:numPr>
        <w:spacing w:lineRule="auto" w:line="240" w:before="120" w:after="0"/>
        <w:rPr/>
      </w:pPr>
      <w:r>
        <w:rPr>
          <w:rFonts w:cs="Arial"/>
          <w:b/>
        </w:rPr>
        <w:t>Financial Management:</w:t>
      </w:r>
      <w:r>
        <w:rPr>
          <w:rFonts w:cs="Arial"/>
        </w:rPr>
        <w:t xml:space="preserve"> excellent financial planning skills to develop short, medium and long term financial plans with an ability to budget proactively. </w:t>
      </w:r>
    </w:p>
    <w:p>
      <w:pPr>
        <w:pStyle w:val="ListParagraph"/>
        <w:widowControl/>
        <w:numPr>
          <w:ilvl w:val="0"/>
          <w:numId w:val="9"/>
        </w:numPr>
        <w:spacing w:lineRule="auto" w:line="240" w:before="120" w:after="0"/>
        <w:rPr/>
      </w:pPr>
      <w:r>
        <w:rPr>
          <w:rFonts w:cs="Arial"/>
          <w:b/>
        </w:rPr>
        <w:t>Excellent written, IT and presentation skills:</w:t>
      </w:r>
      <w:r>
        <w:rPr>
          <w:rFonts w:cs="Arial"/>
        </w:rPr>
        <w:t xml:space="preserve"> capable of constructing and delivering clear ideas and concepts concisely and accurately for diverse audiences. </w:t>
      </w:r>
    </w:p>
    <w:p>
      <w:pPr>
        <w:pStyle w:val="ListParagraph"/>
        <w:widowControl/>
        <w:numPr>
          <w:ilvl w:val="0"/>
          <w:numId w:val="9"/>
        </w:numPr>
        <w:spacing w:lineRule="auto" w:line="240" w:before="120" w:after="0"/>
        <w:rPr/>
      </w:pPr>
      <w:r>
        <w:rPr>
          <w:rFonts w:cs="Arial"/>
        </w:rPr>
        <w:t xml:space="preserve">Awareness and understanding of the </w:t>
      </w:r>
      <w:r>
        <w:rPr>
          <w:rFonts w:cs="Arial"/>
          <w:b/>
        </w:rPr>
        <w:t>current opportunities and issues facing local government and the wider public sector.</w:t>
      </w:r>
    </w:p>
    <w:p>
      <w:pPr>
        <w:pStyle w:val="ListParagraph"/>
        <w:widowControl/>
        <w:numPr>
          <w:ilvl w:val="0"/>
          <w:numId w:val="9"/>
        </w:numPr>
        <w:spacing w:lineRule="auto" w:line="240" w:before="120" w:after="0"/>
        <w:rPr/>
      </w:pPr>
      <w:r>
        <w:rPr>
          <w:rFonts w:cs="Arial"/>
          <w:b/>
        </w:rPr>
        <w:t>Political sensitivity</w:t>
      </w:r>
      <w:r>
        <w:rPr>
          <w:rFonts w:cs="Arial"/>
          <w:bCs/>
        </w:rPr>
        <w:t xml:space="preserve"> and awareness.</w:t>
      </w:r>
    </w:p>
    <w:p>
      <w:pPr>
        <w:pStyle w:val="ListParagraph"/>
        <w:widowControl/>
        <w:numPr>
          <w:ilvl w:val="0"/>
          <w:numId w:val="9"/>
        </w:numPr>
        <w:spacing w:lineRule="auto" w:line="240" w:before="120" w:after="0"/>
        <w:rPr/>
      </w:pPr>
      <w:r>
        <w:rPr>
          <w:rFonts w:cs="Arial"/>
          <w:b/>
        </w:rPr>
        <w:t>Personally well organised</w:t>
      </w:r>
      <w:r>
        <w:rPr>
          <w:rFonts w:cs="Arial"/>
        </w:rPr>
        <w:t xml:space="preserve"> with the ability to identify and work to priorities. </w:t>
      </w:r>
    </w:p>
    <w:p>
      <w:pPr>
        <w:pStyle w:val="ListParagraph"/>
        <w:numPr>
          <w:ilvl w:val="0"/>
          <w:numId w:val="9"/>
        </w:numPr>
        <w:spacing w:lineRule="auto" w:line="240" w:before="120" w:after="0"/>
        <w:rPr>
          <w:color w:val="auto"/>
          <w:szCs w:val="24"/>
        </w:rPr>
      </w:pPr>
      <w:r>
        <w:rPr>
          <w:color w:val="auto"/>
          <w:szCs w:val="24"/>
        </w:rPr>
        <w:t>Strong management and leadership skills.</w:t>
      </w:r>
    </w:p>
    <w:p>
      <w:pPr>
        <w:pStyle w:val="ListParagraph"/>
        <w:numPr>
          <w:ilvl w:val="0"/>
          <w:numId w:val="9"/>
        </w:numPr>
        <w:spacing w:lineRule="auto" w:line="240" w:before="120" w:after="0"/>
        <w:rPr>
          <w:color w:val="auto"/>
          <w:szCs w:val="24"/>
        </w:rPr>
      </w:pPr>
      <w:r>
        <w:rPr>
          <w:color w:val="auto"/>
          <w:szCs w:val="24"/>
        </w:rPr>
        <w:t>To be willing to work flexibly as occasional evening and weekend working may be required</w:t>
      </w:r>
    </w:p>
    <w:p>
      <w:pPr>
        <w:pStyle w:val="ListParagraph"/>
        <w:numPr>
          <w:ilvl w:val="0"/>
          <w:numId w:val="9"/>
        </w:numPr>
        <w:spacing w:lineRule="auto" w:line="240" w:before="120" w:after="0"/>
        <w:rPr>
          <w:color w:val="auto"/>
          <w:szCs w:val="24"/>
        </w:rPr>
      </w:pPr>
      <w:r>
        <w:rPr>
          <w:color w:val="auto"/>
          <w:szCs w:val="24"/>
        </w:rPr>
        <w:t>Willingness and ability to travel across the county when required, within a reasonable time to meet the role demands (individuals providing their own vehicle for use will be eligible for casual car user rate).</w:t>
      </w:r>
    </w:p>
    <w:p>
      <w:pPr>
        <w:pStyle w:val="ListParagraph"/>
        <w:numPr>
          <w:ilvl w:val="0"/>
          <w:numId w:val="3"/>
        </w:numPr>
        <w:spacing w:lineRule="auto" w:line="240" w:before="120" w:after="0"/>
        <w:rPr>
          <w:color w:val="auto"/>
        </w:rPr>
      </w:pPr>
      <w:r>
        <w:rPr>
          <w:color w:val="auto"/>
        </w:rPr>
        <w:t>Willingness to travel nationally as required.</w:t>
      </w:r>
    </w:p>
    <w:p>
      <w:pPr>
        <w:pStyle w:val="Normal"/>
        <w:rPr>
          <w:rFonts w:cs="Arial"/>
          <w:color w:val="FF0000"/>
          <w:szCs w:val="24"/>
        </w:rPr>
      </w:pPr>
      <w:r>
        <w:rPr>
          <w:rFonts w:cs="Arial"/>
          <w:color w:val="FF0000"/>
          <w:szCs w:val="24"/>
        </w:rPr>
      </w:r>
    </w:p>
    <w:p>
      <w:pPr>
        <w:pStyle w:val="Normal"/>
        <w:spacing w:before="240" w:after="240"/>
        <w:rPr>
          <w:rFonts w:cs="Arial"/>
          <w:b/>
          <w:b/>
          <w:color w:val="auto"/>
          <w:sz w:val="22"/>
        </w:rPr>
      </w:pPr>
      <w:r>
        <w:rPr>
          <w:rFonts w:cs="Arial"/>
          <w:b/>
          <w:color w:val="auto"/>
          <w:sz w:val="22"/>
        </w:rPr>
        <w:t>FOR POLITICALLY RESTRICTED POSTS:</w:t>
      </w:r>
    </w:p>
    <w:p>
      <w:pPr>
        <w:pStyle w:val="Normal"/>
        <w:jc w:val="both"/>
        <w:rPr>
          <w:rFonts w:cs="Arial"/>
          <w:color w:val="auto"/>
          <w:sz w:val="22"/>
        </w:rPr>
      </w:pPr>
      <w:r>
        <w:rPr>
          <w:rFonts w:cs="Arial"/>
          <w:color w:val="auto"/>
          <w:sz w:val="22"/>
        </w:rPr>
        <w:t>This post is a politically restricted post, as defined by the Local Government and Housing Act 1989 (as amended by Section 30 of the Local Democracy, Economic Development and Construction Act 2009) on one of the following grounds:</w:t>
      </w:r>
    </w:p>
    <w:p>
      <w:pPr>
        <w:pStyle w:val="ListParagraph"/>
        <w:widowControl/>
        <w:numPr>
          <w:ilvl w:val="0"/>
          <w:numId w:val="4"/>
        </w:numPr>
        <w:spacing w:lineRule="auto" w:line="256" w:before="0" w:after="160"/>
        <w:contextualSpacing/>
        <w:jc w:val="both"/>
        <w:rPr>
          <w:color w:val="auto"/>
        </w:rPr>
      </w:pPr>
      <w:r>
        <w:rPr>
          <w:color w:val="auto"/>
        </w:rPr>
        <w:t>the post is that of a Chief Officer or Deputy Chief Officer or</w:t>
      </w:r>
    </w:p>
    <w:p>
      <w:pPr>
        <w:pStyle w:val="ListParagraph"/>
        <w:widowControl/>
        <w:numPr>
          <w:ilvl w:val="0"/>
          <w:numId w:val="4"/>
        </w:numPr>
        <w:spacing w:lineRule="auto" w:line="256" w:before="0" w:after="160"/>
        <w:contextualSpacing/>
        <w:jc w:val="both"/>
        <w:rPr>
          <w:color w:val="auto"/>
        </w:rPr>
      </w:pPr>
      <w:r>
        <w:rPr>
          <w:color w:val="auto"/>
        </w:rPr>
        <w:t>the post has delegated powers to discharge the functions of the Authority; or</w:t>
      </w:r>
    </w:p>
    <w:p>
      <w:pPr>
        <w:pStyle w:val="ListParagraph"/>
        <w:widowControl/>
        <w:numPr>
          <w:ilvl w:val="0"/>
          <w:numId w:val="4"/>
        </w:numPr>
        <w:spacing w:lineRule="auto" w:line="256" w:before="0" w:after="160"/>
        <w:contextualSpacing/>
        <w:jc w:val="both"/>
        <w:rPr>
          <w:color w:val="auto"/>
        </w:rPr>
      </w:pPr>
      <w:r>
        <w:rPr>
          <w:color w:val="auto"/>
        </w:rPr>
        <w:t>the duties associated with the post include giving advice on a regular basis to the Authority, to Committees or Sub-Committees of the Authority (including member panels, Sub-Committees etc.) or to joint committees on which the Authority is represented or give advice to Executive Members, Committees or speak to the media.</w:t>
      </w:r>
    </w:p>
    <w:p>
      <w:pPr>
        <w:pStyle w:val="Normal"/>
        <w:spacing w:before="240" w:after="240"/>
        <w:rPr>
          <w:rFonts w:cs="Arial"/>
          <w:color w:val="auto"/>
          <w:sz w:val="22"/>
        </w:rPr>
      </w:pPr>
      <w:r>
        <w:rPr>
          <w:rFonts w:cs="Arial"/>
          <w:color w:val="auto"/>
          <w:sz w:val="22"/>
        </w:rPr>
        <w:t>The post holder has a right to appeal to the GMCA Chief Executive against the classification of their post as politically restricted.</w:t>
      </w:r>
    </w:p>
    <w:p>
      <w:pPr>
        <w:pStyle w:val="Normal"/>
        <w:rPr>
          <w:rFonts w:cs="Arial"/>
          <w:color w:val="FF0000"/>
          <w:szCs w:val="24"/>
        </w:rPr>
      </w:pPr>
      <w:r>
        <w:rPr>
          <w:rFonts w:cs="Arial"/>
          <w:color w:val="FF0000"/>
          <w:szCs w:val="24"/>
        </w:rPr>
      </w:r>
    </w:p>
    <w:p>
      <w:pPr>
        <w:pStyle w:val="Heading2"/>
        <w:shd w:fill="004F6E" w:val="clear"/>
        <w:rPr>
          <w:rFonts w:cs="Arial"/>
          <w:sz w:val="24"/>
          <w:szCs w:val="24"/>
        </w:rPr>
      </w:pPr>
      <w:r>
        <w:rPr>
          <w:rFonts w:cs="Arial"/>
          <w:sz w:val="24"/>
          <w:szCs w:val="24"/>
        </w:rPr>
        <w:t>Corporate Duties</w:t>
      </w:r>
    </w:p>
    <w:p>
      <w:pPr>
        <w:pStyle w:val="Normal"/>
        <w:rPr/>
      </w:pPr>
      <w:r>
        <w:rPr>
          <w:rFonts w:cs="Arial"/>
          <w:i/>
          <w:iCs/>
          <w:sz w:val="20"/>
          <w:szCs w:val="20"/>
        </w:rPr>
        <w:t>Do not behave in way which discriminates against your fellow employees, or potential</w:t>
      </w:r>
      <w:r>
        <w:rPr>
          <w:rFonts w:cs="Arial"/>
          <w:i/>
          <w:iCs/>
          <w:spacing w:val="1"/>
          <w:sz w:val="20"/>
          <w:szCs w:val="20"/>
        </w:rPr>
        <w:t xml:space="preserve"> </w:t>
      </w:r>
      <w:r>
        <w:rPr>
          <w:rFonts w:cs="Arial"/>
          <w:i/>
          <w:iCs/>
          <w:sz w:val="20"/>
          <w:szCs w:val="20"/>
        </w:rPr>
        <w:t>employees on the grounds of their sex, sexual orientation, marital status, race, religion,</w:t>
      </w:r>
      <w:r>
        <w:rPr>
          <w:rFonts w:cs="Arial"/>
          <w:i/>
          <w:iCs/>
          <w:spacing w:val="-59"/>
          <w:sz w:val="20"/>
          <w:szCs w:val="20"/>
        </w:rPr>
        <w:t xml:space="preserve"> </w:t>
      </w:r>
      <w:r>
        <w:rPr>
          <w:rFonts w:cs="Arial"/>
          <w:i/>
          <w:iCs/>
          <w:sz w:val="20"/>
          <w:szCs w:val="20"/>
        </w:rPr>
        <w:t>creed,</w:t>
      </w:r>
      <w:r>
        <w:rPr>
          <w:rFonts w:cs="Arial"/>
          <w:i/>
          <w:iCs/>
          <w:spacing w:val="-2"/>
          <w:sz w:val="20"/>
          <w:szCs w:val="20"/>
        </w:rPr>
        <w:t xml:space="preserve"> </w:t>
      </w:r>
      <w:r>
        <w:rPr>
          <w:rFonts w:cs="Arial"/>
          <w:i/>
          <w:iCs/>
          <w:sz w:val="20"/>
          <w:szCs w:val="20"/>
        </w:rPr>
        <w:t>colour,</w:t>
      </w:r>
      <w:r>
        <w:rPr>
          <w:rFonts w:cs="Arial"/>
          <w:i/>
          <w:iCs/>
          <w:spacing w:val="2"/>
          <w:sz w:val="20"/>
          <w:szCs w:val="20"/>
        </w:rPr>
        <w:t xml:space="preserve"> </w:t>
      </w:r>
      <w:r>
        <w:rPr>
          <w:rFonts w:cs="Arial"/>
          <w:i/>
          <w:iCs/>
          <w:sz w:val="20"/>
          <w:szCs w:val="20"/>
        </w:rPr>
        <w:t>nationality,</w:t>
      </w:r>
      <w:r>
        <w:rPr>
          <w:rFonts w:cs="Arial"/>
          <w:i/>
          <w:iCs/>
          <w:spacing w:val="2"/>
          <w:sz w:val="20"/>
          <w:szCs w:val="20"/>
        </w:rPr>
        <w:t xml:space="preserve"> </w:t>
      </w:r>
      <w:r>
        <w:rPr>
          <w:rFonts w:cs="Arial"/>
          <w:i/>
          <w:iCs/>
          <w:sz w:val="20"/>
          <w:szCs w:val="20"/>
        </w:rPr>
        <w:t>ethnic</w:t>
      </w:r>
      <w:r>
        <w:rPr>
          <w:rFonts w:cs="Arial"/>
          <w:i/>
          <w:iCs/>
          <w:spacing w:val="1"/>
          <w:sz w:val="20"/>
          <w:szCs w:val="20"/>
        </w:rPr>
        <w:t xml:space="preserve"> </w:t>
      </w:r>
      <w:r>
        <w:rPr>
          <w:rFonts w:cs="Arial"/>
          <w:i/>
          <w:iCs/>
          <w:sz w:val="20"/>
          <w:szCs w:val="20"/>
        </w:rPr>
        <w:t>origin</w:t>
      </w:r>
      <w:r>
        <w:rPr>
          <w:rFonts w:cs="Arial"/>
          <w:i/>
          <w:iCs/>
          <w:spacing w:val="1"/>
          <w:sz w:val="20"/>
          <w:szCs w:val="20"/>
        </w:rPr>
        <w:t xml:space="preserve"> </w:t>
      </w:r>
      <w:r>
        <w:rPr>
          <w:rFonts w:cs="Arial"/>
          <w:i/>
          <w:iCs/>
          <w:sz w:val="20"/>
          <w:szCs w:val="20"/>
        </w:rPr>
        <w:t>or</w:t>
      </w:r>
      <w:r>
        <w:rPr>
          <w:rFonts w:cs="Arial"/>
          <w:i/>
          <w:iCs/>
          <w:spacing w:val="-2"/>
          <w:sz w:val="20"/>
          <w:szCs w:val="20"/>
        </w:rPr>
        <w:t xml:space="preserve"> </w:t>
      </w:r>
      <w:r>
        <w:rPr>
          <w:rFonts w:cs="Arial"/>
          <w:i/>
          <w:iCs/>
          <w:sz w:val="20"/>
          <w:szCs w:val="20"/>
        </w:rPr>
        <w:t>disability.</w:t>
      </w:r>
    </w:p>
    <w:p>
      <w:pPr>
        <w:pStyle w:val="Normal"/>
        <w:rPr/>
      </w:pPr>
      <w:r>
        <w:rPr>
          <w:rFonts w:cs="Arial"/>
          <w:i/>
          <w:iCs/>
          <w:sz w:val="20"/>
          <w:szCs w:val="20"/>
        </w:rPr>
        <w:t xml:space="preserve">Safeguard at all times confidentiality of information relating to staff and pensioners. </w:t>
      </w:r>
      <w:r>
        <w:rPr>
          <w:rFonts w:cs="Arial"/>
          <w:i/>
          <w:iCs/>
          <w:spacing w:val="-59"/>
          <w:sz w:val="20"/>
          <w:szCs w:val="20"/>
        </w:rPr>
        <w:t xml:space="preserve"> </w:t>
      </w:r>
      <w:r>
        <w:rPr>
          <w:rFonts w:cs="Arial"/>
          <w:i/>
          <w:iCs/>
          <w:sz w:val="20"/>
          <w:szCs w:val="20"/>
        </w:rPr>
        <w:t>Refrain</w:t>
      </w:r>
      <w:r>
        <w:rPr>
          <w:rFonts w:cs="Arial"/>
          <w:i/>
          <w:iCs/>
          <w:spacing w:val="-3"/>
          <w:sz w:val="20"/>
          <w:szCs w:val="20"/>
        </w:rPr>
        <w:t xml:space="preserve"> </w:t>
      </w:r>
      <w:r>
        <w:rPr>
          <w:rFonts w:cs="Arial"/>
          <w:i/>
          <w:iCs/>
          <w:sz w:val="20"/>
          <w:szCs w:val="20"/>
        </w:rPr>
        <w:t>from</w:t>
      </w:r>
      <w:r>
        <w:rPr>
          <w:rFonts w:cs="Arial"/>
          <w:i/>
          <w:iCs/>
          <w:spacing w:val="2"/>
          <w:sz w:val="20"/>
          <w:szCs w:val="20"/>
        </w:rPr>
        <w:t xml:space="preserve"> </w:t>
      </w:r>
      <w:r>
        <w:rPr>
          <w:rFonts w:cs="Arial"/>
          <w:i/>
          <w:iCs/>
          <w:sz w:val="20"/>
          <w:szCs w:val="20"/>
        </w:rPr>
        <w:t>smoking</w:t>
      </w:r>
      <w:r>
        <w:rPr>
          <w:rFonts w:cs="Arial"/>
          <w:i/>
          <w:iCs/>
          <w:spacing w:val="4"/>
          <w:sz w:val="20"/>
          <w:szCs w:val="20"/>
        </w:rPr>
        <w:t xml:space="preserve"> </w:t>
      </w:r>
      <w:r>
        <w:rPr>
          <w:rFonts w:cs="Arial"/>
          <w:i/>
          <w:iCs/>
          <w:sz w:val="20"/>
          <w:szCs w:val="20"/>
        </w:rPr>
        <w:t>in</w:t>
      </w:r>
      <w:r>
        <w:rPr>
          <w:rFonts w:cs="Arial"/>
          <w:i/>
          <w:iCs/>
          <w:spacing w:val="-5"/>
          <w:sz w:val="20"/>
          <w:szCs w:val="20"/>
        </w:rPr>
        <w:t xml:space="preserve"> </w:t>
      </w:r>
      <w:r>
        <w:rPr>
          <w:rFonts w:cs="Arial"/>
          <w:i/>
          <w:iCs/>
          <w:sz w:val="20"/>
          <w:szCs w:val="20"/>
        </w:rPr>
        <w:t>any</w:t>
      </w:r>
      <w:r>
        <w:rPr>
          <w:rFonts w:cs="Arial"/>
          <w:i/>
          <w:iCs/>
          <w:spacing w:val="-1"/>
          <w:sz w:val="20"/>
          <w:szCs w:val="20"/>
        </w:rPr>
        <w:t xml:space="preserve"> </w:t>
      </w:r>
      <w:r>
        <w:rPr>
          <w:rFonts w:cs="Arial"/>
          <w:i/>
          <w:iCs/>
          <w:sz w:val="20"/>
          <w:szCs w:val="20"/>
        </w:rPr>
        <w:t>areas</w:t>
      </w:r>
      <w:r>
        <w:rPr>
          <w:rFonts w:cs="Arial"/>
          <w:i/>
          <w:iCs/>
          <w:spacing w:val="1"/>
          <w:sz w:val="20"/>
          <w:szCs w:val="20"/>
        </w:rPr>
        <w:t xml:space="preserve"> </w:t>
      </w:r>
      <w:r>
        <w:rPr>
          <w:rFonts w:cs="Arial"/>
          <w:i/>
          <w:iCs/>
          <w:sz w:val="20"/>
          <w:szCs w:val="20"/>
        </w:rPr>
        <w:t>of</w:t>
      </w:r>
      <w:r>
        <w:rPr>
          <w:rFonts w:cs="Arial"/>
          <w:i/>
          <w:iCs/>
          <w:spacing w:val="1"/>
          <w:sz w:val="20"/>
          <w:szCs w:val="20"/>
        </w:rPr>
        <w:t xml:space="preserve"> </w:t>
      </w:r>
      <w:r>
        <w:rPr>
          <w:rFonts w:cs="Arial"/>
          <w:i/>
          <w:iCs/>
          <w:sz w:val="20"/>
          <w:szCs w:val="20"/>
        </w:rPr>
        <w:t>Service</w:t>
      </w:r>
      <w:r>
        <w:rPr>
          <w:rFonts w:cs="Arial"/>
          <w:i/>
          <w:iCs/>
          <w:spacing w:val="1"/>
          <w:sz w:val="20"/>
          <w:szCs w:val="20"/>
        </w:rPr>
        <w:t xml:space="preserve"> </w:t>
      </w:r>
      <w:r>
        <w:rPr>
          <w:rFonts w:cs="Arial"/>
          <w:i/>
          <w:iCs/>
          <w:sz w:val="20"/>
          <w:szCs w:val="20"/>
        </w:rPr>
        <w:t>premises.</w:t>
      </w:r>
    </w:p>
    <w:p>
      <w:pPr>
        <w:pStyle w:val="Normal"/>
        <w:rPr/>
      </w:pPr>
      <w:r>
        <w:rPr>
          <w:rFonts w:cs="Arial"/>
          <w:i/>
          <w:iCs/>
          <w:sz w:val="20"/>
          <w:szCs w:val="20"/>
        </w:rPr>
        <w:t>Behave in a manner that ensures the security of property and resources.</w:t>
      </w:r>
      <w:r>
        <w:rPr>
          <w:rFonts w:cs="Arial"/>
          <w:i/>
          <w:iCs/>
          <w:spacing w:val="-59"/>
          <w:sz w:val="20"/>
          <w:szCs w:val="20"/>
        </w:rPr>
        <w:t xml:space="preserve"> </w:t>
      </w:r>
      <w:r>
        <w:rPr>
          <w:rFonts w:cs="Arial"/>
          <w:i/>
          <w:iCs/>
          <w:sz w:val="20"/>
          <w:szCs w:val="20"/>
        </w:rPr>
        <w:t>Abide</w:t>
      </w:r>
      <w:r>
        <w:rPr>
          <w:rFonts w:cs="Arial"/>
          <w:i/>
          <w:iCs/>
          <w:spacing w:val="-1"/>
          <w:sz w:val="20"/>
          <w:szCs w:val="20"/>
        </w:rPr>
        <w:t xml:space="preserve"> </w:t>
      </w:r>
      <w:r>
        <w:rPr>
          <w:rFonts w:cs="Arial"/>
          <w:i/>
          <w:iCs/>
          <w:sz w:val="20"/>
          <w:szCs w:val="20"/>
        </w:rPr>
        <w:t>by</w:t>
      </w:r>
      <w:r>
        <w:rPr>
          <w:rFonts w:cs="Arial"/>
          <w:i/>
          <w:iCs/>
          <w:spacing w:val="-2"/>
          <w:sz w:val="20"/>
          <w:szCs w:val="20"/>
        </w:rPr>
        <w:t xml:space="preserve"> </w:t>
      </w:r>
      <w:r>
        <w:rPr>
          <w:rFonts w:cs="Arial"/>
          <w:i/>
          <w:iCs/>
          <w:sz w:val="20"/>
          <w:szCs w:val="20"/>
        </w:rPr>
        <w:t>all relevant</w:t>
      </w:r>
      <w:r>
        <w:rPr>
          <w:rFonts w:cs="Arial"/>
          <w:i/>
          <w:iCs/>
          <w:spacing w:val="1"/>
          <w:sz w:val="20"/>
          <w:szCs w:val="20"/>
        </w:rPr>
        <w:t xml:space="preserve"> </w:t>
      </w:r>
      <w:r>
        <w:rPr>
          <w:rFonts w:cs="Arial"/>
          <w:i/>
          <w:iCs/>
          <w:sz w:val="20"/>
          <w:szCs w:val="20"/>
        </w:rPr>
        <w:t>Service</w:t>
      </w:r>
      <w:r>
        <w:rPr>
          <w:rFonts w:cs="Arial"/>
          <w:i/>
          <w:iCs/>
          <w:spacing w:val="1"/>
          <w:sz w:val="20"/>
          <w:szCs w:val="20"/>
        </w:rPr>
        <w:t xml:space="preserve"> </w:t>
      </w:r>
      <w:r>
        <w:rPr>
          <w:rFonts w:cs="Arial"/>
          <w:i/>
          <w:iCs/>
          <w:sz w:val="20"/>
          <w:szCs w:val="20"/>
        </w:rPr>
        <w:t>Policies and Procedures.</w:t>
      </w:r>
    </w:p>
    <w:p>
      <w:pPr>
        <w:pStyle w:val="Normal"/>
        <w:rPr/>
      </w:pPr>
      <w:r>
        <w:rPr>
          <w:rFonts w:cs="Arial"/>
          <w:b/>
          <w:bCs/>
          <w:i/>
          <w:iCs/>
          <w:sz w:val="20"/>
          <w:szCs w:val="20"/>
        </w:rPr>
        <w:t>Records Management / Data Protection</w:t>
      </w:r>
      <w:r>
        <w:rPr>
          <w:rFonts w:cs="Arial"/>
          <w:i/>
          <w:iCs/>
          <w:sz w:val="20"/>
          <w:szCs w:val="20"/>
        </w:rPr>
        <w:t xml:space="preserve"> - As an employee of the GMCA, you have a legal</w:t>
      </w:r>
      <w:r>
        <w:rPr>
          <w:rFonts w:cs="Arial"/>
          <w:i/>
          <w:iCs/>
          <w:spacing w:val="1"/>
          <w:sz w:val="20"/>
          <w:szCs w:val="20"/>
        </w:rPr>
        <w:t xml:space="preserve"> </w:t>
      </w:r>
      <w:r>
        <w:rPr>
          <w:rFonts w:cs="Arial"/>
          <w:i/>
          <w:iCs/>
          <w:spacing w:val="-1"/>
          <w:sz w:val="20"/>
          <w:szCs w:val="20"/>
        </w:rPr>
        <w:t>responsibility</w:t>
      </w:r>
      <w:r>
        <w:rPr>
          <w:rFonts w:cs="Arial"/>
          <w:i/>
          <w:iCs/>
          <w:spacing w:val="-16"/>
          <w:sz w:val="20"/>
          <w:szCs w:val="20"/>
        </w:rPr>
        <w:t xml:space="preserve"> </w:t>
      </w:r>
      <w:r>
        <w:rPr>
          <w:rFonts w:cs="Arial"/>
          <w:i/>
          <w:iCs/>
          <w:spacing w:val="-1"/>
          <w:sz w:val="20"/>
          <w:szCs w:val="20"/>
        </w:rPr>
        <w:t>for</w:t>
      </w:r>
      <w:r>
        <w:rPr>
          <w:rFonts w:cs="Arial"/>
          <w:i/>
          <w:iCs/>
          <w:spacing w:val="-15"/>
          <w:sz w:val="20"/>
          <w:szCs w:val="20"/>
        </w:rPr>
        <w:t xml:space="preserve"> </w:t>
      </w:r>
      <w:r>
        <w:rPr>
          <w:rFonts w:cs="Arial"/>
          <w:i/>
          <w:iCs/>
          <w:spacing w:val="-1"/>
          <w:sz w:val="20"/>
          <w:szCs w:val="20"/>
        </w:rPr>
        <w:t>all</w:t>
      </w:r>
      <w:r>
        <w:rPr>
          <w:rFonts w:cs="Arial"/>
          <w:i/>
          <w:iCs/>
          <w:spacing w:val="-14"/>
          <w:sz w:val="20"/>
          <w:szCs w:val="20"/>
        </w:rPr>
        <w:t xml:space="preserve"> </w:t>
      </w:r>
      <w:r>
        <w:rPr>
          <w:rFonts w:cs="Arial"/>
          <w:i/>
          <w:iCs/>
          <w:spacing w:val="-1"/>
          <w:sz w:val="20"/>
          <w:szCs w:val="20"/>
        </w:rPr>
        <w:t>records</w:t>
      </w:r>
      <w:r>
        <w:rPr>
          <w:rFonts w:cs="Arial"/>
          <w:i/>
          <w:iCs/>
          <w:spacing w:val="-13"/>
          <w:sz w:val="20"/>
          <w:szCs w:val="20"/>
        </w:rPr>
        <w:t xml:space="preserve"> </w:t>
      </w:r>
      <w:r>
        <w:rPr>
          <w:rFonts w:cs="Arial"/>
          <w:i/>
          <w:iCs/>
          <w:sz w:val="20"/>
          <w:szCs w:val="20"/>
        </w:rPr>
        <w:t>(including</w:t>
      </w:r>
      <w:r>
        <w:rPr>
          <w:rFonts w:cs="Arial"/>
          <w:i/>
          <w:iCs/>
          <w:spacing w:val="-11"/>
          <w:sz w:val="20"/>
          <w:szCs w:val="20"/>
        </w:rPr>
        <w:t xml:space="preserve"> </w:t>
      </w:r>
      <w:r>
        <w:rPr>
          <w:rFonts w:cs="Arial"/>
          <w:i/>
          <w:iCs/>
          <w:sz w:val="20"/>
          <w:szCs w:val="20"/>
        </w:rPr>
        <w:t>employee</w:t>
      </w:r>
      <w:r>
        <w:rPr>
          <w:rFonts w:cs="Arial"/>
          <w:i/>
          <w:iCs/>
          <w:spacing w:val="-13"/>
          <w:sz w:val="20"/>
          <w:szCs w:val="20"/>
        </w:rPr>
        <w:t xml:space="preserve"> </w:t>
      </w:r>
      <w:r>
        <w:rPr>
          <w:rFonts w:cs="Arial"/>
          <w:i/>
          <w:iCs/>
          <w:sz w:val="20"/>
          <w:szCs w:val="20"/>
        </w:rPr>
        <w:t>health,</w:t>
      </w:r>
      <w:r>
        <w:rPr>
          <w:rFonts w:cs="Arial"/>
          <w:i/>
          <w:iCs/>
          <w:spacing w:val="-15"/>
          <w:sz w:val="20"/>
          <w:szCs w:val="20"/>
        </w:rPr>
        <w:t xml:space="preserve"> </w:t>
      </w:r>
      <w:r>
        <w:rPr>
          <w:rFonts w:cs="Arial"/>
          <w:i/>
          <w:iCs/>
          <w:sz w:val="20"/>
          <w:szCs w:val="20"/>
        </w:rPr>
        <w:t>financial,</w:t>
      </w:r>
      <w:r>
        <w:rPr>
          <w:rFonts w:cs="Arial"/>
          <w:i/>
          <w:iCs/>
          <w:spacing w:val="-14"/>
          <w:sz w:val="20"/>
          <w:szCs w:val="20"/>
        </w:rPr>
        <w:t xml:space="preserve"> </w:t>
      </w:r>
      <w:r>
        <w:rPr>
          <w:rFonts w:cs="Arial"/>
          <w:i/>
          <w:iCs/>
          <w:sz w:val="20"/>
          <w:szCs w:val="20"/>
        </w:rPr>
        <w:t>personal</w:t>
      </w:r>
      <w:r>
        <w:rPr>
          <w:rFonts w:cs="Arial"/>
          <w:i/>
          <w:iCs/>
          <w:spacing w:val="-17"/>
          <w:sz w:val="20"/>
          <w:szCs w:val="20"/>
        </w:rPr>
        <w:t xml:space="preserve"> </w:t>
      </w:r>
      <w:r>
        <w:rPr>
          <w:rFonts w:cs="Arial"/>
          <w:i/>
          <w:iCs/>
          <w:sz w:val="20"/>
          <w:szCs w:val="20"/>
        </w:rPr>
        <w:t>and</w:t>
      </w:r>
      <w:r>
        <w:rPr>
          <w:rFonts w:cs="Arial"/>
          <w:i/>
          <w:iCs/>
          <w:spacing w:val="-13"/>
          <w:sz w:val="20"/>
          <w:szCs w:val="20"/>
        </w:rPr>
        <w:t xml:space="preserve"> </w:t>
      </w:r>
      <w:r>
        <w:rPr>
          <w:rFonts w:cs="Arial"/>
          <w:i/>
          <w:iCs/>
          <w:sz w:val="20"/>
          <w:szCs w:val="20"/>
        </w:rPr>
        <w:t>administrative)</w:t>
      </w:r>
      <w:r>
        <w:rPr>
          <w:rFonts w:cs="Arial"/>
          <w:i/>
          <w:iCs/>
          <w:spacing w:val="-58"/>
          <w:sz w:val="20"/>
          <w:szCs w:val="20"/>
        </w:rPr>
        <w:t xml:space="preserve"> </w:t>
      </w:r>
      <w:r>
        <w:rPr>
          <w:rFonts w:cs="Arial"/>
          <w:i/>
          <w:iCs/>
          <w:sz w:val="20"/>
          <w:szCs w:val="20"/>
        </w:rPr>
        <w:t>that you gather or use as part of your work with the Service. The records may be paper,</w:t>
      </w:r>
      <w:r>
        <w:rPr>
          <w:rFonts w:cs="Arial"/>
          <w:i/>
          <w:iCs/>
          <w:spacing w:val="1"/>
          <w:sz w:val="20"/>
          <w:szCs w:val="20"/>
        </w:rPr>
        <w:t xml:space="preserve"> </w:t>
      </w:r>
      <w:r>
        <w:rPr>
          <w:rFonts w:cs="Arial"/>
          <w:i/>
          <w:iCs/>
          <w:sz w:val="20"/>
          <w:szCs w:val="20"/>
        </w:rPr>
        <w:t>electronic, audio or videotapes. You must consult your manager if you have any doubt as to</w:t>
      </w:r>
      <w:r>
        <w:rPr>
          <w:rFonts w:cs="Arial"/>
          <w:i/>
          <w:iCs/>
          <w:spacing w:val="1"/>
          <w:sz w:val="20"/>
          <w:szCs w:val="20"/>
        </w:rPr>
        <w:t xml:space="preserve"> </w:t>
      </w:r>
      <w:r>
        <w:rPr>
          <w:rFonts w:cs="Arial"/>
          <w:i/>
          <w:iCs/>
          <w:sz w:val="20"/>
          <w:szCs w:val="20"/>
        </w:rPr>
        <w:t>the</w:t>
      </w:r>
      <w:r>
        <w:rPr>
          <w:rFonts w:cs="Arial"/>
          <w:i/>
          <w:iCs/>
          <w:spacing w:val="-1"/>
          <w:sz w:val="20"/>
          <w:szCs w:val="20"/>
        </w:rPr>
        <w:t xml:space="preserve"> </w:t>
      </w:r>
      <w:r>
        <w:rPr>
          <w:rFonts w:cs="Arial"/>
          <w:i/>
          <w:iCs/>
          <w:sz w:val="20"/>
          <w:szCs w:val="20"/>
        </w:rPr>
        <w:t>correct management</w:t>
      </w:r>
      <w:r>
        <w:rPr>
          <w:rFonts w:cs="Arial"/>
          <w:i/>
          <w:iCs/>
          <w:spacing w:val="-2"/>
          <w:sz w:val="20"/>
          <w:szCs w:val="20"/>
        </w:rPr>
        <w:t xml:space="preserve"> </w:t>
      </w:r>
      <w:r>
        <w:rPr>
          <w:rFonts w:cs="Arial"/>
          <w:i/>
          <w:iCs/>
          <w:sz w:val="20"/>
          <w:szCs w:val="20"/>
        </w:rPr>
        <w:t>of</w:t>
      </w:r>
      <w:r>
        <w:rPr>
          <w:rFonts w:cs="Arial"/>
          <w:i/>
          <w:iCs/>
          <w:spacing w:val="2"/>
          <w:sz w:val="20"/>
          <w:szCs w:val="20"/>
        </w:rPr>
        <w:t xml:space="preserve"> </w:t>
      </w:r>
      <w:r>
        <w:rPr>
          <w:rFonts w:cs="Arial"/>
          <w:i/>
          <w:iCs/>
          <w:sz w:val="20"/>
          <w:szCs w:val="20"/>
        </w:rPr>
        <w:t>the</w:t>
      </w:r>
      <w:r>
        <w:rPr>
          <w:rFonts w:cs="Arial"/>
          <w:i/>
          <w:iCs/>
          <w:spacing w:val="-3"/>
          <w:sz w:val="20"/>
          <w:szCs w:val="20"/>
        </w:rPr>
        <w:t xml:space="preserve"> </w:t>
      </w:r>
      <w:r>
        <w:rPr>
          <w:rFonts w:cs="Arial"/>
          <w:i/>
          <w:iCs/>
          <w:sz w:val="20"/>
          <w:szCs w:val="20"/>
        </w:rPr>
        <w:t>records</w:t>
      </w:r>
      <w:r>
        <w:rPr>
          <w:rFonts w:cs="Arial"/>
          <w:i/>
          <w:iCs/>
          <w:spacing w:val="-2"/>
          <w:sz w:val="20"/>
          <w:szCs w:val="20"/>
        </w:rPr>
        <w:t xml:space="preserve"> </w:t>
      </w:r>
      <w:r>
        <w:rPr>
          <w:rFonts w:cs="Arial"/>
          <w:i/>
          <w:iCs/>
          <w:sz w:val="20"/>
          <w:szCs w:val="20"/>
        </w:rPr>
        <w:t>with</w:t>
      </w:r>
      <w:r>
        <w:rPr>
          <w:rFonts w:cs="Arial"/>
          <w:i/>
          <w:iCs/>
          <w:spacing w:val="1"/>
          <w:sz w:val="20"/>
          <w:szCs w:val="20"/>
        </w:rPr>
        <w:t xml:space="preserve"> </w:t>
      </w:r>
      <w:r>
        <w:rPr>
          <w:rFonts w:cs="Arial"/>
          <w:i/>
          <w:iCs/>
          <w:sz w:val="20"/>
          <w:szCs w:val="20"/>
        </w:rPr>
        <w:t>which</w:t>
      </w:r>
      <w:r>
        <w:rPr>
          <w:rFonts w:cs="Arial"/>
          <w:i/>
          <w:iCs/>
          <w:spacing w:val="2"/>
          <w:sz w:val="20"/>
          <w:szCs w:val="20"/>
        </w:rPr>
        <w:t xml:space="preserve"> </w:t>
      </w:r>
      <w:r>
        <w:rPr>
          <w:rFonts w:cs="Arial"/>
          <w:i/>
          <w:iCs/>
          <w:sz w:val="20"/>
          <w:szCs w:val="20"/>
        </w:rPr>
        <w:t>you work.</w:t>
      </w:r>
    </w:p>
    <w:p>
      <w:pPr>
        <w:pStyle w:val="Normal"/>
        <w:rPr/>
      </w:pPr>
      <w:r>
        <w:rPr>
          <w:rFonts w:cs="Arial"/>
          <w:b/>
          <w:bCs/>
          <w:i/>
          <w:iCs/>
          <w:spacing w:val="-1"/>
          <w:sz w:val="20"/>
          <w:szCs w:val="20"/>
        </w:rPr>
        <w:t>Confidentiality</w:t>
      </w:r>
      <w:r>
        <w:rPr>
          <w:rFonts w:cs="Arial"/>
          <w:b/>
          <w:bCs/>
          <w:i/>
          <w:iCs/>
          <w:spacing w:val="-15"/>
          <w:sz w:val="20"/>
          <w:szCs w:val="20"/>
        </w:rPr>
        <w:t xml:space="preserve"> </w:t>
      </w:r>
      <w:r>
        <w:rPr>
          <w:rFonts w:cs="Arial"/>
          <w:b/>
          <w:bCs/>
          <w:i/>
          <w:iCs/>
          <w:sz w:val="20"/>
          <w:szCs w:val="20"/>
        </w:rPr>
        <w:t>and</w:t>
      </w:r>
      <w:r>
        <w:rPr>
          <w:rFonts w:cs="Arial"/>
          <w:b/>
          <w:bCs/>
          <w:i/>
          <w:iCs/>
          <w:spacing w:val="-12"/>
          <w:sz w:val="20"/>
          <w:szCs w:val="20"/>
        </w:rPr>
        <w:t xml:space="preserve"> </w:t>
      </w:r>
      <w:r>
        <w:rPr>
          <w:rFonts w:cs="Arial"/>
          <w:b/>
          <w:bCs/>
          <w:i/>
          <w:iCs/>
          <w:sz w:val="20"/>
          <w:szCs w:val="20"/>
        </w:rPr>
        <w:t>Information</w:t>
      </w:r>
      <w:r>
        <w:rPr>
          <w:rFonts w:cs="Arial"/>
          <w:b/>
          <w:bCs/>
          <w:i/>
          <w:iCs/>
          <w:spacing w:val="-13"/>
          <w:sz w:val="20"/>
          <w:szCs w:val="20"/>
        </w:rPr>
        <w:t xml:space="preserve"> </w:t>
      </w:r>
      <w:r>
        <w:rPr>
          <w:rFonts w:cs="Arial"/>
          <w:b/>
          <w:bCs/>
          <w:i/>
          <w:iCs/>
          <w:sz w:val="20"/>
          <w:szCs w:val="20"/>
        </w:rPr>
        <w:t>Security</w:t>
      </w:r>
      <w:r>
        <w:rPr>
          <w:rFonts w:cs="Arial"/>
          <w:i/>
          <w:iCs/>
          <w:spacing w:val="-16"/>
          <w:sz w:val="20"/>
          <w:szCs w:val="20"/>
        </w:rPr>
        <w:t xml:space="preserve"> </w:t>
      </w:r>
      <w:r>
        <w:rPr>
          <w:rFonts w:cs="Arial"/>
          <w:i/>
          <w:iCs/>
          <w:sz w:val="20"/>
          <w:szCs w:val="20"/>
        </w:rPr>
        <w:t>-</w:t>
      </w:r>
      <w:r>
        <w:rPr>
          <w:rFonts w:cs="Arial"/>
          <w:i/>
          <w:iCs/>
          <w:spacing w:val="-10"/>
          <w:sz w:val="20"/>
          <w:szCs w:val="20"/>
        </w:rPr>
        <w:t xml:space="preserve"> </w:t>
      </w:r>
      <w:r>
        <w:rPr>
          <w:rFonts w:cs="Arial"/>
          <w:i/>
          <w:iCs/>
          <w:sz w:val="20"/>
          <w:szCs w:val="20"/>
        </w:rPr>
        <w:t>As</w:t>
      </w:r>
      <w:r>
        <w:rPr>
          <w:rFonts w:cs="Arial"/>
          <w:i/>
          <w:iCs/>
          <w:spacing w:val="-11"/>
          <w:sz w:val="20"/>
          <w:szCs w:val="20"/>
        </w:rPr>
        <w:t xml:space="preserve"> </w:t>
      </w:r>
      <w:r>
        <w:rPr>
          <w:rFonts w:cs="Arial"/>
          <w:i/>
          <w:iCs/>
          <w:sz w:val="20"/>
          <w:szCs w:val="20"/>
        </w:rPr>
        <w:t>a</w:t>
      </w:r>
      <w:r>
        <w:rPr>
          <w:rFonts w:cs="Arial"/>
          <w:i/>
          <w:iCs/>
          <w:spacing w:val="-16"/>
          <w:sz w:val="20"/>
          <w:szCs w:val="20"/>
        </w:rPr>
        <w:t xml:space="preserve"> </w:t>
      </w:r>
      <w:r>
        <w:rPr>
          <w:rFonts w:cs="Arial"/>
          <w:i/>
          <w:iCs/>
          <w:sz w:val="20"/>
          <w:szCs w:val="20"/>
        </w:rPr>
        <w:t>GMCA</w:t>
      </w:r>
      <w:r>
        <w:rPr>
          <w:rFonts w:cs="Arial"/>
          <w:i/>
          <w:iCs/>
          <w:spacing w:val="-11"/>
          <w:sz w:val="20"/>
          <w:szCs w:val="20"/>
        </w:rPr>
        <w:t xml:space="preserve"> </w:t>
      </w:r>
      <w:r>
        <w:rPr>
          <w:rFonts w:cs="Arial"/>
          <w:i/>
          <w:iCs/>
          <w:sz w:val="20"/>
          <w:szCs w:val="20"/>
        </w:rPr>
        <w:t>employee</w:t>
      </w:r>
      <w:r>
        <w:rPr>
          <w:rFonts w:cs="Arial"/>
          <w:i/>
          <w:iCs/>
          <w:spacing w:val="-12"/>
          <w:sz w:val="20"/>
          <w:szCs w:val="20"/>
        </w:rPr>
        <w:t xml:space="preserve"> </w:t>
      </w:r>
      <w:r>
        <w:rPr>
          <w:rFonts w:cs="Arial"/>
          <w:i/>
          <w:iCs/>
          <w:sz w:val="20"/>
          <w:szCs w:val="20"/>
        </w:rPr>
        <w:t>you</w:t>
      </w:r>
      <w:r>
        <w:rPr>
          <w:rFonts w:cs="Arial"/>
          <w:i/>
          <w:iCs/>
          <w:spacing w:val="-12"/>
          <w:sz w:val="20"/>
          <w:szCs w:val="20"/>
        </w:rPr>
        <w:t xml:space="preserve"> </w:t>
      </w:r>
      <w:r>
        <w:rPr>
          <w:rFonts w:cs="Arial"/>
          <w:i/>
          <w:iCs/>
          <w:sz w:val="20"/>
          <w:szCs w:val="20"/>
        </w:rPr>
        <w:t>are</w:t>
      </w:r>
      <w:r>
        <w:rPr>
          <w:rFonts w:cs="Arial"/>
          <w:i/>
          <w:iCs/>
          <w:spacing w:val="-11"/>
          <w:sz w:val="20"/>
          <w:szCs w:val="20"/>
        </w:rPr>
        <w:t xml:space="preserve"> </w:t>
      </w:r>
      <w:r>
        <w:rPr>
          <w:rFonts w:cs="Arial"/>
          <w:i/>
          <w:iCs/>
          <w:sz w:val="20"/>
          <w:szCs w:val="20"/>
        </w:rPr>
        <w:t>required</w:t>
      </w:r>
      <w:r>
        <w:rPr>
          <w:rFonts w:cs="Arial"/>
          <w:i/>
          <w:iCs/>
          <w:spacing w:val="-15"/>
          <w:sz w:val="20"/>
          <w:szCs w:val="20"/>
        </w:rPr>
        <w:t xml:space="preserve"> </w:t>
      </w:r>
      <w:r>
        <w:rPr>
          <w:rFonts w:cs="Arial"/>
          <w:i/>
          <w:iCs/>
          <w:sz w:val="20"/>
          <w:szCs w:val="20"/>
        </w:rPr>
        <w:t>to</w:t>
      </w:r>
      <w:r>
        <w:rPr>
          <w:rFonts w:cs="Arial"/>
          <w:i/>
          <w:iCs/>
          <w:spacing w:val="-12"/>
          <w:sz w:val="20"/>
          <w:szCs w:val="20"/>
        </w:rPr>
        <w:t xml:space="preserve"> </w:t>
      </w:r>
      <w:r>
        <w:rPr>
          <w:rFonts w:cs="Arial"/>
          <w:i/>
          <w:iCs/>
          <w:sz w:val="20"/>
          <w:szCs w:val="20"/>
        </w:rPr>
        <w:t>uphold</w:t>
      </w:r>
      <w:r>
        <w:rPr>
          <w:rFonts w:cs="Arial"/>
          <w:i/>
          <w:iCs/>
          <w:spacing w:val="-58"/>
          <w:sz w:val="20"/>
          <w:szCs w:val="20"/>
        </w:rPr>
        <w:t xml:space="preserve"> </w:t>
      </w:r>
      <w:r>
        <w:rPr>
          <w:rFonts w:cs="Arial"/>
          <w:i/>
          <w:iCs/>
          <w:sz w:val="20"/>
          <w:szCs w:val="20"/>
        </w:rPr>
        <w:t>the confidentiality of all records held by the GMCA, whether employee records or GMCA</w:t>
      </w:r>
      <w:r>
        <w:rPr>
          <w:rFonts w:cs="Arial"/>
          <w:i/>
          <w:iCs/>
          <w:spacing w:val="1"/>
          <w:sz w:val="20"/>
          <w:szCs w:val="20"/>
        </w:rPr>
        <w:t xml:space="preserve"> </w:t>
      </w:r>
      <w:r>
        <w:rPr>
          <w:rFonts w:cs="Arial"/>
          <w:i/>
          <w:iCs/>
          <w:sz w:val="20"/>
          <w:szCs w:val="20"/>
        </w:rPr>
        <w:t>information.</w:t>
      </w:r>
      <w:r>
        <w:rPr>
          <w:rFonts w:cs="Arial"/>
          <w:i/>
          <w:iCs/>
          <w:spacing w:val="1"/>
          <w:sz w:val="20"/>
          <w:szCs w:val="20"/>
        </w:rPr>
        <w:t xml:space="preserve"> </w:t>
      </w:r>
      <w:r>
        <w:rPr>
          <w:rFonts w:cs="Arial"/>
          <w:i/>
          <w:iCs/>
          <w:sz w:val="20"/>
          <w:szCs w:val="20"/>
        </w:rPr>
        <w:t>This</w:t>
      </w:r>
      <w:r>
        <w:rPr>
          <w:rFonts w:cs="Arial"/>
          <w:i/>
          <w:iCs/>
          <w:spacing w:val="1"/>
          <w:sz w:val="20"/>
          <w:szCs w:val="20"/>
        </w:rPr>
        <w:t xml:space="preserve"> </w:t>
      </w:r>
      <w:r>
        <w:rPr>
          <w:rFonts w:cs="Arial"/>
          <w:i/>
          <w:iCs/>
          <w:sz w:val="20"/>
          <w:szCs w:val="20"/>
        </w:rPr>
        <w:t>duty</w:t>
      </w:r>
      <w:r>
        <w:rPr>
          <w:rFonts w:cs="Arial"/>
          <w:i/>
          <w:iCs/>
          <w:spacing w:val="1"/>
          <w:sz w:val="20"/>
          <w:szCs w:val="20"/>
        </w:rPr>
        <w:t xml:space="preserve"> </w:t>
      </w:r>
      <w:r>
        <w:rPr>
          <w:rFonts w:cs="Arial"/>
          <w:i/>
          <w:iCs/>
          <w:sz w:val="20"/>
          <w:szCs w:val="20"/>
        </w:rPr>
        <w:t>lasts</w:t>
      </w:r>
      <w:r>
        <w:rPr>
          <w:rFonts w:cs="Arial"/>
          <w:i/>
          <w:iCs/>
          <w:spacing w:val="1"/>
          <w:sz w:val="20"/>
          <w:szCs w:val="20"/>
        </w:rPr>
        <w:t xml:space="preserve"> </w:t>
      </w:r>
      <w:r>
        <w:rPr>
          <w:rFonts w:cs="Arial"/>
          <w:i/>
          <w:iCs/>
          <w:sz w:val="20"/>
          <w:szCs w:val="20"/>
        </w:rPr>
        <w:t>indefinitely</w:t>
      </w:r>
      <w:r>
        <w:rPr>
          <w:rFonts w:cs="Arial"/>
          <w:i/>
          <w:iCs/>
          <w:spacing w:val="1"/>
          <w:sz w:val="20"/>
          <w:szCs w:val="20"/>
        </w:rPr>
        <w:t xml:space="preserve"> </w:t>
      </w:r>
      <w:r>
        <w:rPr>
          <w:rFonts w:cs="Arial"/>
          <w:i/>
          <w:iCs/>
          <w:sz w:val="20"/>
          <w:szCs w:val="20"/>
        </w:rPr>
        <w:t>and</w:t>
      </w:r>
      <w:r>
        <w:rPr>
          <w:rFonts w:cs="Arial"/>
          <w:i/>
          <w:iCs/>
          <w:spacing w:val="1"/>
          <w:sz w:val="20"/>
          <w:szCs w:val="20"/>
        </w:rPr>
        <w:t xml:space="preserve"> </w:t>
      </w:r>
      <w:r>
        <w:rPr>
          <w:rFonts w:cs="Arial"/>
          <w:i/>
          <w:iCs/>
          <w:sz w:val="20"/>
          <w:szCs w:val="20"/>
        </w:rPr>
        <w:t>will</w:t>
      </w:r>
      <w:r>
        <w:rPr>
          <w:rFonts w:cs="Arial"/>
          <w:i/>
          <w:iCs/>
          <w:spacing w:val="1"/>
          <w:sz w:val="20"/>
          <w:szCs w:val="20"/>
        </w:rPr>
        <w:t xml:space="preserve"> </w:t>
      </w:r>
      <w:r>
        <w:rPr>
          <w:rFonts w:cs="Arial"/>
          <w:i/>
          <w:iCs/>
          <w:sz w:val="20"/>
          <w:szCs w:val="20"/>
        </w:rPr>
        <w:t>continue</w:t>
      </w:r>
      <w:r>
        <w:rPr>
          <w:rFonts w:cs="Arial"/>
          <w:i/>
          <w:iCs/>
          <w:spacing w:val="1"/>
          <w:sz w:val="20"/>
          <w:szCs w:val="20"/>
        </w:rPr>
        <w:t xml:space="preserve"> </w:t>
      </w:r>
      <w:r>
        <w:rPr>
          <w:rFonts w:cs="Arial"/>
          <w:i/>
          <w:iCs/>
          <w:sz w:val="20"/>
          <w:szCs w:val="20"/>
        </w:rPr>
        <w:t>after</w:t>
      </w:r>
      <w:r>
        <w:rPr>
          <w:rFonts w:cs="Arial"/>
          <w:i/>
          <w:iCs/>
          <w:spacing w:val="1"/>
          <w:sz w:val="20"/>
          <w:szCs w:val="20"/>
        </w:rPr>
        <w:t xml:space="preserve"> </w:t>
      </w:r>
      <w:r>
        <w:rPr>
          <w:rFonts w:cs="Arial"/>
          <w:i/>
          <w:iCs/>
          <w:sz w:val="20"/>
          <w:szCs w:val="20"/>
        </w:rPr>
        <w:t>you</w:t>
      </w:r>
      <w:r>
        <w:rPr>
          <w:rFonts w:cs="Arial"/>
          <w:i/>
          <w:iCs/>
          <w:spacing w:val="1"/>
          <w:sz w:val="20"/>
          <w:szCs w:val="20"/>
        </w:rPr>
        <w:t xml:space="preserve"> </w:t>
      </w:r>
      <w:r>
        <w:rPr>
          <w:rFonts w:cs="Arial"/>
          <w:i/>
          <w:iCs/>
          <w:sz w:val="20"/>
          <w:szCs w:val="20"/>
        </w:rPr>
        <w:t>leave</w:t>
      </w:r>
      <w:r>
        <w:rPr>
          <w:rFonts w:cs="Arial"/>
          <w:i/>
          <w:iCs/>
          <w:spacing w:val="1"/>
          <w:sz w:val="20"/>
          <w:szCs w:val="20"/>
        </w:rPr>
        <w:t xml:space="preserve"> </w:t>
      </w:r>
      <w:r>
        <w:rPr>
          <w:rFonts w:cs="Arial"/>
          <w:i/>
          <w:iCs/>
          <w:sz w:val="20"/>
          <w:szCs w:val="20"/>
        </w:rPr>
        <w:t>the</w:t>
      </w:r>
      <w:r>
        <w:rPr>
          <w:rFonts w:cs="Arial"/>
          <w:i/>
          <w:iCs/>
          <w:spacing w:val="1"/>
          <w:sz w:val="20"/>
          <w:szCs w:val="20"/>
        </w:rPr>
        <w:t xml:space="preserve"> </w:t>
      </w:r>
      <w:r>
        <w:rPr>
          <w:rFonts w:cs="Arial"/>
          <w:i/>
          <w:iCs/>
          <w:sz w:val="20"/>
          <w:szCs w:val="20"/>
        </w:rPr>
        <w:t>GMCA</w:t>
      </w:r>
      <w:r>
        <w:rPr>
          <w:rFonts w:cs="Arial"/>
          <w:i/>
          <w:iCs/>
          <w:spacing w:val="1"/>
          <w:sz w:val="20"/>
          <w:szCs w:val="20"/>
        </w:rPr>
        <w:t xml:space="preserve"> </w:t>
      </w:r>
      <w:r>
        <w:rPr>
          <w:rFonts w:cs="Arial"/>
          <w:i/>
          <w:iCs/>
          <w:sz w:val="20"/>
          <w:szCs w:val="20"/>
        </w:rPr>
        <w:t>employment. All employees must maintain confidentiality and abide by the Data Protection</w:t>
      </w:r>
      <w:r>
        <w:rPr>
          <w:rFonts w:cs="Arial"/>
          <w:i/>
          <w:iCs/>
          <w:spacing w:val="1"/>
          <w:sz w:val="20"/>
          <w:szCs w:val="20"/>
        </w:rPr>
        <w:t xml:space="preserve"> </w:t>
      </w:r>
      <w:r>
        <w:rPr>
          <w:rFonts w:cs="Arial"/>
          <w:i/>
          <w:iCs/>
          <w:sz w:val="20"/>
          <w:szCs w:val="20"/>
        </w:rPr>
        <w:t>Act.</w:t>
      </w:r>
    </w:p>
    <w:p>
      <w:pPr>
        <w:pStyle w:val="Normal"/>
        <w:rPr/>
      </w:pPr>
      <w:r>
        <w:rPr>
          <w:rFonts w:cs="Arial"/>
          <w:b/>
          <w:bCs/>
          <w:i/>
          <w:iCs/>
          <w:sz w:val="20"/>
          <w:szCs w:val="20"/>
        </w:rPr>
        <w:t>Data</w:t>
      </w:r>
      <w:r>
        <w:rPr>
          <w:rFonts w:cs="Arial"/>
          <w:b/>
          <w:bCs/>
          <w:i/>
          <w:iCs/>
          <w:spacing w:val="1"/>
          <w:sz w:val="20"/>
          <w:szCs w:val="20"/>
        </w:rPr>
        <w:t xml:space="preserve"> </w:t>
      </w:r>
      <w:r>
        <w:rPr>
          <w:rFonts w:cs="Arial"/>
          <w:b/>
          <w:bCs/>
          <w:i/>
          <w:iCs/>
          <w:sz w:val="20"/>
          <w:szCs w:val="20"/>
        </w:rPr>
        <w:t>Quality</w:t>
      </w:r>
      <w:r>
        <w:rPr>
          <w:rFonts w:cs="Arial"/>
          <w:i/>
          <w:iCs/>
          <w:spacing w:val="1"/>
          <w:sz w:val="20"/>
          <w:szCs w:val="20"/>
        </w:rPr>
        <w:t xml:space="preserve"> </w:t>
      </w:r>
      <w:r>
        <w:rPr>
          <w:rFonts w:cs="Arial"/>
          <w:i/>
          <w:iCs/>
          <w:sz w:val="20"/>
          <w:szCs w:val="20"/>
        </w:rPr>
        <w:t>-</w:t>
      </w:r>
      <w:r>
        <w:rPr>
          <w:rFonts w:cs="Arial"/>
          <w:i/>
          <w:iCs/>
          <w:spacing w:val="1"/>
          <w:sz w:val="20"/>
          <w:szCs w:val="20"/>
        </w:rPr>
        <w:t xml:space="preserve"> </w:t>
      </w:r>
      <w:r>
        <w:rPr>
          <w:rFonts w:cs="Arial"/>
          <w:i/>
          <w:iCs/>
          <w:sz w:val="20"/>
          <w:szCs w:val="20"/>
        </w:rPr>
        <w:t>All</w:t>
      </w:r>
      <w:r>
        <w:rPr>
          <w:rFonts w:cs="Arial"/>
          <w:i/>
          <w:iCs/>
          <w:spacing w:val="1"/>
          <w:sz w:val="20"/>
          <w:szCs w:val="20"/>
        </w:rPr>
        <w:t xml:space="preserve"> </w:t>
      </w:r>
      <w:r>
        <w:rPr>
          <w:rFonts w:cs="Arial"/>
          <w:i/>
          <w:iCs/>
          <w:sz w:val="20"/>
          <w:szCs w:val="20"/>
        </w:rPr>
        <w:t>staff</w:t>
      </w:r>
      <w:r>
        <w:rPr>
          <w:rFonts w:cs="Arial"/>
          <w:i/>
          <w:iCs/>
          <w:spacing w:val="1"/>
          <w:sz w:val="20"/>
          <w:szCs w:val="20"/>
        </w:rPr>
        <w:t xml:space="preserve"> </w:t>
      </w:r>
      <w:r>
        <w:rPr>
          <w:rFonts w:cs="Arial"/>
          <w:i/>
          <w:iCs/>
          <w:sz w:val="20"/>
          <w:szCs w:val="20"/>
        </w:rPr>
        <w:t>are</w:t>
      </w:r>
      <w:r>
        <w:rPr>
          <w:rFonts w:cs="Arial"/>
          <w:i/>
          <w:iCs/>
          <w:spacing w:val="1"/>
          <w:sz w:val="20"/>
          <w:szCs w:val="20"/>
        </w:rPr>
        <w:t xml:space="preserve"> </w:t>
      </w:r>
      <w:r>
        <w:rPr>
          <w:rFonts w:cs="Arial"/>
          <w:i/>
          <w:iCs/>
          <w:sz w:val="20"/>
          <w:szCs w:val="20"/>
        </w:rPr>
        <w:t>personally</w:t>
      </w:r>
      <w:r>
        <w:rPr>
          <w:rFonts w:cs="Arial"/>
          <w:i/>
          <w:iCs/>
          <w:spacing w:val="1"/>
          <w:sz w:val="20"/>
          <w:szCs w:val="20"/>
        </w:rPr>
        <w:t xml:space="preserve"> </w:t>
      </w:r>
      <w:r>
        <w:rPr>
          <w:rFonts w:cs="Arial"/>
          <w:i/>
          <w:iCs/>
          <w:sz w:val="20"/>
          <w:szCs w:val="20"/>
        </w:rPr>
        <w:t>responsible</w:t>
      </w:r>
      <w:r>
        <w:rPr>
          <w:rFonts w:cs="Arial"/>
          <w:i/>
          <w:iCs/>
          <w:spacing w:val="1"/>
          <w:sz w:val="20"/>
          <w:szCs w:val="20"/>
        </w:rPr>
        <w:t xml:space="preserve"> </w:t>
      </w:r>
      <w:r>
        <w:rPr>
          <w:rFonts w:cs="Arial"/>
          <w:i/>
          <w:iCs/>
          <w:sz w:val="20"/>
          <w:szCs w:val="20"/>
        </w:rPr>
        <w:t>for</w:t>
      </w:r>
      <w:r>
        <w:rPr>
          <w:rFonts w:cs="Arial"/>
          <w:i/>
          <w:iCs/>
          <w:spacing w:val="1"/>
          <w:sz w:val="20"/>
          <w:szCs w:val="20"/>
        </w:rPr>
        <w:t xml:space="preserve"> </w:t>
      </w:r>
      <w:r>
        <w:rPr>
          <w:rFonts w:cs="Arial"/>
          <w:i/>
          <w:iCs/>
          <w:sz w:val="20"/>
          <w:szCs w:val="20"/>
        </w:rPr>
        <w:t>the</w:t>
      </w:r>
      <w:r>
        <w:rPr>
          <w:rFonts w:cs="Arial"/>
          <w:i/>
          <w:iCs/>
          <w:spacing w:val="1"/>
          <w:sz w:val="20"/>
          <w:szCs w:val="20"/>
        </w:rPr>
        <w:t xml:space="preserve"> </w:t>
      </w:r>
      <w:r>
        <w:rPr>
          <w:rFonts w:cs="Arial"/>
          <w:i/>
          <w:iCs/>
          <w:sz w:val="20"/>
          <w:szCs w:val="20"/>
        </w:rPr>
        <w:t>quality</w:t>
      </w:r>
      <w:r>
        <w:rPr>
          <w:rFonts w:cs="Arial"/>
          <w:i/>
          <w:iCs/>
          <w:spacing w:val="1"/>
          <w:sz w:val="20"/>
          <w:szCs w:val="20"/>
        </w:rPr>
        <w:t xml:space="preserve"> </w:t>
      </w:r>
      <w:r>
        <w:rPr>
          <w:rFonts w:cs="Arial"/>
          <w:i/>
          <w:iCs/>
          <w:sz w:val="20"/>
          <w:szCs w:val="20"/>
        </w:rPr>
        <w:t>of</w:t>
      </w:r>
      <w:r>
        <w:rPr>
          <w:rFonts w:cs="Arial"/>
          <w:i/>
          <w:iCs/>
          <w:spacing w:val="1"/>
          <w:sz w:val="20"/>
          <w:szCs w:val="20"/>
        </w:rPr>
        <w:t xml:space="preserve"> </w:t>
      </w:r>
      <w:r>
        <w:rPr>
          <w:rFonts w:cs="Arial"/>
          <w:i/>
          <w:iCs/>
          <w:sz w:val="20"/>
          <w:szCs w:val="20"/>
        </w:rPr>
        <w:t>data</w:t>
      </w:r>
      <w:r>
        <w:rPr>
          <w:rFonts w:cs="Arial"/>
          <w:i/>
          <w:iCs/>
          <w:spacing w:val="1"/>
          <w:sz w:val="20"/>
          <w:szCs w:val="20"/>
        </w:rPr>
        <w:t xml:space="preserve"> </w:t>
      </w:r>
      <w:r>
        <w:rPr>
          <w:rFonts w:cs="Arial"/>
          <w:i/>
          <w:iCs/>
          <w:sz w:val="20"/>
          <w:szCs w:val="20"/>
        </w:rPr>
        <w:t>entered</w:t>
      </w:r>
      <w:r>
        <w:rPr>
          <w:rFonts w:cs="Arial"/>
          <w:i/>
          <w:iCs/>
          <w:spacing w:val="1"/>
          <w:sz w:val="20"/>
          <w:szCs w:val="20"/>
        </w:rPr>
        <w:t xml:space="preserve"> </w:t>
      </w:r>
      <w:r>
        <w:rPr>
          <w:rFonts w:cs="Arial"/>
          <w:i/>
          <w:iCs/>
          <w:sz w:val="20"/>
          <w:szCs w:val="20"/>
        </w:rPr>
        <w:t>by</w:t>
      </w:r>
      <w:r>
        <w:rPr>
          <w:rFonts w:cs="Arial"/>
          <w:i/>
          <w:iCs/>
          <w:spacing w:val="1"/>
          <w:sz w:val="20"/>
          <w:szCs w:val="20"/>
        </w:rPr>
        <w:t xml:space="preserve"> </w:t>
      </w:r>
      <w:r>
        <w:rPr>
          <w:rFonts w:cs="Arial"/>
          <w:i/>
          <w:iCs/>
          <w:sz w:val="20"/>
          <w:szCs w:val="20"/>
        </w:rPr>
        <w:t>themselves, or on their behalf, on GMCAs computerised systems or manual records (paper</w:t>
      </w:r>
      <w:r>
        <w:rPr>
          <w:rFonts w:cs="Arial"/>
          <w:i/>
          <w:iCs/>
          <w:spacing w:val="1"/>
          <w:sz w:val="20"/>
          <w:szCs w:val="20"/>
        </w:rPr>
        <w:t xml:space="preserve"> </w:t>
      </w:r>
      <w:r>
        <w:rPr>
          <w:rFonts w:cs="Arial"/>
          <w:i/>
          <w:iCs/>
          <w:sz w:val="20"/>
          <w:szCs w:val="20"/>
        </w:rPr>
        <w:t>records) and must ensure that such data is entered accurately and, in a timely manner, to</w:t>
      </w:r>
      <w:r>
        <w:rPr>
          <w:rFonts w:cs="Arial"/>
          <w:i/>
          <w:iCs/>
          <w:spacing w:val="1"/>
          <w:sz w:val="20"/>
          <w:szCs w:val="20"/>
        </w:rPr>
        <w:t xml:space="preserve"> </w:t>
      </w:r>
      <w:r>
        <w:rPr>
          <w:rFonts w:cs="Arial"/>
          <w:i/>
          <w:iCs/>
          <w:sz w:val="20"/>
          <w:szCs w:val="20"/>
        </w:rPr>
        <w:t>ensure high</w:t>
      </w:r>
      <w:r>
        <w:rPr>
          <w:rFonts w:cs="Arial"/>
          <w:i/>
          <w:iCs/>
          <w:spacing w:val="-3"/>
          <w:sz w:val="20"/>
          <w:szCs w:val="20"/>
        </w:rPr>
        <w:t xml:space="preserve"> </w:t>
      </w:r>
      <w:r>
        <w:rPr>
          <w:rFonts w:cs="Arial"/>
          <w:i/>
          <w:iCs/>
          <w:sz w:val="20"/>
          <w:szCs w:val="20"/>
        </w:rPr>
        <w:t>standards of data</w:t>
      </w:r>
      <w:r>
        <w:rPr>
          <w:rFonts w:cs="Arial"/>
          <w:i/>
          <w:iCs/>
          <w:spacing w:val="-5"/>
          <w:sz w:val="20"/>
          <w:szCs w:val="20"/>
        </w:rPr>
        <w:t xml:space="preserve"> </w:t>
      </w:r>
      <w:r>
        <w:rPr>
          <w:rFonts w:cs="Arial"/>
          <w:i/>
          <w:iCs/>
          <w:sz w:val="20"/>
          <w:szCs w:val="20"/>
        </w:rPr>
        <w:t>quality</w:t>
      </w:r>
      <w:r>
        <w:rPr>
          <w:rFonts w:cs="Arial"/>
          <w:i/>
          <w:iCs/>
          <w:spacing w:val="-2"/>
          <w:sz w:val="20"/>
          <w:szCs w:val="20"/>
        </w:rPr>
        <w:t xml:space="preserve"> </w:t>
      </w:r>
      <w:r>
        <w:rPr>
          <w:rFonts w:cs="Arial"/>
          <w:i/>
          <w:iCs/>
          <w:sz w:val="20"/>
          <w:szCs w:val="20"/>
        </w:rPr>
        <w:t>in accordance with Departmental protocols. To ensure data is handled in a secure manner protecting the confidentiality of any personal</w:t>
      </w:r>
      <w:r>
        <w:rPr>
          <w:rFonts w:cs="Arial"/>
          <w:i/>
          <w:iCs/>
          <w:spacing w:val="1"/>
          <w:sz w:val="20"/>
          <w:szCs w:val="20"/>
        </w:rPr>
        <w:t xml:space="preserve"> </w:t>
      </w:r>
      <w:r>
        <w:rPr>
          <w:rFonts w:cs="Arial"/>
          <w:i/>
          <w:iCs/>
          <w:sz w:val="20"/>
          <w:szCs w:val="20"/>
        </w:rPr>
        <w:t>data</w:t>
      </w:r>
      <w:r>
        <w:rPr>
          <w:rFonts w:cs="Arial"/>
          <w:i/>
          <w:iCs/>
          <w:spacing w:val="-1"/>
          <w:sz w:val="20"/>
          <w:szCs w:val="20"/>
        </w:rPr>
        <w:t xml:space="preserve"> </w:t>
      </w:r>
      <w:r>
        <w:rPr>
          <w:rFonts w:cs="Arial"/>
          <w:i/>
          <w:iCs/>
          <w:sz w:val="20"/>
          <w:szCs w:val="20"/>
        </w:rPr>
        <w:t>held in</w:t>
      </w:r>
      <w:r>
        <w:rPr>
          <w:rFonts w:cs="Arial"/>
          <w:i/>
          <w:iCs/>
          <w:spacing w:val="-2"/>
          <w:sz w:val="20"/>
          <w:szCs w:val="20"/>
        </w:rPr>
        <w:t xml:space="preserve"> </w:t>
      </w:r>
      <w:r>
        <w:rPr>
          <w:rFonts w:cs="Arial"/>
          <w:i/>
          <w:iCs/>
          <w:sz w:val="20"/>
          <w:szCs w:val="20"/>
        </w:rPr>
        <w:t>meeting</w:t>
      </w:r>
      <w:r>
        <w:rPr>
          <w:rFonts w:cs="Arial"/>
          <w:i/>
          <w:iCs/>
          <w:spacing w:val="-1"/>
          <w:sz w:val="20"/>
          <w:szCs w:val="20"/>
        </w:rPr>
        <w:t xml:space="preserve"> </w:t>
      </w:r>
      <w:r>
        <w:rPr>
          <w:rFonts w:cs="Arial"/>
          <w:i/>
          <w:iCs/>
          <w:sz w:val="20"/>
          <w:szCs w:val="20"/>
        </w:rPr>
        <w:t>the</w:t>
      </w:r>
      <w:r>
        <w:rPr>
          <w:rFonts w:cs="Arial"/>
          <w:i/>
          <w:iCs/>
          <w:spacing w:val="-4"/>
          <w:sz w:val="20"/>
          <w:szCs w:val="20"/>
        </w:rPr>
        <w:t xml:space="preserve"> </w:t>
      </w:r>
      <w:r>
        <w:rPr>
          <w:rFonts w:cs="Arial"/>
          <w:i/>
          <w:iCs/>
          <w:sz w:val="20"/>
          <w:szCs w:val="20"/>
        </w:rPr>
        <w:t>requirements</w:t>
      </w:r>
      <w:r>
        <w:rPr>
          <w:rFonts w:cs="Arial"/>
          <w:i/>
          <w:iCs/>
          <w:spacing w:val="-1"/>
          <w:sz w:val="20"/>
          <w:szCs w:val="20"/>
        </w:rPr>
        <w:t xml:space="preserve"> </w:t>
      </w:r>
      <w:r>
        <w:rPr>
          <w:rFonts w:cs="Arial"/>
          <w:i/>
          <w:iCs/>
          <w:sz w:val="20"/>
          <w:szCs w:val="20"/>
        </w:rPr>
        <w:t>of</w:t>
      </w:r>
      <w:r>
        <w:rPr>
          <w:rFonts w:cs="Arial"/>
          <w:i/>
          <w:iCs/>
          <w:spacing w:val="2"/>
          <w:sz w:val="20"/>
          <w:szCs w:val="20"/>
        </w:rPr>
        <w:t xml:space="preserve"> </w:t>
      </w:r>
      <w:r>
        <w:rPr>
          <w:rFonts w:cs="Arial"/>
          <w:i/>
          <w:iCs/>
          <w:sz w:val="20"/>
          <w:szCs w:val="20"/>
        </w:rPr>
        <w:t>the</w:t>
      </w:r>
      <w:r>
        <w:rPr>
          <w:rFonts w:cs="Arial"/>
          <w:i/>
          <w:iCs/>
          <w:spacing w:val="-3"/>
          <w:sz w:val="20"/>
          <w:szCs w:val="20"/>
        </w:rPr>
        <w:t xml:space="preserve"> </w:t>
      </w:r>
      <w:r>
        <w:rPr>
          <w:rFonts w:cs="Arial"/>
          <w:i/>
          <w:iCs/>
          <w:sz w:val="20"/>
          <w:szCs w:val="20"/>
        </w:rPr>
        <w:t>Data</w:t>
      </w:r>
      <w:r>
        <w:rPr>
          <w:rFonts w:cs="Arial"/>
          <w:i/>
          <w:iCs/>
          <w:spacing w:val="-1"/>
          <w:sz w:val="20"/>
          <w:szCs w:val="20"/>
        </w:rPr>
        <w:t xml:space="preserve"> </w:t>
      </w:r>
      <w:r>
        <w:rPr>
          <w:rFonts w:cs="Arial"/>
          <w:i/>
          <w:iCs/>
          <w:sz w:val="20"/>
          <w:szCs w:val="20"/>
        </w:rPr>
        <w:t>Protection</w:t>
      </w:r>
      <w:r>
        <w:rPr>
          <w:rFonts w:cs="Arial"/>
          <w:i/>
          <w:iCs/>
          <w:spacing w:val="1"/>
          <w:sz w:val="20"/>
          <w:szCs w:val="20"/>
        </w:rPr>
        <w:t xml:space="preserve"> </w:t>
      </w:r>
      <w:r>
        <w:rPr>
          <w:rFonts w:cs="Arial"/>
          <w:i/>
          <w:iCs/>
          <w:sz w:val="20"/>
          <w:szCs w:val="20"/>
        </w:rPr>
        <w:t>Act.</w:t>
      </w:r>
    </w:p>
    <w:p>
      <w:pPr>
        <w:pStyle w:val="Normal"/>
        <w:rPr/>
      </w:pPr>
      <w:r>
        <w:rPr>
          <w:rFonts w:cs="Arial"/>
          <w:b/>
          <w:bCs/>
          <w:i/>
          <w:iCs/>
          <w:sz w:val="20"/>
          <w:szCs w:val="20"/>
        </w:rPr>
        <w:t>Health and Safety</w:t>
      </w:r>
      <w:r>
        <w:rPr>
          <w:rFonts w:cs="Arial"/>
          <w:i/>
          <w:iCs/>
          <w:sz w:val="20"/>
          <w:szCs w:val="20"/>
        </w:rPr>
        <w:t xml:space="preserve"> - All employees of GMCA have a statutory duty of care for their own</w:t>
      </w:r>
      <w:r>
        <w:rPr>
          <w:rFonts w:cs="Arial"/>
          <w:i/>
          <w:iCs/>
          <w:spacing w:val="1"/>
          <w:sz w:val="20"/>
          <w:szCs w:val="20"/>
        </w:rPr>
        <w:t xml:space="preserve"> </w:t>
      </w:r>
      <w:r>
        <w:rPr>
          <w:rFonts w:cs="Arial"/>
          <w:i/>
          <w:iCs/>
          <w:sz w:val="20"/>
          <w:szCs w:val="20"/>
        </w:rPr>
        <w:t>personal</w:t>
      </w:r>
      <w:r>
        <w:rPr>
          <w:rFonts w:cs="Arial"/>
          <w:i/>
          <w:iCs/>
          <w:spacing w:val="-9"/>
          <w:sz w:val="20"/>
          <w:szCs w:val="20"/>
        </w:rPr>
        <w:t xml:space="preserve"> </w:t>
      </w:r>
      <w:r>
        <w:rPr>
          <w:rFonts w:cs="Arial"/>
          <w:i/>
          <w:iCs/>
          <w:sz w:val="20"/>
          <w:szCs w:val="20"/>
        </w:rPr>
        <w:t>safety</w:t>
      </w:r>
      <w:r>
        <w:rPr>
          <w:rFonts w:cs="Arial"/>
          <w:i/>
          <w:iCs/>
          <w:spacing w:val="-9"/>
          <w:sz w:val="20"/>
          <w:szCs w:val="20"/>
        </w:rPr>
        <w:t xml:space="preserve"> </w:t>
      </w:r>
      <w:r>
        <w:rPr>
          <w:rFonts w:cs="Arial"/>
          <w:i/>
          <w:iCs/>
          <w:sz w:val="20"/>
          <w:szCs w:val="20"/>
        </w:rPr>
        <w:t>and</w:t>
      </w:r>
      <w:r>
        <w:rPr>
          <w:rFonts w:cs="Arial"/>
          <w:i/>
          <w:iCs/>
          <w:spacing w:val="-8"/>
          <w:sz w:val="20"/>
          <w:szCs w:val="20"/>
        </w:rPr>
        <w:t xml:space="preserve"> </w:t>
      </w:r>
      <w:r>
        <w:rPr>
          <w:rFonts w:cs="Arial"/>
          <w:i/>
          <w:iCs/>
          <w:sz w:val="20"/>
          <w:szCs w:val="20"/>
        </w:rPr>
        <w:t>that</w:t>
      </w:r>
      <w:r>
        <w:rPr>
          <w:rFonts w:cs="Arial"/>
          <w:i/>
          <w:iCs/>
          <w:spacing w:val="-9"/>
          <w:sz w:val="20"/>
          <w:szCs w:val="20"/>
        </w:rPr>
        <w:t xml:space="preserve"> </w:t>
      </w:r>
      <w:r>
        <w:rPr>
          <w:rFonts w:cs="Arial"/>
          <w:i/>
          <w:iCs/>
          <w:sz w:val="20"/>
          <w:szCs w:val="20"/>
        </w:rPr>
        <w:t>of</w:t>
      </w:r>
      <w:r>
        <w:rPr>
          <w:rFonts w:cs="Arial"/>
          <w:i/>
          <w:iCs/>
          <w:spacing w:val="-3"/>
          <w:sz w:val="20"/>
          <w:szCs w:val="20"/>
        </w:rPr>
        <w:t xml:space="preserve"> </w:t>
      </w:r>
      <w:r>
        <w:rPr>
          <w:rFonts w:cs="Arial"/>
          <w:i/>
          <w:iCs/>
          <w:sz w:val="20"/>
          <w:szCs w:val="20"/>
        </w:rPr>
        <w:t>others</w:t>
      </w:r>
      <w:r>
        <w:rPr>
          <w:rFonts w:cs="Arial"/>
          <w:i/>
          <w:iCs/>
          <w:spacing w:val="-7"/>
          <w:sz w:val="20"/>
          <w:szCs w:val="20"/>
        </w:rPr>
        <w:t xml:space="preserve"> </w:t>
      </w:r>
      <w:r>
        <w:rPr>
          <w:rFonts w:cs="Arial"/>
          <w:i/>
          <w:iCs/>
          <w:sz w:val="20"/>
          <w:szCs w:val="20"/>
        </w:rPr>
        <w:t>who</w:t>
      </w:r>
      <w:r>
        <w:rPr>
          <w:rFonts w:cs="Arial"/>
          <w:i/>
          <w:iCs/>
          <w:spacing w:val="-7"/>
          <w:sz w:val="20"/>
          <w:szCs w:val="20"/>
        </w:rPr>
        <w:t xml:space="preserve"> </w:t>
      </w:r>
      <w:r>
        <w:rPr>
          <w:rFonts w:cs="Arial"/>
          <w:i/>
          <w:iCs/>
          <w:sz w:val="20"/>
          <w:szCs w:val="20"/>
        </w:rPr>
        <w:t>may</w:t>
      </w:r>
      <w:r>
        <w:rPr>
          <w:rFonts w:cs="Arial"/>
          <w:i/>
          <w:iCs/>
          <w:spacing w:val="-10"/>
          <w:sz w:val="20"/>
          <w:szCs w:val="20"/>
        </w:rPr>
        <w:t xml:space="preserve"> </w:t>
      </w:r>
      <w:r>
        <w:rPr>
          <w:rFonts w:cs="Arial"/>
          <w:i/>
          <w:iCs/>
          <w:sz w:val="20"/>
          <w:szCs w:val="20"/>
        </w:rPr>
        <w:t>be</w:t>
      </w:r>
      <w:r>
        <w:rPr>
          <w:rFonts w:cs="Arial"/>
          <w:i/>
          <w:iCs/>
          <w:spacing w:val="-8"/>
          <w:sz w:val="20"/>
          <w:szCs w:val="20"/>
        </w:rPr>
        <w:t xml:space="preserve"> </w:t>
      </w:r>
      <w:r>
        <w:rPr>
          <w:rFonts w:cs="Arial"/>
          <w:i/>
          <w:iCs/>
          <w:sz w:val="20"/>
          <w:szCs w:val="20"/>
        </w:rPr>
        <w:t>affected</w:t>
      </w:r>
      <w:r>
        <w:rPr>
          <w:rFonts w:cs="Arial"/>
          <w:i/>
          <w:iCs/>
          <w:spacing w:val="-7"/>
          <w:sz w:val="20"/>
          <w:szCs w:val="20"/>
        </w:rPr>
        <w:t xml:space="preserve"> </w:t>
      </w:r>
      <w:r>
        <w:rPr>
          <w:rFonts w:cs="Arial"/>
          <w:i/>
          <w:iCs/>
          <w:sz w:val="20"/>
          <w:szCs w:val="20"/>
        </w:rPr>
        <w:t>by</w:t>
      </w:r>
      <w:r>
        <w:rPr>
          <w:rFonts w:cs="Arial"/>
          <w:i/>
          <w:iCs/>
          <w:spacing w:val="-10"/>
          <w:sz w:val="20"/>
          <w:szCs w:val="20"/>
        </w:rPr>
        <w:t xml:space="preserve"> </w:t>
      </w:r>
      <w:r>
        <w:rPr>
          <w:rFonts w:cs="Arial"/>
          <w:i/>
          <w:iCs/>
          <w:sz w:val="20"/>
          <w:szCs w:val="20"/>
        </w:rPr>
        <w:t>their</w:t>
      </w:r>
      <w:r>
        <w:rPr>
          <w:rFonts w:cs="Arial"/>
          <w:i/>
          <w:iCs/>
          <w:spacing w:val="-6"/>
          <w:sz w:val="20"/>
          <w:szCs w:val="20"/>
        </w:rPr>
        <w:t xml:space="preserve"> </w:t>
      </w:r>
      <w:r>
        <w:rPr>
          <w:rFonts w:cs="Arial"/>
          <w:i/>
          <w:iCs/>
          <w:sz w:val="20"/>
          <w:szCs w:val="20"/>
        </w:rPr>
        <w:t>acts</w:t>
      </w:r>
      <w:r>
        <w:rPr>
          <w:rFonts w:cs="Arial"/>
          <w:i/>
          <w:iCs/>
          <w:spacing w:val="-7"/>
          <w:sz w:val="20"/>
          <w:szCs w:val="20"/>
        </w:rPr>
        <w:t xml:space="preserve"> </w:t>
      </w:r>
      <w:r>
        <w:rPr>
          <w:rFonts w:cs="Arial"/>
          <w:i/>
          <w:iCs/>
          <w:sz w:val="20"/>
          <w:szCs w:val="20"/>
        </w:rPr>
        <w:t>or</w:t>
      </w:r>
      <w:r>
        <w:rPr>
          <w:rFonts w:cs="Arial"/>
          <w:i/>
          <w:iCs/>
          <w:spacing w:val="-6"/>
          <w:sz w:val="20"/>
          <w:szCs w:val="20"/>
        </w:rPr>
        <w:t xml:space="preserve"> </w:t>
      </w:r>
      <w:r>
        <w:rPr>
          <w:rFonts w:cs="Arial"/>
          <w:i/>
          <w:iCs/>
          <w:sz w:val="20"/>
          <w:szCs w:val="20"/>
        </w:rPr>
        <w:t>omissions.</w:t>
      </w:r>
      <w:r>
        <w:rPr>
          <w:rFonts w:cs="Arial"/>
          <w:i/>
          <w:iCs/>
          <w:spacing w:val="-5"/>
          <w:sz w:val="20"/>
          <w:szCs w:val="20"/>
        </w:rPr>
        <w:t xml:space="preserve"> </w:t>
      </w:r>
      <w:r>
        <w:rPr>
          <w:rFonts w:cs="Arial"/>
          <w:i/>
          <w:iCs/>
          <w:sz w:val="20"/>
          <w:szCs w:val="20"/>
        </w:rPr>
        <w:t>Employees</w:t>
      </w:r>
      <w:r>
        <w:rPr>
          <w:rFonts w:cs="Arial"/>
          <w:i/>
          <w:iCs/>
          <w:spacing w:val="-59"/>
          <w:sz w:val="20"/>
          <w:szCs w:val="20"/>
        </w:rPr>
        <w:t xml:space="preserve"> </w:t>
      </w:r>
      <w:r>
        <w:rPr>
          <w:rFonts w:cs="Arial"/>
          <w:i/>
          <w:iCs/>
          <w:sz w:val="20"/>
          <w:szCs w:val="20"/>
        </w:rPr>
        <w:t>are required to co-operate with management to enable GMCA to meet its own legal duties</w:t>
      </w:r>
      <w:r>
        <w:rPr>
          <w:rFonts w:cs="Arial"/>
          <w:i/>
          <w:iCs/>
          <w:spacing w:val="1"/>
          <w:sz w:val="20"/>
          <w:szCs w:val="20"/>
        </w:rPr>
        <w:t xml:space="preserve"> </w:t>
      </w:r>
      <w:r>
        <w:rPr>
          <w:rFonts w:cs="Arial"/>
          <w:i/>
          <w:iCs/>
          <w:sz w:val="20"/>
          <w:szCs w:val="20"/>
        </w:rPr>
        <w:t>and</w:t>
      </w:r>
      <w:r>
        <w:rPr>
          <w:rFonts w:cs="Arial"/>
          <w:i/>
          <w:iCs/>
          <w:spacing w:val="-5"/>
          <w:sz w:val="20"/>
          <w:szCs w:val="20"/>
        </w:rPr>
        <w:t xml:space="preserve"> </w:t>
      </w:r>
      <w:r>
        <w:rPr>
          <w:rFonts w:cs="Arial"/>
          <w:i/>
          <w:iCs/>
          <w:sz w:val="20"/>
          <w:szCs w:val="20"/>
        </w:rPr>
        <w:t>to</w:t>
      </w:r>
      <w:r>
        <w:rPr>
          <w:rFonts w:cs="Arial"/>
          <w:i/>
          <w:iCs/>
          <w:spacing w:val="-5"/>
          <w:sz w:val="20"/>
          <w:szCs w:val="20"/>
        </w:rPr>
        <w:t xml:space="preserve"> </w:t>
      </w:r>
      <w:r>
        <w:rPr>
          <w:rFonts w:cs="Arial"/>
          <w:i/>
          <w:iCs/>
          <w:sz w:val="20"/>
          <w:szCs w:val="20"/>
        </w:rPr>
        <w:t>report</w:t>
      </w:r>
      <w:r>
        <w:rPr>
          <w:rFonts w:cs="Arial"/>
          <w:i/>
          <w:iCs/>
          <w:spacing w:val="-4"/>
          <w:sz w:val="20"/>
          <w:szCs w:val="20"/>
        </w:rPr>
        <w:t xml:space="preserve"> </w:t>
      </w:r>
      <w:r>
        <w:rPr>
          <w:rFonts w:cs="Arial"/>
          <w:i/>
          <w:iCs/>
          <w:sz w:val="20"/>
          <w:szCs w:val="20"/>
        </w:rPr>
        <w:t>any</w:t>
      </w:r>
      <w:r>
        <w:rPr>
          <w:rFonts w:cs="Arial"/>
          <w:i/>
          <w:iCs/>
          <w:spacing w:val="-8"/>
          <w:sz w:val="20"/>
          <w:szCs w:val="20"/>
        </w:rPr>
        <w:t xml:space="preserve"> </w:t>
      </w:r>
      <w:r>
        <w:rPr>
          <w:rFonts w:cs="Arial"/>
          <w:i/>
          <w:iCs/>
          <w:sz w:val="20"/>
          <w:szCs w:val="20"/>
        </w:rPr>
        <w:t>circumstances</w:t>
      </w:r>
      <w:r>
        <w:rPr>
          <w:rFonts w:cs="Arial"/>
          <w:i/>
          <w:iCs/>
          <w:spacing w:val="-7"/>
          <w:sz w:val="20"/>
          <w:szCs w:val="20"/>
        </w:rPr>
        <w:t xml:space="preserve"> </w:t>
      </w:r>
      <w:r>
        <w:rPr>
          <w:rFonts w:cs="Arial"/>
          <w:i/>
          <w:iCs/>
          <w:sz w:val="20"/>
          <w:szCs w:val="20"/>
        </w:rPr>
        <w:t>that</w:t>
      </w:r>
      <w:r>
        <w:rPr>
          <w:rFonts w:cs="Arial"/>
          <w:i/>
          <w:iCs/>
          <w:spacing w:val="-5"/>
          <w:sz w:val="20"/>
          <w:szCs w:val="20"/>
        </w:rPr>
        <w:t xml:space="preserve"> </w:t>
      </w:r>
      <w:r>
        <w:rPr>
          <w:rFonts w:cs="Arial"/>
          <w:i/>
          <w:iCs/>
          <w:sz w:val="20"/>
          <w:szCs w:val="20"/>
        </w:rPr>
        <w:t>may</w:t>
      </w:r>
      <w:r>
        <w:rPr>
          <w:rFonts w:cs="Arial"/>
          <w:i/>
          <w:iCs/>
          <w:spacing w:val="-8"/>
          <w:sz w:val="20"/>
          <w:szCs w:val="20"/>
        </w:rPr>
        <w:t xml:space="preserve"> </w:t>
      </w:r>
      <w:r>
        <w:rPr>
          <w:rFonts w:cs="Arial"/>
          <w:i/>
          <w:iCs/>
          <w:sz w:val="20"/>
          <w:szCs w:val="20"/>
        </w:rPr>
        <w:t>compromise</w:t>
      </w:r>
      <w:r>
        <w:rPr>
          <w:rFonts w:cs="Arial"/>
          <w:i/>
          <w:iCs/>
          <w:spacing w:val="-4"/>
          <w:sz w:val="20"/>
          <w:szCs w:val="20"/>
        </w:rPr>
        <w:t xml:space="preserve"> </w:t>
      </w:r>
      <w:r>
        <w:rPr>
          <w:rFonts w:cs="Arial"/>
          <w:i/>
          <w:iCs/>
          <w:sz w:val="20"/>
          <w:szCs w:val="20"/>
        </w:rPr>
        <w:t>the</w:t>
      </w:r>
      <w:r>
        <w:rPr>
          <w:rFonts w:cs="Arial"/>
          <w:i/>
          <w:iCs/>
          <w:spacing w:val="-6"/>
          <w:sz w:val="20"/>
          <w:szCs w:val="20"/>
        </w:rPr>
        <w:t xml:space="preserve"> </w:t>
      </w:r>
      <w:r>
        <w:rPr>
          <w:rFonts w:cs="Arial"/>
          <w:i/>
          <w:iCs/>
          <w:sz w:val="20"/>
          <w:szCs w:val="20"/>
        </w:rPr>
        <w:t>health,</w:t>
      </w:r>
      <w:r>
        <w:rPr>
          <w:rFonts w:cs="Arial"/>
          <w:i/>
          <w:iCs/>
          <w:spacing w:val="-4"/>
          <w:sz w:val="20"/>
          <w:szCs w:val="20"/>
        </w:rPr>
        <w:t xml:space="preserve"> </w:t>
      </w:r>
      <w:r>
        <w:rPr>
          <w:rFonts w:cs="Arial"/>
          <w:i/>
          <w:iCs/>
          <w:sz w:val="20"/>
          <w:szCs w:val="20"/>
        </w:rPr>
        <w:t>safety</w:t>
      </w:r>
      <w:r>
        <w:rPr>
          <w:rFonts w:cs="Arial"/>
          <w:i/>
          <w:iCs/>
          <w:spacing w:val="-7"/>
          <w:sz w:val="20"/>
          <w:szCs w:val="20"/>
        </w:rPr>
        <w:t xml:space="preserve"> </w:t>
      </w:r>
      <w:r>
        <w:rPr>
          <w:rFonts w:cs="Arial"/>
          <w:i/>
          <w:iCs/>
          <w:sz w:val="20"/>
          <w:szCs w:val="20"/>
        </w:rPr>
        <w:t>and</w:t>
      </w:r>
      <w:r>
        <w:rPr>
          <w:rFonts w:cs="Arial"/>
          <w:i/>
          <w:iCs/>
          <w:spacing w:val="-5"/>
          <w:sz w:val="20"/>
          <w:szCs w:val="20"/>
        </w:rPr>
        <w:t xml:space="preserve"> </w:t>
      </w:r>
      <w:r>
        <w:rPr>
          <w:rFonts w:cs="Arial"/>
          <w:i/>
          <w:iCs/>
          <w:sz w:val="20"/>
          <w:szCs w:val="20"/>
        </w:rPr>
        <w:t>welfare</w:t>
      </w:r>
      <w:r>
        <w:rPr>
          <w:rFonts w:cs="Arial"/>
          <w:i/>
          <w:iCs/>
          <w:spacing w:val="-4"/>
          <w:sz w:val="20"/>
          <w:szCs w:val="20"/>
        </w:rPr>
        <w:t xml:space="preserve"> </w:t>
      </w:r>
      <w:r>
        <w:rPr>
          <w:rFonts w:cs="Arial"/>
          <w:i/>
          <w:iCs/>
          <w:sz w:val="20"/>
          <w:szCs w:val="20"/>
        </w:rPr>
        <w:t>of</w:t>
      </w:r>
      <w:r>
        <w:rPr>
          <w:rFonts w:cs="Arial"/>
          <w:i/>
          <w:iCs/>
          <w:spacing w:val="-4"/>
          <w:sz w:val="20"/>
          <w:szCs w:val="20"/>
        </w:rPr>
        <w:t xml:space="preserve"> </w:t>
      </w:r>
      <w:r>
        <w:rPr>
          <w:rFonts w:cs="Arial"/>
          <w:i/>
          <w:iCs/>
          <w:sz w:val="20"/>
          <w:szCs w:val="20"/>
        </w:rPr>
        <w:t>those</w:t>
      </w:r>
      <w:r>
        <w:rPr>
          <w:rFonts w:cs="Arial"/>
          <w:i/>
          <w:iCs/>
          <w:spacing w:val="-59"/>
          <w:sz w:val="20"/>
          <w:szCs w:val="20"/>
        </w:rPr>
        <w:t xml:space="preserve"> </w:t>
      </w:r>
      <w:r>
        <w:rPr>
          <w:rFonts w:cs="Arial"/>
          <w:i/>
          <w:iCs/>
          <w:sz w:val="20"/>
          <w:szCs w:val="20"/>
        </w:rPr>
        <w:t>affected by</w:t>
      </w:r>
      <w:r>
        <w:rPr>
          <w:rFonts w:cs="Arial"/>
          <w:i/>
          <w:iCs/>
          <w:spacing w:val="-4"/>
          <w:sz w:val="20"/>
          <w:szCs w:val="20"/>
        </w:rPr>
        <w:t xml:space="preserve"> </w:t>
      </w:r>
      <w:r>
        <w:rPr>
          <w:rFonts w:cs="Arial"/>
          <w:i/>
          <w:iCs/>
          <w:sz w:val="20"/>
          <w:szCs w:val="20"/>
        </w:rPr>
        <w:t>the Service’s</w:t>
      </w:r>
      <w:r>
        <w:rPr>
          <w:rFonts w:cs="Arial"/>
          <w:i/>
          <w:iCs/>
          <w:spacing w:val="2"/>
          <w:sz w:val="20"/>
          <w:szCs w:val="20"/>
        </w:rPr>
        <w:t xml:space="preserve"> </w:t>
      </w:r>
      <w:r>
        <w:rPr>
          <w:rFonts w:cs="Arial"/>
          <w:i/>
          <w:iCs/>
          <w:sz w:val="20"/>
          <w:szCs w:val="20"/>
        </w:rPr>
        <w:t>undertakings.</w:t>
      </w:r>
    </w:p>
    <w:p>
      <w:pPr>
        <w:pStyle w:val="Normal"/>
        <w:rPr/>
      </w:pPr>
      <w:r>
        <w:rPr>
          <w:rFonts w:cs="Arial"/>
          <w:b/>
          <w:bCs/>
          <w:i/>
          <w:iCs/>
          <w:sz w:val="20"/>
          <w:szCs w:val="20"/>
        </w:rPr>
        <w:t>Service Policies</w:t>
      </w:r>
      <w:r>
        <w:rPr>
          <w:rFonts w:cs="Arial"/>
          <w:i/>
          <w:iCs/>
          <w:sz w:val="20"/>
          <w:szCs w:val="20"/>
        </w:rPr>
        <w:t xml:space="preserve"> - All GMCA employees must observe and adhere to the provisions outlined</w:t>
      </w:r>
      <w:r>
        <w:rPr>
          <w:rFonts w:cs="Arial"/>
          <w:i/>
          <w:iCs/>
          <w:spacing w:val="-59"/>
          <w:sz w:val="20"/>
          <w:szCs w:val="20"/>
        </w:rPr>
        <w:t xml:space="preserve"> </w:t>
      </w:r>
      <w:r>
        <w:rPr>
          <w:rFonts w:cs="Arial"/>
          <w:i/>
          <w:iCs/>
          <w:sz w:val="20"/>
          <w:szCs w:val="20"/>
        </w:rPr>
        <w:t>in</w:t>
      </w:r>
      <w:r>
        <w:rPr>
          <w:rFonts w:cs="Arial"/>
          <w:i/>
          <w:iCs/>
          <w:spacing w:val="-1"/>
          <w:sz w:val="20"/>
          <w:szCs w:val="20"/>
        </w:rPr>
        <w:t xml:space="preserve"> </w:t>
      </w:r>
      <w:r>
        <w:rPr>
          <w:rFonts w:cs="Arial"/>
          <w:i/>
          <w:iCs/>
          <w:sz w:val="20"/>
          <w:szCs w:val="20"/>
        </w:rPr>
        <w:t>these policies.</w:t>
      </w:r>
    </w:p>
    <w:p>
      <w:pPr>
        <w:pStyle w:val="Normal"/>
        <w:widowControl w:val="false"/>
        <w:bidi w:val="0"/>
        <w:spacing w:lineRule="auto" w:line="360" w:before="0" w:after="240"/>
        <w:jc w:val="left"/>
        <w:rPr/>
      </w:pPr>
      <w:r>
        <w:rPr>
          <w:rFonts w:cs="Arial"/>
          <w:b/>
          <w:bCs/>
          <w:i/>
          <w:iCs/>
          <w:sz w:val="20"/>
          <w:szCs w:val="20"/>
        </w:rPr>
        <w:t>Equal Opportunities</w:t>
      </w:r>
      <w:r>
        <w:rPr>
          <w:rFonts w:cs="Arial"/>
          <w:i/>
          <w:iCs/>
          <w:sz w:val="20"/>
          <w:szCs w:val="20"/>
        </w:rPr>
        <w:t xml:space="preserve"> - GMCA provides a range of services and employment</w:t>
      </w:r>
      <w:r>
        <w:rPr>
          <w:rFonts w:cs="Arial"/>
          <w:i/>
          <w:iCs/>
          <w:spacing w:val="1"/>
          <w:sz w:val="20"/>
          <w:szCs w:val="20"/>
        </w:rPr>
        <w:t xml:space="preserve"> </w:t>
      </w:r>
      <w:r>
        <w:rPr>
          <w:rFonts w:cs="Arial"/>
          <w:i/>
          <w:iCs/>
          <w:sz w:val="20"/>
          <w:szCs w:val="20"/>
        </w:rPr>
        <w:t xml:space="preserve">opportunities for a diverse population. As a GMCA employee you are expected to treat all </w:t>
      </w:r>
      <w:r>
        <w:rPr>
          <w:rFonts w:cs="Arial"/>
          <w:i/>
          <w:iCs/>
          <w:spacing w:val="-59"/>
          <w:sz w:val="20"/>
          <w:szCs w:val="20"/>
        </w:rPr>
        <w:t xml:space="preserve"> </w:t>
      </w:r>
      <w:r>
        <w:rPr>
          <w:rFonts w:cs="Arial"/>
          <w:i/>
          <w:iCs/>
          <w:sz w:val="20"/>
          <w:szCs w:val="20"/>
        </w:rPr>
        <w:t>employees / partners / members of the public and work colleagues with dignity and</w:t>
      </w:r>
      <w:r>
        <w:rPr>
          <w:rFonts w:cs="Arial"/>
          <w:i/>
          <w:iCs/>
          <w:spacing w:val="1"/>
          <w:sz w:val="20"/>
          <w:szCs w:val="20"/>
        </w:rPr>
        <w:t xml:space="preserve"> </w:t>
      </w:r>
      <w:r>
        <w:rPr>
          <w:rFonts w:cs="Arial"/>
          <w:i/>
          <w:iCs/>
          <w:sz w:val="20"/>
          <w:szCs w:val="20"/>
        </w:rPr>
        <w:t>respect</w:t>
      </w:r>
      <w:r>
        <w:rPr>
          <w:rFonts w:cs="Arial"/>
          <w:i/>
          <w:iCs/>
          <w:spacing w:val="-2"/>
          <w:sz w:val="20"/>
          <w:szCs w:val="20"/>
        </w:rPr>
        <w:t xml:space="preserve"> </w:t>
      </w:r>
      <w:r>
        <w:rPr>
          <w:rFonts w:cs="Arial"/>
          <w:i/>
          <w:iCs/>
          <w:sz w:val="20"/>
          <w:szCs w:val="20"/>
        </w:rPr>
        <w:t>irrespective</w:t>
      </w:r>
      <w:r>
        <w:rPr>
          <w:rFonts w:cs="Arial"/>
          <w:i/>
          <w:iCs/>
          <w:spacing w:val="1"/>
          <w:sz w:val="20"/>
          <w:szCs w:val="20"/>
        </w:rPr>
        <w:t xml:space="preserve"> </w:t>
      </w:r>
      <w:r>
        <w:rPr>
          <w:rFonts w:cs="Arial"/>
          <w:i/>
          <w:iCs/>
          <w:sz w:val="20"/>
          <w:szCs w:val="20"/>
        </w:rPr>
        <w:t>of</w:t>
      </w:r>
      <w:r>
        <w:rPr>
          <w:rFonts w:cs="Arial"/>
          <w:i/>
          <w:iCs/>
          <w:spacing w:val="2"/>
          <w:sz w:val="20"/>
          <w:szCs w:val="20"/>
        </w:rPr>
        <w:t xml:space="preserve"> </w:t>
      </w:r>
      <w:r>
        <w:rPr>
          <w:rFonts w:cs="Arial"/>
          <w:i/>
          <w:iCs/>
          <w:sz w:val="20"/>
          <w:szCs w:val="20"/>
        </w:rPr>
        <w:t>their</w:t>
      </w:r>
      <w:r>
        <w:rPr>
          <w:rFonts w:cs="Arial"/>
          <w:i/>
          <w:iCs/>
          <w:spacing w:val="2"/>
          <w:sz w:val="20"/>
          <w:szCs w:val="20"/>
        </w:rPr>
        <w:t xml:space="preserve"> </w:t>
      </w:r>
      <w:r>
        <w:rPr>
          <w:rFonts w:cs="Arial"/>
          <w:i/>
          <w:iCs/>
          <w:sz w:val="20"/>
          <w:szCs w:val="20"/>
        </w:rPr>
        <w:t>background.</w:t>
      </w:r>
    </w:p>
    <w:sectPr>
      <w:headerReference w:type="default" r:id="rId2"/>
      <w:headerReference w:type="first" r:id="rId3"/>
      <w:type w:val="nextPage"/>
      <w:pgSz w:w="11906" w:h="16850"/>
      <w:pgMar w:left="720" w:right="720" w:header="709" w:top="766" w:footer="0" w:bottom="720" w:gutter="0"/>
      <w:pgNumType w:fmt="decimal"/>
      <w:formProt w:val="false"/>
      <w:titlePg/>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ourier New">
    <w:charset w:val="01"/>
    <w:family w:val="modern"/>
    <w:pitch w:val="default"/>
  </w:font>
  <w:font w:name="Wingdings">
    <w:charset w:val="02"/>
    <w:family w:val="auto"/>
    <w:pitch w:val="variable"/>
  </w:font>
  <w:font w:name="Arial">
    <w:charset w:val="01"/>
    <w:family w:val="swiss"/>
    <w:pitch w:val="variable"/>
  </w:font>
  <w:font w:name="Calibri">
    <w:charset w:val="00"/>
    <w:family w:val="roman"/>
    <w:pitch w:val="variable"/>
  </w:font>
  <w:font w:name="Liberation Sans">
    <w:altName w:val="Arial"/>
    <w:charset w:val="00"/>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spacing w:before="0" w:after="24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spacing w:before="0" w:after="240"/>
      <w:rPr/>
    </w:pPr>
    <w:r>
      <w:rPr/>
      <w:drawing>
        <wp:anchor behindDoc="1" distT="0" distB="0" distL="0" distR="0" simplePos="0" locked="0" layoutInCell="1" allowOverlap="1" relativeHeight="2">
          <wp:simplePos x="0" y="0"/>
          <wp:positionH relativeFrom="column">
            <wp:posOffset>4718050</wp:posOffset>
          </wp:positionH>
          <wp:positionV relativeFrom="paragraph">
            <wp:posOffset>-343535</wp:posOffset>
          </wp:positionV>
          <wp:extent cx="2190115" cy="68643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1"/>
                  <a:srcRect l="-5" t="-15" r="-5" b="-15"/>
                  <a:stretch>
                    <a:fillRect/>
                  </a:stretch>
                </pic:blipFill>
                <pic:spPr bwMode="auto">
                  <a:xfrm>
                    <a:off x="0" y="0"/>
                    <a:ext cx="2190115" cy="686435"/>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ind w:left="720" w:hanging="360"/>
      </w:pPr>
      <w:rPr>
        <w:rFonts w:ascii="Symbol" w:hAnsi="Symbol" w:cs="Symbol" w:hint="default"/>
        <w:szCs w:val="24"/>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szCs w:val="24"/>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szCs w:val="24"/>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3">
    <w:lvl w:ilvl="0">
      <w:start w:val="1"/>
      <w:numFmt w:val="bullet"/>
      <w:lvlText w:val=""/>
      <w:lvlJc w:val="left"/>
      <w:pPr>
        <w:ind w:left="720" w:hanging="360"/>
      </w:pPr>
      <w:rPr>
        <w:rFonts w:ascii="Symbol" w:hAnsi="Symbol" w:cs="Symbol" w:hint="default"/>
        <w:rFonts w:cs="Symbol"/>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bullet"/>
      <w:lvlText w:val="•"/>
      <w:lvlJc w:val="left"/>
      <w:pPr>
        <w:ind w:left="720" w:hanging="360"/>
      </w:pPr>
      <w:rPr>
        <w:rFonts w:ascii="Arial" w:hAnsi="Arial" w:cs="Arial" w:hint="default"/>
        <w:rFonts w:cs="Aria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5">
    <w:lvl w:ilvl="0">
      <w:start w:val="1"/>
      <w:numFmt w:val="bullet"/>
      <w:lvlText w:val=""/>
      <w:lvlJc w:val="left"/>
      <w:pPr>
        <w:ind w:left="878" w:hanging="360"/>
      </w:pPr>
      <w:rPr>
        <w:rFonts w:ascii="Symbol" w:hAnsi="Symbol" w:cs="Symbol" w:hint="default"/>
        <w:rFonts w:cs="Symbol"/>
      </w:rPr>
    </w:lvl>
    <w:lvl w:ilvl="1">
      <w:start w:val="1"/>
      <w:numFmt w:val="bullet"/>
      <w:lvlText w:val="o"/>
      <w:lvlJc w:val="left"/>
      <w:pPr>
        <w:ind w:left="1598" w:hanging="360"/>
      </w:pPr>
      <w:rPr>
        <w:rFonts w:ascii="Courier New" w:hAnsi="Courier New" w:cs="Courier New" w:hint="default"/>
        <w:rFonts w:cs="Courier New"/>
      </w:rPr>
    </w:lvl>
    <w:lvl w:ilvl="2">
      <w:start w:val="1"/>
      <w:numFmt w:val="bullet"/>
      <w:lvlText w:val=""/>
      <w:lvlJc w:val="left"/>
      <w:pPr>
        <w:ind w:left="2318" w:hanging="360"/>
      </w:pPr>
      <w:rPr>
        <w:rFonts w:ascii="Wingdings" w:hAnsi="Wingdings" w:cs="Wingdings" w:hint="default"/>
        <w:rFonts w:cs="Wingdings"/>
      </w:rPr>
    </w:lvl>
    <w:lvl w:ilvl="3">
      <w:start w:val="1"/>
      <w:numFmt w:val="bullet"/>
      <w:lvlText w:val=""/>
      <w:lvlJc w:val="left"/>
      <w:pPr>
        <w:ind w:left="3038" w:hanging="360"/>
      </w:pPr>
      <w:rPr>
        <w:rFonts w:ascii="Symbol" w:hAnsi="Symbol" w:cs="Symbol" w:hint="default"/>
        <w:rFonts w:cs="Symbol"/>
      </w:rPr>
    </w:lvl>
    <w:lvl w:ilvl="4">
      <w:start w:val="1"/>
      <w:numFmt w:val="bullet"/>
      <w:lvlText w:val="o"/>
      <w:lvlJc w:val="left"/>
      <w:pPr>
        <w:ind w:left="3758" w:hanging="360"/>
      </w:pPr>
      <w:rPr>
        <w:rFonts w:ascii="Courier New" w:hAnsi="Courier New" w:cs="Courier New" w:hint="default"/>
        <w:rFonts w:cs="Courier New"/>
      </w:rPr>
    </w:lvl>
    <w:lvl w:ilvl="5">
      <w:start w:val="1"/>
      <w:numFmt w:val="bullet"/>
      <w:lvlText w:val=""/>
      <w:lvlJc w:val="left"/>
      <w:pPr>
        <w:ind w:left="4478" w:hanging="360"/>
      </w:pPr>
      <w:rPr>
        <w:rFonts w:ascii="Wingdings" w:hAnsi="Wingdings" w:cs="Wingdings" w:hint="default"/>
        <w:rFonts w:cs="Wingdings"/>
      </w:rPr>
    </w:lvl>
    <w:lvl w:ilvl="6">
      <w:start w:val="1"/>
      <w:numFmt w:val="bullet"/>
      <w:lvlText w:val=""/>
      <w:lvlJc w:val="left"/>
      <w:pPr>
        <w:ind w:left="5198" w:hanging="360"/>
      </w:pPr>
      <w:rPr>
        <w:rFonts w:ascii="Symbol" w:hAnsi="Symbol" w:cs="Symbol" w:hint="default"/>
        <w:rFonts w:cs="Symbol"/>
      </w:rPr>
    </w:lvl>
    <w:lvl w:ilvl="7">
      <w:start w:val="1"/>
      <w:numFmt w:val="bullet"/>
      <w:lvlText w:val="o"/>
      <w:lvlJc w:val="left"/>
      <w:pPr>
        <w:ind w:left="5918" w:hanging="360"/>
      </w:pPr>
      <w:rPr>
        <w:rFonts w:ascii="Courier New" w:hAnsi="Courier New" w:cs="Courier New" w:hint="default"/>
        <w:rFonts w:cs="Courier New"/>
      </w:rPr>
    </w:lvl>
    <w:lvl w:ilvl="8">
      <w:start w:val="1"/>
      <w:numFmt w:val="bullet"/>
      <w:lvlText w:val=""/>
      <w:lvlJc w:val="left"/>
      <w:pPr>
        <w:ind w:left="6638" w:hanging="360"/>
      </w:pPr>
      <w:rPr>
        <w:rFonts w:ascii="Wingdings" w:hAnsi="Wingdings" w:cs="Wingdings" w:hint="default"/>
        <w:rFonts w:cs="Wingdings"/>
      </w:rPr>
    </w:lvl>
  </w:abstractNum>
  <w:abstractNum w:abstractNumId="6">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7">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8">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9">
    <w:lvl w:ilvl="0">
      <w:start w:val="1"/>
      <w:numFmt w:val="bullet"/>
      <w:lvlText w:val=""/>
      <w:lvlJc w:val="left"/>
      <w:pPr>
        <w:ind w:left="720" w:hanging="360"/>
      </w:pPr>
      <w:rPr>
        <w:rFonts w:ascii="Symbol" w:hAnsi="Symbol" w:cs="Symbol" w:hint="default"/>
        <w:rFonts w:cs="Symbol"/>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0">
    <w:lvl w:ilvl="0">
      <w:start w:val="1"/>
      <w:numFmt w:val="bullet"/>
      <w:lvlText w:val=""/>
      <w:lvlJc w:val="left"/>
      <w:pPr>
        <w:ind w:left="360" w:hanging="360"/>
      </w:pPr>
      <w:rPr>
        <w:rFonts w:ascii="Symbol" w:hAnsi="Symbol" w:cs="Symbol" w:hint="default"/>
        <w:rFonts w:cs="Symbol"/>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11">
    <w:lvl w:ilvl="0">
      <w:start w:val="1"/>
      <w:numFmt w:val="bullet"/>
      <w:lvlText w:val=""/>
      <w:lvlJc w:val="left"/>
      <w:pPr>
        <w:ind w:left="360" w:hanging="360"/>
      </w:pPr>
      <w:rPr>
        <w:rFonts w:ascii="Symbol" w:hAnsi="Symbol" w:cs="Symbol" w:hint="default"/>
        <w:rFonts w:cs="Symbol"/>
      </w:rPr>
    </w:lvl>
    <w:lvl w:ilvl="1">
      <w:start w:val="1"/>
      <w:numFmt w:val="bullet"/>
      <w:lvlText w:val="o"/>
      <w:lvlJc w:val="left"/>
      <w:pPr>
        <w:ind w:left="1080" w:hanging="360"/>
      </w:pPr>
      <w:rPr>
        <w:rFonts w:ascii="Courier New" w:hAnsi="Courier New" w:cs="Courier New" w:hint="default"/>
        <w:rFonts w:cs="Courier New"/>
      </w:rPr>
    </w:lvl>
    <w:lvl w:ilvl="2">
      <w:start w:val="1"/>
      <w:numFmt w:val="bullet"/>
      <w:lvlText w:val=""/>
      <w:lvlJc w:val="left"/>
      <w:pPr>
        <w:ind w:left="1800" w:hanging="360"/>
      </w:pPr>
      <w:rPr>
        <w:rFonts w:ascii="Wingdings" w:hAnsi="Wingdings" w:cs="Wingdings" w:hint="default"/>
        <w:rFonts w:cs="Wingdings"/>
      </w:rPr>
    </w:lvl>
    <w:lvl w:ilvl="3">
      <w:start w:val="1"/>
      <w:numFmt w:val="bullet"/>
      <w:lvlText w:val=""/>
      <w:lvlJc w:val="left"/>
      <w:pPr>
        <w:ind w:left="2520" w:hanging="360"/>
      </w:pPr>
      <w:rPr>
        <w:rFonts w:ascii="Symbol" w:hAnsi="Symbol" w:cs="Symbol" w:hint="default"/>
        <w:rFonts w:cs="Symbol"/>
      </w:rPr>
    </w:lvl>
    <w:lvl w:ilvl="4">
      <w:start w:val="1"/>
      <w:numFmt w:val="bullet"/>
      <w:lvlText w:val="o"/>
      <w:lvlJc w:val="left"/>
      <w:pPr>
        <w:ind w:left="3240" w:hanging="360"/>
      </w:pPr>
      <w:rPr>
        <w:rFonts w:ascii="Courier New" w:hAnsi="Courier New" w:cs="Courier New" w:hint="default"/>
        <w:rFonts w:cs="Courier New"/>
      </w:rPr>
    </w:lvl>
    <w:lvl w:ilvl="5">
      <w:start w:val="1"/>
      <w:numFmt w:val="bullet"/>
      <w:lvlText w:val=""/>
      <w:lvlJc w:val="left"/>
      <w:pPr>
        <w:ind w:left="3960" w:hanging="360"/>
      </w:pPr>
      <w:rPr>
        <w:rFonts w:ascii="Wingdings" w:hAnsi="Wingdings" w:cs="Wingdings" w:hint="default"/>
        <w:rFonts w:cs="Wingdings"/>
      </w:rPr>
    </w:lvl>
    <w:lvl w:ilvl="6">
      <w:start w:val="1"/>
      <w:numFmt w:val="bullet"/>
      <w:lvlText w:val=""/>
      <w:lvlJc w:val="left"/>
      <w:pPr>
        <w:ind w:left="4680" w:hanging="360"/>
      </w:pPr>
      <w:rPr>
        <w:rFonts w:ascii="Symbol" w:hAnsi="Symbol" w:cs="Symbol" w:hint="default"/>
        <w:rFonts w:cs="Symbol"/>
      </w:rPr>
    </w:lvl>
    <w:lvl w:ilvl="7">
      <w:start w:val="1"/>
      <w:numFmt w:val="bullet"/>
      <w:lvlText w:val="o"/>
      <w:lvlJc w:val="left"/>
      <w:pPr>
        <w:ind w:left="5400" w:hanging="360"/>
      </w:pPr>
      <w:rPr>
        <w:rFonts w:ascii="Courier New" w:hAnsi="Courier New" w:cs="Courier New" w:hint="default"/>
        <w:rFonts w:cs="Courier New"/>
      </w:rPr>
    </w:lvl>
    <w:lvl w:ilvl="8">
      <w:start w:val="1"/>
      <w:numFmt w:val="bullet"/>
      <w:lvlText w:val=""/>
      <w:lvlJc w:val="left"/>
      <w:pPr>
        <w:ind w:left="6120" w:hanging="360"/>
      </w:pPr>
      <w:rPr>
        <w:rFonts w:ascii="Wingdings" w:hAnsi="Wingdings" w:cs="Wingdings" w:hint="default"/>
        <w:rFonts w:cs="Wingding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w="http://schemas.openxmlformats.org/wordprocessingml/2006/main">
  <w:zoom w:percent="15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en-US" w:eastAsia="zh-CN" w:bidi="hi-IN"/>
      </w:rPr>
    </w:rPrDefault>
    <w:pPrDefault>
      <w:pPr/>
    </w:pPrDefault>
  </w:docDefaults>
  <w:style w:type="paragraph" w:styleId="Normal">
    <w:name w:val="Normal"/>
    <w:qFormat/>
    <w:pPr>
      <w:widowControl w:val="false"/>
      <w:suppressAutoHyphens w:val="true"/>
      <w:bidi w:val="0"/>
      <w:spacing w:lineRule="auto" w:line="360" w:before="0" w:after="240"/>
      <w:jc w:val="left"/>
    </w:pPr>
    <w:rPr>
      <w:rFonts w:ascii="Arial" w:hAnsi="Arial" w:eastAsia="Calibri" w:cs="Calibri"/>
      <w:color w:val="262626"/>
      <w:kern w:val="0"/>
      <w:sz w:val="24"/>
      <w:szCs w:val="22"/>
      <w:lang w:val="en-GB" w:eastAsia="en-US" w:bidi="ar-SA"/>
    </w:rPr>
  </w:style>
  <w:style w:type="paragraph" w:styleId="Heading1">
    <w:name w:val="Heading 1"/>
    <w:basedOn w:val="Normal"/>
    <w:next w:val="TextBody"/>
    <w:qFormat/>
    <w:pPr>
      <w:numPr>
        <w:ilvl w:val="0"/>
        <w:numId w:val="1"/>
      </w:numPr>
      <w:pBdr>
        <w:top w:val="single" w:sz="4" w:space="10" w:color="000000"/>
        <w:left w:val="single" w:sz="4" w:space="10" w:color="000000"/>
        <w:bottom w:val="single" w:sz="4" w:space="10" w:color="000000"/>
        <w:right w:val="single" w:sz="4" w:space="10" w:color="000000"/>
      </w:pBdr>
      <w:shd w:fill="004F6E" w:val="clear"/>
      <w:spacing w:lineRule="auto" w:line="240"/>
      <w:jc w:val="center"/>
      <w:outlineLvl w:val="0"/>
    </w:pPr>
    <w:rPr>
      <w:b/>
      <w:bCs/>
      <w:color w:val="FFFFFF"/>
      <w:sz w:val="44"/>
      <w:szCs w:val="40"/>
    </w:rPr>
  </w:style>
  <w:style w:type="paragraph" w:styleId="Heading2">
    <w:name w:val="Heading 2"/>
    <w:basedOn w:val="Normal"/>
    <w:next w:val="Normal"/>
    <w:qFormat/>
    <w:pPr>
      <w:numPr>
        <w:ilvl w:val="1"/>
        <w:numId w:val="1"/>
      </w:numPr>
      <w:pBdr>
        <w:top w:val="single" w:sz="4" w:space="10" w:color="000000"/>
        <w:left w:val="single" w:sz="4" w:space="10" w:color="000000"/>
        <w:bottom w:val="single" w:sz="4" w:space="10" w:color="000000"/>
        <w:right w:val="single" w:sz="4" w:space="10" w:color="000000"/>
      </w:pBdr>
      <w:shd w:fill="004F6E" w:val="clear"/>
      <w:spacing w:before="480" w:after="240"/>
      <w:outlineLvl w:val="1"/>
    </w:pPr>
    <w:rPr>
      <w:b/>
      <w:bCs/>
      <w:color w:val="FFFFFF"/>
      <w:sz w:val="36"/>
      <w:szCs w:val="32"/>
    </w:rPr>
  </w:style>
  <w:style w:type="paragraph" w:styleId="Heading3">
    <w:name w:val="Heading 3"/>
    <w:basedOn w:val="Normal"/>
    <w:next w:val="Normal"/>
    <w:qFormat/>
    <w:pPr>
      <w:numPr>
        <w:ilvl w:val="2"/>
        <w:numId w:val="1"/>
      </w:numPr>
      <w:outlineLvl w:val="2"/>
    </w:pPr>
    <w:rPr>
      <w:sz w:val="28"/>
      <w:szCs w:val="24"/>
    </w:rPr>
  </w:style>
  <w:style w:type="character" w:styleId="WW8Num1z0">
    <w:name w:val="WW8Num1z0"/>
    <w:qFormat/>
    <w:rPr>
      <w:rFonts w:ascii="Symbol" w:hAnsi="Symbol" w:cs="Symbol"/>
      <w:szCs w:val="24"/>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cs="Symbol"/>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rFonts w:ascii="Arial" w:hAnsi="Arial" w:cs="Aria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3z3">
    <w:name w:val="WW8Num3z3"/>
    <w:qFormat/>
    <w:rPr>
      <w:rFonts w:ascii="Symbol" w:hAnsi="Symbol" w:cs="Symbol"/>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5z0">
    <w:name w:val="WW8Num5z0"/>
    <w:qFormat/>
    <w:rPr>
      <w:rFonts w:ascii="Symbol" w:hAnsi="Symbol" w:cs="Symbol"/>
    </w:rPr>
  </w:style>
  <w:style w:type="character" w:styleId="WW8Num5z1">
    <w:name w:val="WW8Num5z1"/>
    <w:qFormat/>
    <w:rPr>
      <w:rFonts w:ascii="Courier New" w:hAnsi="Courier New" w:cs="Courier New"/>
    </w:rPr>
  </w:style>
  <w:style w:type="character" w:styleId="WW8Num5z2">
    <w:name w:val="WW8Num5z2"/>
    <w:qFormat/>
    <w:rPr>
      <w:rFonts w:ascii="Wingdings" w:hAnsi="Wingdings" w:cs="Wingdings"/>
    </w:rPr>
  </w:style>
  <w:style w:type="character" w:styleId="WW8Num6z0">
    <w:name w:val="WW8Num6z0"/>
    <w:qFormat/>
    <w:rPr>
      <w:rFonts w:ascii="Symbol" w:hAnsi="Symbol" w:cs="Symbol"/>
    </w:rPr>
  </w:style>
  <w:style w:type="character" w:styleId="WW8Num6z1">
    <w:name w:val="WW8Num6z1"/>
    <w:qFormat/>
    <w:rPr>
      <w:rFonts w:ascii="Courier New" w:hAnsi="Courier New" w:cs="Courier New"/>
    </w:rPr>
  </w:style>
  <w:style w:type="character" w:styleId="WW8Num6z2">
    <w:name w:val="WW8Num6z2"/>
    <w:qFormat/>
    <w:rPr>
      <w:rFonts w:ascii="Wingdings" w:hAnsi="Wingdings" w:cs="Wingdings"/>
    </w:rPr>
  </w:style>
  <w:style w:type="character" w:styleId="WW8Num7z0">
    <w:name w:val="WW8Num7z0"/>
    <w:qFormat/>
    <w:rPr>
      <w:rFonts w:ascii="Symbol" w:hAnsi="Symbol" w:cs="Symbol"/>
    </w:rPr>
  </w:style>
  <w:style w:type="character" w:styleId="WW8Num7z1">
    <w:name w:val="WW8Num7z1"/>
    <w:qFormat/>
    <w:rPr>
      <w:rFonts w:ascii="Courier New" w:hAnsi="Courier New" w:cs="Courier New"/>
    </w:rPr>
  </w:style>
  <w:style w:type="character" w:styleId="WW8Num7z2">
    <w:name w:val="WW8Num7z2"/>
    <w:qFormat/>
    <w:rPr>
      <w:rFonts w:ascii="Wingdings" w:hAnsi="Wingdings" w:cs="Wingdings"/>
    </w:rPr>
  </w:style>
  <w:style w:type="character" w:styleId="WW8Num8z0">
    <w:name w:val="WW8Num8z0"/>
    <w:qFormat/>
    <w:rPr>
      <w:rFonts w:ascii="Symbol" w:hAnsi="Symbol" w:cs="Symbol"/>
    </w:rPr>
  </w:style>
  <w:style w:type="character" w:styleId="WW8Num8z1">
    <w:name w:val="WW8Num8z1"/>
    <w:qFormat/>
    <w:rPr/>
  </w:style>
  <w:style w:type="character" w:styleId="WW8Num8z2">
    <w:name w:val="WW8Num8z2"/>
    <w:qFormat/>
    <w:rPr/>
  </w:style>
  <w:style w:type="character" w:styleId="WW8Num8z3">
    <w:name w:val="WW8Num8z3"/>
    <w:qFormat/>
    <w:rPr/>
  </w:style>
  <w:style w:type="character" w:styleId="WW8Num8z4">
    <w:name w:val="WW8Num8z4"/>
    <w:qFormat/>
    <w:rPr/>
  </w:style>
  <w:style w:type="character" w:styleId="WW8Num8z5">
    <w:name w:val="WW8Num8z5"/>
    <w:qFormat/>
    <w:rPr/>
  </w:style>
  <w:style w:type="character" w:styleId="WW8Num8z6">
    <w:name w:val="WW8Num8z6"/>
    <w:qFormat/>
    <w:rPr/>
  </w:style>
  <w:style w:type="character" w:styleId="WW8Num8z7">
    <w:name w:val="WW8Num8z7"/>
    <w:qFormat/>
    <w:rPr/>
  </w:style>
  <w:style w:type="character" w:styleId="WW8Num8z8">
    <w:name w:val="WW8Num8z8"/>
    <w:qFormat/>
    <w:rPr/>
  </w:style>
  <w:style w:type="character" w:styleId="WW8Num9z0">
    <w:name w:val="WW8Num9z0"/>
    <w:qFormat/>
    <w:rPr>
      <w:rFonts w:ascii="Symbol" w:hAnsi="Symbol" w:cs="Symbol"/>
    </w:rPr>
  </w:style>
  <w:style w:type="character" w:styleId="WW8Num9z1">
    <w:name w:val="WW8Num9z1"/>
    <w:qFormat/>
    <w:rPr/>
  </w:style>
  <w:style w:type="character" w:styleId="WW8Num9z2">
    <w:name w:val="WW8Num9z2"/>
    <w:qFormat/>
    <w:rPr/>
  </w:style>
  <w:style w:type="character" w:styleId="WW8Num9z3">
    <w:name w:val="WW8Num9z3"/>
    <w:qFormat/>
    <w:rPr/>
  </w:style>
  <w:style w:type="character" w:styleId="WW8Num9z4">
    <w:name w:val="WW8Num9z4"/>
    <w:qFormat/>
    <w:rPr/>
  </w:style>
  <w:style w:type="character" w:styleId="WW8Num9z5">
    <w:name w:val="WW8Num9z5"/>
    <w:qFormat/>
    <w:rPr/>
  </w:style>
  <w:style w:type="character" w:styleId="WW8Num9z6">
    <w:name w:val="WW8Num9z6"/>
    <w:qFormat/>
    <w:rPr/>
  </w:style>
  <w:style w:type="character" w:styleId="WW8Num9z7">
    <w:name w:val="WW8Num9z7"/>
    <w:qFormat/>
    <w:rPr/>
  </w:style>
  <w:style w:type="character" w:styleId="WW8Num9z8">
    <w:name w:val="WW8Num9z8"/>
    <w:qFormat/>
    <w:rPr/>
  </w:style>
  <w:style w:type="character" w:styleId="WW8Num10z0">
    <w:name w:val="WW8Num10z0"/>
    <w:qFormat/>
    <w:rPr>
      <w:rFonts w:ascii="Symbol" w:hAnsi="Symbol" w:cs="Symbol"/>
    </w:rPr>
  </w:style>
  <w:style w:type="character" w:styleId="WW8Num10z1">
    <w:name w:val="WW8Num10z1"/>
    <w:qFormat/>
    <w:rPr>
      <w:rFonts w:ascii="Courier New" w:hAnsi="Courier New" w:cs="Courier New"/>
    </w:rPr>
  </w:style>
  <w:style w:type="character" w:styleId="WW8Num10z2">
    <w:name w:val="WW8Num10z2"/>
    <w:qFormat/>
    <w:rPr>
      <w:rFonts w:ascii="Wingdings" w:hAnsi="Wingdings" w:cs="Wingdings"/>
    </w:rPr>
  </w:style>
  <w:style w:type="character" w:styleId="WW8Num11z0">
    <w:name w:val="WW8Num11z0"/>
    <w:qFormat/>
    <w:rPr/>
  </w:style>
  <w:style w:type="character" w:styleId="WW8Num11z1">
    <w:name w:val="WW8Num11z1"/>
    <w:qFormat/>
    <w:rPr/>
  </w:style>
  <w:style w:type="character" w:styleId="WW8Num11z2">
    <w:name w:val="WW8Num11z2"/>
    <w:qFormat/>
    <w:rPr/>
  </w:style>
  <w:style w:type="character" w:styleId="WW8Num11z3">
    <w:name w:val="WW8Num11z3"/>
    <w:qFormat/>
    <w:rPr/>
  </w:style>
  <w:style w:type="character" w:styleId="WW8Num11z4">
    <w:name w:val="WW8Num11z4"/>
    <w:qFormat/>
    <w:rPr/>
  </w:style>
  <w:style w:type="character" w:styleId="WW8Num11z5">
    <w:name w:val="WW8Num11z5"/>
    <w:qFormat/>
    <w:rPr/>
  </w:style>
  <w:style w:type="character" w:styleId="WW8Num11z6">
    <w:name w:val="WW8Num11z6"/>
    <w:qFormat/>
    <w:rPr/>
  </w:style>
  <w:style w:type="character" w:styleId="WW8Num11z7">
    <w:name w:val="WW8Num11z7"/>
    <w:qFormat/>
    <w:rPr/>
  </w:style>
  <w:style w:type="character" w:styleId="WW8Num11z8">
    <w:name w:val="WW8Num11z8"/>
    <w:qFormat/>
    <w:rPr/>
  </w:style>
  <w:style w:type="character" w:styleId="DefaultParagraphFont">
    <w:name w:val="Default Paragraph Font"/>
    <w:qFormat/>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rFonts w:ascii="Calibri" w:hAnsi="Calibri" w:eastAsia="Calibri" w:cs="Calibri"/>
      <w:sz w:val="20"/>
      <w:szCs w:val="20"/>
      <w:lang w:val="en-GB"/>
    </w:rPr>
  </w:style>
  <w:style w:type="character" w:styleId="CommentSubjectChar">
    <w:name w:val="Comment Subject Char"/>
    <w:basedOn w:val="CommentTextChar"/>
    <w:qFormat/>
    <w:rPr>
      <w:rFonts w:ascii="Calibri" w:hAnsi="Calibri" w:eastAsia="Calibri" w:cs="Calibri"/>
      <w:b/>
      <w:bCs/>
      <w:sz w:val="20"/>
      <w:szCs w:val="20"/>
      <w:lang w:val="en-GB"/>
    </w:rPr>
  </w:style>
  <w:style w:type="character" w:styleId="HeaderChar">
    <w:name w:val="Header Char"/>
    <w:basedOn w:val="DefaultParagraphFont"/>
    <w:qFormat/>
    <w:rPr>
      <w:rFonts w:ascii="Calibri" w:hAnsi="Calibri" w:eastAsia="Calibri" w:cs="Calibri"/>
      <w:lang w:val="en-GB"/>
    </w:rPr>
  </w:style>
  <w:style w:type="character" w:styleId="FooterChar">
    <w:name w:val="Footer Char"/>
    <w:basedOn w:val="DefaultParagraphFont"/>
    <w:qFormat/>
    <w:rPr>
      <w:rFonts w:ascii="Calibri" w:hAnsi="Calibri" w:eastAsia="Calibri" w:cs="Calibri"/>
      <w:lang w:val="en-GB"/>
    </w:rPr>
  </w:style>
  <w:style w:type="character" w:styleId="Heading2Char">
    <w:name w:val="Heading 2 Char"/>
    <w:basedOn w:val="DefaultParagraphFont"/>
    <w:qFormat/>
    <w:rPr>
      <w:rFonts w:ascii="Arial" w:hAnsi="Arial" w:eastAsia="Calibri" w:cs="Calibri"/>
      <w:color w:val="FFFFFF"/>
      <w:sz w:val="36"/>
      <w:szCs w:val="32"/>
      <w:shd w:fill="004F6E" w:val="clear"/>
      <w:lang w:val="en-GB"/>
    </w:rPr>
  </w:style>
  <w:style w:type="character" w:styleId="Heading3Char">
    <w:name w:val="Heading 3 Char"/>
    <w:basedOn w:val="DefaultParagraphFont"/>
    <w:qFormat/>
    <w:rPr>
      <w:rFonts w:ascii="Arial" w:hAnsi="Arial" w:eastAsia="Calibri" w:cs="Calibri"/>
      <w:sz w:val="28"/>
      <w:szCs w:val="24"/>
      <w:lang w:val="en-GB"/>
    </w:rPr>
  </w:style>
  <w:style w:type="character" w:styleId="Strong">
    <w:name w:val="Strong"/>
    <w:basedOn w:val="DefaultParagraphFont"/>
    <w:qFormat/>
    <w:rPr>
      <w:b/>
      <w:bCs/>
    </w:rPr>
  </w:style>
  <w:style w:type="character" w:styleId="ListParagraphChar">
    <w:name w:val="List Paragraph Char"/>
    <w:basedOn w:val="DefaultParagraphFont"/>
    <w:qFormat/>
    <w:rPr>
      <w:rFonts w:ascii="Arial" w:hAnsi="Arial" w:eastAsia="Calibri" w:cs="Calibri"/>
      <w:color w:val="262626"/>
      <w:sz w:val="24"/>
      <w:lang w:val="en-GB"/>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rPr>
      <w:rFonts w:eastAsia="Arial" w:cs="Arial"/>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TextBody"/>
    <w:qFormat/>
    <w:pPr>
      <w:spacing w:before="92" w:after="240"/>
      <w:ind w:left="4012" w:right="4328" w:hanging="0"/>
      <w:jc w:val="center"/>
    </w:pPr>
    <w:rPr>
      <w:rFonts w:eastAsia="Arial" w:cs="Arial"/>
      <w:b/>
      <w:bCs/>
      <w:sz w:val="28"/>
      <w:szCs w:val="28"/>
    </w:rPr>
  </w:style>
  <w:style w:type="paragraph" w:styleId="ListParagraph">
    <w:name w:val="List Paragraph"/>
    <w:basedOn w:val="Normal"/>
    <w:qFormat/>
    <w:pPr>
      <w:spacing w:before="60" w:after="240"/>
    </w:pPr>
    <w:rPr/>
  </w:style>
  <w:style w:type="paragraph" w:styleId="TableParagraph">
    <w:name w:val="Table Paragraph"/>
    <w:basedOn w:val="Normal"/>
    <w:qFormat/>
    <w:pPr>
      <w:ind w:left="107" w:right="0" w:hanging="0"/>
    </w:pPr>
    <w:rPr/>
  </w:style>
  <w:style w:type="paragraph" w:styleId="Annotationtext">
    <w:name w:val="annotation text"/>
    <w:basedOn w:val="Normal"/>
    <w:qFormat/>
    <w:pPr/>
    <w:rPr>
      <w:sz w:val="20"/>
      <w:szCs w:val="20"/>
    </w:rPr>
  </w:style>
  <w:style w:type="paragraph" w:styleId="Annotationsubject">
    <w:name w:val="annotation subject"/>
    <w:basedOn w:val="Annotationtext"/>
    <w:next w:val="Annotationtext"/>
    <w:qFormat/>
    <w:pPr/>
    <w:rPr>
      <w:b/>
      <w:bCs/>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pPr>
    <w:rPr/>
  </w:style>
  <w:style w:type="paragraph" w:styleId="Footer">
    <w:name w:val="Footer"/>
    <w:basedOn w:val="Normal"/>
    <w:pPr>
      <w:tabs>
        <w:tab w:val="clear" w:pos="720"/>
        <w:tab w:val="center" w:pos="4513" w:leader="none"/>
        <w:tab w:val="right" w:pos="9026" w:leader="none"/>
      </w:tabs>
    </w:pPr>
    <w:rPr/>
  </w:style>
  <w:style w:type="paragraph" w:styleId="Default">
    <w:name w:val="Default"/>
    <w:qFormat/>
    <w:pPr>
      <w:widowControl w:val="false"/>
      <w:suppressAutoHyphens w:val="true"/>
      <w:bidi w:val="0"/>
      <w:spacing w:before="0" w:after="0"/>
      <w:jc w:val="left"/>
    </w:pPr>
    <w:rPr>
      <w:rFonts w:ascii="Arial" w:hAnsi="Arial" w:eastAsia="Times New Roman" w:cs="Arial"/>
      <w:color w:val="000000"/>
      <w:kern w:val="0"/>
      <w:sz w:val="24"/>
      <w:szCs w:val="24"/>
      <w:lang w:val="en-GB" w:eastAsia="en-GB" w:bidi="ar-SA"/>
    </w:rPr>
  </w:style>
  <w:style w:type="paragraph" w:styleId="NormalWeb">
    <w:name w:val="Normal (Web)"/>
    <w:basedOn w:val="Normal"/>
    <w:qFormat/>
    <w:pPr>
      <w:widowControl/>
      <w:spacing w:lineRule="auto" w:line="240" w:before="280" w:after="280"/>
    </w:pPr>
    <w:rPr>
      <w:rFonts w:ascii="Times New Roman" w:hAnsi="Times New Roman" w:eastAsia="Times New Roman" w:cs="Times New Roman"/>
      <w:color w:val="auto"/>
      <w:szCs w:val="24"/>
      <w:lang w:eastAsia="en-GB"/>
    </w:rPr>
  </w:style>
  <w:style w:type="paragraph" w:styleId="Revision">
    <w:name w:val="Revision"/>
    <w:qFormat/>
    <w:pPr>
      <w:widowControl/>
      <w:suppressAutoHyphens w:val="true"/>
      <w:bidi w:val="0"/>
      <w:spacing w:before="0" w:after="0"/>
      <w:jc w:val="left"/>
    </w:pPr>
    <w:rPr>
      <w:rFonts w:ascii="Arial" w:hAnsi="Arial" w:eastAsia="Calibri" w:cs="Calibri"/>
      <w:color w:val="262626"/>
      <w:kern w:val="0"/>
      <w:sz w:val="24"/>
      <w:szCs w:val="22"/>
      <w:lang w:val="en-GB" w:eastAsia="en-US" w:bidi="ar-SA"/>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word/_rels/header2.xml.rels><?xml version="1.0" encoding="UTF-8"?>
<Relationships xmlns="http://schemas.openxmlformats.org/package/2006/relationships"><Relationship Id="rId1" Type="http://schemas.openxmlformats.org/officeDocument/2006/relationships/image" Target="media/image1.png"/>
</Relationships>
</file>

<file path=docProps/app.xml><?xml version="1.0" encoding="utf-8"?>
<Properties xmlns="http://schemas.openxmlformats.org/officeDocument/2006/extended-properties" xmlns:vt="http://schemas.openxmlformats.org/officeDocument/2006/docPropsVTypes">
  <Template>Normal.dotm</Template>
  <TotalTime>19</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2</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