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6A7B204D" w:rsidR="00675768" w:rsidRPr="00D07273" w:rsidRDefault="0033626F" w:rsidP="00855FDA">
      <w:pPr>
        <w:pStyle w:val="Heading1"/>
        <w:rPr>
          <w:rFonts w:cs="Arial"/>
          <w:sz w:val="24"/>
          <w:szCs w:val="24"/>
        </w:rPr>
      </w:pPr>
      <w:r w:rsidRPr="00D07273">
        <w:rPr>
          <w:rFonts w:cs="Arial"/>
          <w:sz w:val="24"/>
          <w:szCs w:val="24"/>
        </w:rPr>
        <w:t>Role profile</w:t>
      </w:r>
      <w:r w:rsidR="00251999" w:rsidRPr="00D07273">
        <w:rPr>
          <w:rFonts w:cs="Arial"/>
          <w:sz w:val="24"/>
          <w:szCs w:val="24"/>
        </w:rPr>
        <w:br/>
      </w:r>
      <w:r w:rsidR="000A167C">
        <w:rPr>
          <w:rFonts w:cs="Arial"/>
          <w:szCs w:val="24"/>
        </w:rPr>
        <w:t xml:space="preserve">External Engagement </w:t>
      </w:r>
      <w:r w:rsidR="000A167C">
        <w:rPr>
          <w:iCs/>
        </w:rPr>
        <w:t>Support Officer</w:t>
      </w:r>
    </w:p>
    <w:p w14:paraId="4583AC0F" w14:textId="2116C2E7" w:rsidR="00BD6446" w:rsidRPr="00D07273" w:rsidRDefault="00145E6A" w:rsidP="006216BF">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D73734">
        <w:rPr>
          <w:rFonts w:cs="Arial"/>
          <w:szCs w:val="24"/>
        </w:rPr>
        <w:t>Grade 6</w:t>
      </w:r>
    </w:p>
    <w:p w14:paraId="760BDC30" w14:textId="6CE75E37" w:rsidR="00BD6446" w:rsidRPr="00D07273" w:rsidRDefault="00BD6446" w:rsidP="006216BF">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A65A5">
        <w:rPr>
          <w:bCs/>
          <w:iCs/>
        </w:rPr>
        <w:t>Strategy</w:t>
      </w:r>
    </w:p>
    <w:p w14:paraId="097726FC" w14:textId="13C59DB8" w:rsidR="00BD6446" w:rsidRPr="00D07273" w:rsidRDefault="00BD6446" w:rsidP="006216BF">
      <w:pPr>
        <w:pStyle w:val="ListParagraph"/>
        <w:numPr>
          <w:ilvl w:val="0"/>
          <w:numId w:val="1"/>
        </w:numPr>
        <w:rPr>
          <w:rFonts w:cs="Arial"/>
          <w:szCs w:val="24"/>
        </w:rPr>
      </w:pPr>
      <w:r w:rsidRPr="00D07273">
        <w:rPr>
          <w:rFonts w:cs="Arial"/>
          <w:b/>
          <w:bCs/>
          <w:szCs w:val="24"/>
        </w:rPr>
        <w:t>Job title</w:t>
      </w:r>
      <w:r w:rsidRPr="00D07273">
        <w:rPr>
          <w:rFonts w:cs="Arial"/>
          <w:szCs w:val="24"/>
        </w:rPr>
        <w:t>:</w:t>
      </w:r>
      <w:r w:rsidR="004A65A5">
        <w:rPr>
          <w:rFonts w:cs="Arial"/>
          <w:szCs w:val="24"/>
        </w:rPr>
        <w:t xml:space="preserve"> </w:t>
      </w:r>
      <w:r w:rsidR="000A167C">
        <w:rPr>
          <w:rFonts w:cs="Arial"/>
          <w:szCs w:val="24"/>
        </w:rPr>
        <w:t xml:space="preserve">External Engagement </w:t>
      </w:r>
      <w:r w:rsidR="00D73734">
        <w:rPr>
          <w:bCs/>
          <w:iCs/>
        </w:rPr>
        <w:t>Support Officer</w:t>
      </w:r>
    </w:p>
    <w:p w14:paraId="098B4AB5" w14:textId="65AA83C0" w:rsidR="00BD6446" w:rsidRPr="00D07273" w:rsidRDefault="00BD6446" w:rsidP="006216BF">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4A65A5">
        <w:rPr>
          <w:bCs/>
          <w:iCs/>
        </w:rPr>
        <w:t>P</w:t>
      </w:r>
      <w:r w:rsidR="000A167C">
        <w:rPr>
          <w:bCs/>
          <w:iCs/>
        </w:rPr>
        <w:t>arliamentary &amp; Government Engagement Principal</w:t>
      </w:r>
    </w:p>
    <w:p w14:paraId="14D144A8" w14:textId="2B30715B" w:rsidR="00BD6446" w:rsidRPr="00D07273" w:rsidRDefault="00BD6446" w:rsidP="006216BF">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A65A5">
        <w:rPr>
          <w:bCs/>
          <w:iCs/>
        </w:rPr>
        <w:t>Strategy</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385E38AF" w14:textId="77777777" w:rsidR="00AC5156" w:rsidRDefault="00AC5156" w:rsidP="00AC5156">
      <w:pPr>
        <w:rPr>
          <w:rFonts w:cs="Arial"/>
        </w:rPr>
      </w:pPr>
      <w:bookmarkStart w:id="0" w:name="_Hlk211435308"/>
      <w:r w:rsidRPr="008336F8">
        <w:rPr>
          <w:rFonts w:cs="Arial"/>
        </w:rPr>
        <w:t xml:space="preserve">The GMCA Strategy Team leads on strategy and co-ordination across the Greater Manchester Combined Authority (CA), supports policy teams by providing policy expertise and capacity on areas of priority, provides advice and support to the leadership of GMCA, and maintains relationships with key external stakeholders.  </w:t>
      </w:r>
    </w:p>
    <w:p w14:paraId="11B1516B" w14:textId="44A6CD85" w:rsidR="00AC5156" w:rsidRPr="00AC5156" w:rsidRDefault="00AC5156" w:rsidP="00AC5156">
      <w:pPr>
        <w:rPr>
          <w:rFonts w:cs="Arial"/>
        </w:rPr>
      </w:pPr>
      <w:r w:rsidRPr="00075609">
        <w:rPr>
          <w:rFonts w:cs="Arial"/>
        </w:rPr>
        <w:t xml:space="preserve">This post works within the </w:t>
      </w:r>
      <w:r>
        <w:rPr>
          <w:rFonts w:cs="Arial"/>
        </w:rPr>
        <w:t>External Engagement</w:t>
      </w:r>
      <w:r w:rsidRPr="00075609">
        <w:rPr>
          <w:rFonts w:cs="Arial"/>
        </w:rPr>
        <w:t xml:space="preserve"> Team and </w:t>
      </w:r>
      <w:bookmarkEnd w:id="0"/>
      <w:r>
        <w:rPr>
          <w:rFonts w:cs="Arial"/>
        </w:rPr>
        <w:t xml:space="preserve">offers </w:t>
      </w:r>
      <w:r w:rsidRPr="00AC5156">
        <w:rPr>
          <w:rFonts w:cs="Arial"/>
        </w:rPr>
        <w:t>a unique opportunity to support GMCA’s strategic engagement across key national platforms and political networks. The postholder will work as part of a team that shapes and drives GMCA’s presence at the Local Government Association (LGA) and Political Party Conferences, ensuring Greater Manchester’s priorities are effectively represented and advanced.</w:t>
      </w:r>
    </w:p>
    <w:p w14:paraId="5A8D2B85" w14:textId="77777777" w:rsidR="00AC5156" w:rsidRPr="00AC5156" w:rsidRDefault="00AC5156" w:rsidP="00AC5156">
      <w:pPr>
        <w:rPr>
          <w:rFonts w:cs="Arial"/>
        </w:rPr>
      </w:pPr>
      <w:r w:rsidRPr="00AC5156">
        <w:rPr>
          <w:rFonts w:cs="Arial"/>
        </w:rPr>
        <w:t>The successful candidate will build and maintain strong relationships with Greater Manchester’s key stakeholders, positioning the city-region at the forefront of English devolution. They will ensure parliamentarians are regularly briefed on GMCA activity, monitor and report on key parliamentary developments, and support high-level engagement and visits for Government Ministers and Senior Civil Servants.</w:t>
      </w:r>
    </w:p>
    <w:p w14:paraId="5AA8F9FE" w14:textId="77777777" w:rsidR="00075609" w:rsidRPr="00AC5156" w:rsidRDefault="00075609" w:rsidP="00075609">
      <w:pPr>
        <w:rPr>
          <w:rFonts w:cs="Arial"/>
        </w:rPr>
      </w:pPr>
    </w:p>
    <w:p w14:paraId="421FDDF2" w14:textId="77777777" w:rsidR="00075609" w:rsidRPr="00951898" w:rsidRDefault="00075609" w:rsidP="00075609">
      <w:pPr>
        <w:rPr>
          <w:rFonts w:cs="Arial"/>
          <w:color w:val="000000" w:themeColor="text1"/>
          <w:szCs w:val="24"/>
        </w:rPr>
      </w:pP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66D184F0" w14:textId="77777777" w:rsidR="00AC5156" w:rsidRPr="000A43F0" w:rsidRDefault="00AC5156" w:rsidP="00AC5156">
      <w:pPr>
        <w:ind w:left="720" w:hanging="360"/>
      </w:pPr>
      <w:r w:rsidRPr="000A43F0">
        <w:t>Work with key strategic partners at local, national and international levels including:</w:t>
      </w:r>
    </w:p>
    <w:p w14:paraId="0EE5DAC2" w14:textId="77777777" w:rsidR="00AC5156" w:rsidRPr="000A43F0" w:rsidRDefault="00AC5156" w:rsidP="00AC5156">
      <w:pPr>
        <w:pStyle w:val="ListParagraph"/>
        <w:numPr>
          <w:ilvl w:val="0"/>
          <w:numId w:val="3"/>
        </w:numPr>
      </w:pPr>
      <w:r w:rsidRPr="000A43F0">
        <w:t>The Mayor and GMCA Leaders</w:t>
      </w:r>
    </w:p>
    <w:p w14:paraId="230609B6" w14:textId="77777777" w:rsidR="00AC5156" w:rsidRPr="000A43F0" w:rsidRDefault="00AC5156" w:rsidP="00AC5156">
      <w:pPr>
        <w:pStyle w:val="ListParagraph"/>
        <w:numPr>
          <w:ilvl w:val="0"/>
          <w:numId w:val="3"/>
        </w:numPr>
      </w:pPr>
      <w:r w:rsidRPr="000A43F0">
        <w:t>Greater Manchester’s MPs and Lords</w:t>
      </w:r>
    </w:p>
    <w:p w14:paraId="39AF5EAA" w14:textId="77777777" w:rsidR="00AC5156" w:rsidRPr="000A43F0" w:rsidRDefault="00AC5156" w:rsidP="00AC5156">
      <w:pPr>
        <w:pStyle w:val="ListParagraph"/>
        <w:numPr>
          <w:ilvl w:val="0"/>
          <w:numId w:val="3"/>
        </w:numPr>
      </w:pPr>
      <w:r w:rsidRPr="000A43F0">
        <w:t>Government Ministers and Senior Civil Servants</w:t>
      </w:r>
    </w:p>
    <w:p w14:paraId="17CF678B" w14:textId="77777777" w:rsidR="00AC5156" w:rsidRPr="000A43F0" w:rsidRDefault="00AC5156" w:rsidP="00AC5156">
      <w:pPr>
        <w:pStyle w:val="ListParagraph"/>
        <w:numPr>
          <w:ilvl w:val="0"/>
          <w:numId w:val="3"/>
        </w:numPr>
      </w:pPr>
      <w:r w:rsidRPr="000A43F0">
        <w:t>Senior staff within GMCA</w:t>
      </w:r>
    </w:p>
    <w:p w14:paraId="0AC3F36D" w14:textId="77777777" w:rsidR="00AC5156" w:rsidRPr="000A43F0" w:rsidRDefault="00AC5156" w:rsidP="00AC5156">
      <w:pPr>
        <w:pStyle w:val="ListParagraph"/>
        <w:numPr>
          <w:ilvl w:val="0"/>
          <w:numId w:val="3"/>
        </w:numPr>
      </w:pPr>
      <w:r w:rsidRPr="000A43F0">
        <w:t xml:space="preserve">Other colleagues in the GMCA Strategy Team, particularly those leading on </w:t>
      </w:r>
      <w:r>
        <w:t>Devolution</w:t>
      </w:r>
    </w:p>
    <w:p w14:paraId="1A5E4B5B" w14:textId="77777777" w:rsidR="00AC5156" w:rsidRPr="000A43F0" w:rsidRDefault="00AC5156" w:rsidP="00AC5156">
      <w:pPr>
        <w:pStyle w:val="ListParagraph"/>
        <w:numPr>
          <w:ilvl w:val="0"/>
          <w:numId w:val="3"/>
        </w:numPr>
      </w:pPr>
      <w:r w:rsidRPr="000A43F0">
        <w:t xml:space="preserve">Local Authorities </w:t>
      </w:r>
    </w:p>
    <w:p w14:paraId="2E7DA2B9" w14:textId="77777777" w:rsidR="00AC5156" w:rsidRPr="000A43F0" w:rsidRDefault="00AC5156" w:rsidP="00AC5156">
      <w:pPr>
        <w:pStyle w:val="ListParagraph"/>
        <w:numPr>
          <w:ilvl w:val="0"/>
          <w:numId w:val="3"/>
        </w:numPr>
      </w:pPr>
      <w:r w:rsidRPr="000A43F0">
        <w:t>Transport for Greater Manchester and NHS Greater Manchester</w:t>
      </w:r>
    </w:p>
    <w:p w14:paraId="24D863AF" w14:textId="77777777" w:rsidR="00AC5156" w:rsidRDefault="00AC5156" w:rsidP="00AC5156">
      <w:pPr>
        <w:pStyle w:val="ListParagraph"/>
        <w:numPr>
          <w:ilvl w:val="0"/>
          <w:numId w:val="3"/>
        </w:numPr>
      </w:pPr>
      <w:r w:rsidRPr="000A43F0">
        <w:t>Greater Manchester Business Board</w:t>
      </w:r>
    </w:p>
    <w:p w14:paraId="7BCD60AD" w14:textId="6D71FB5A" w:rsidR="00AC5156" w:rsidRPr="00AC5156" w:rsidRDefault="00AC5156" w:rsidP="00C164CD">
      <w:pPr>
        <w:pStyle w:val="ListParagraph"/>
        <w:numPr>
          <w:ilvl w:val="0"/>
          <w:numId w:val="3"/>
        </w:numPr>
      </w:pPr>
      <w:r>
        <w:t>Other Mayoral Strategic Authorities</w:t>
      </w:r>
    </w:p>
    <w:p w14:paraId="517ED2BE" w14:textId="618D10E1" w:rsidR="00BD6446" w:rsidRPr="00D07273" w:rsidRDefault="00BD6446" w:rsidP="00C164CD">
      <w:pPr>
        <w:pStyle w:val="Heading2"/>
        <w:rPr>
          <w:rFonts w:cs="Arial"/>
          <w:sz w:val="24"/>
          <w:szCs w:val="24"/>
        </w:rPr>
      </w:pPr>
      <w:r w:rsidRPr="00D07273">
        <w:rPr>
          <w:rFonts w:cs="Arial"/>
          <w:sz w:val="24"/>
          <w:szCs w:val="24"/>
        </w:rPr>
        <w:t>Key Responsibilities</w:t>
      </w:r>
    </w:p>
    <w:p w14:paraId="645078C7" w14:textId="34FAD695"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 xml:space="preserve">Provide high-quality coordination and administrative support across </w:t>
      </w:r>
      <w:r w:rsidR="00AC5156">
        <w:rPr>
          <w:rFonts w:eastAsia="Arial" w:cs="Arial"/>
          <w:color w:val="auto"/>
          <w:szCs w:val="24"/>
        </w:rPr>
        <w:t>Parliamentary &amp; Government engagement</w:t>
      </w:r>
      <w:r w:rsidRPr="000E29CC">
        <w:rPr>
          <w:rFonts w:eastAsia="Arial" w:cs="Arial"/>
          <w:color w:val="auto"/>
          <w:szCs w:val="24"/>
        </w:rPr>
        <w:t xml:space="preserve"> programmes.</w:t>
      </w:r>
    </w:p>
    <w:p w14:paraId="7E3655D0" w14:textId="5DA717B3"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 xml:space="preserve">Support the </w:t>
      </w:r>
      <w:r w:rsidR="00AC5156">
        <w:rPr>
          <w:rFonts w:eastAsia="Arial" w:cs="Arial"/>
          <w:color w:val="auto"/>
          <w:szCs w:val="24"/>
        </w:rPr>
        <w:t xml:space="preserve">External Engagement Team </w:t>
      </w:r>
      <w:r w:rsidRPr="000E29CC">
        <w:rPr>
          <w:rFonts w:eastAsia="Arial" w:cs="Arial"/>
          <w:color w:val="auto"/>
          <w:szCs w:val="24"/>
        </w:rPr>
        <w:t xml:space="preserve">in implementing consistent approaches to </w:t>
      </w:r>
      <w:r w:rsidR="00AC5156">
        <w:rPr>
          <w:rFonts w:eastAsia="Arial" w:cs="Arial"/>
          <w:color w:val="auto"/>
          <w:szCs w:val="24"/>
        </w:rPr>
        <w:t>engagement</w:t>
      </w:r>
      <w:r w:rsidRPr="000E29CC">
        <w:rPr>
          <w:rFonts w:eastAsia="Arial" w:cs="Arial"/>
          <w:color w:val="auto"/>
          <w:szCs w:val="24"/>
        </w:rPr>
        <w:t xml:space="preserve"> design, delivery, and monitoring.</w:t>
      </w:r>
    </w:p>
    <w:p w14:paraId="0586FF82" w14:textId="7065CEE8"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 xml:space="preserve">Maintain and update </w:t>
      </w:r>
      <w:r w:rsidR="00AC5156">
        <w:rPr>
          <w:rFonts w:eastAsia="Arial" w:cs="Arial"/>
          <w:color w:val="auto"/>
          <w:szCs w:val="24"/>
        </w:rPr>
        <w:t>External Engagement</w:t>
      </w:r>
      <w:r w:rsidRPr="000E29CC">
        <w:rPr>
          <w:rFonts w:eastAsia="Arial" w:cs="Arial"/>
          <w:color w:val="auto"/>
          <w:szCs w:val="24"/>
        </w:rPr>
        <w:t xml:space="preserve"> documentation including </w:t>
      </w:r>
      <w:r w:rsidR="00AC5156">
        <w:rPr>
          <w:rFonts w:eastAsia="Arial" w:cs="Arial"/>
          <w:color w:val="auto"/>
          <w:szCs w:val="24"/>
        </w:rPr>
        <w:t>Parliamentary Monitoring, Forward Looks, Stakeholder Mapping, Visits Database &amp; A</w:t>
      </w:r>
      <w:r w:rsidRPr="000E29CC">
        <w:rPr>
          <w:rFonts w:eastAsia="Arial" w:cs="Arial"/>
          <w:color w:val="auto"/>
          <w:szCs w:val="24"/>
        </w:rPr>
        <w:t xml:space="preserve">ction </w:t>
      </w:r>
      <w:r w:rsidR="00AC5156">
        <w:rPr>
          <w:rFonts w:eastAsia="Arial" w:cs="Arial"/>
          <w:color w:val="auto"/>
          <w:szCs w:val="24"/>
        </w:rPr>
        <w:t>L</w:t>
      </w:r>
      <w:r w:rsidRPr="000E29CC">
        <w:rPr>
          <w:rFonts w:eastAsia="Arial" w:cs="Arial"/>
          <w:color w:val="auto"/>
          <w:szCs w:val="24"/>
        </w:rPr>
        <w:t>ogs.</w:t>
      </w:r>
    </w:p>
    <w:p w14:paraId="2704C3EB" w14:textId="1ADAD59B" w:rsidR="000E29CC" w:rsidRPr="000E29CC" w:rsidRDefault="00AC5156" w:rsidP="006216BF">
      <w:pPr>
        <w:pStyle w:val="ListParagraph"/>
        <w:numPr>
          <w:ilvl w:val="0"/>
          <w:numId w:val="6"/>
        </w:numPr>
        <w:rPr>
          <w:rFonts w:eastAsia="Arial" w:cs="Arial"/>
          <w:color w:val="auto"/>
          <w:szCs w:val="24"/>
        </w:rPr>
      </w:pPr>
      <w:r>
        <w:rPr>
          <w:rFonts w:eastAsia="Arial" w:cs="Arial"/>
          <w:color w:val="auto"/>
          <w:szCs w:val="24"/>
        </w:rPr>
        <w:t xml:space="preserve">Provide secretariat support to SLT and the Government Engagement Group </w:t>
      </w:r>
      <w:r w:rsidR="000E29CC" w:rsidRPr="000E29CC">
        <w:rPr>
          <w:rFonts w:eastAsia="Arial" w:cs="Arial"/>
          <w:color w:val="auto"/>
          <w:szCs w:val="24"/>
        </w:rPr>
        <w:t>including agenda preparation, minute-taking, and follow-up actions.</w:t>
      </w:r>
    </w:p>
    <w:p w14:paraId="3E1EFB52" w14:textId="77777777"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lastRenderedPageBreak/>
        <w:t>Draft reports, presentations, and briefing materials for internal and external stakeholders, tailored to audience needs.</w:t>
      </w:r>
    </w:p>
    <w:p w14:paraId="459C4EE2" w14:textId="77DCE5B8"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 xml:space="preserve">Monitor </w:t>
      </w:r>
      <w:r w:rsidR="00AC5156">
        <w:rPr>
          <w:rFonts w:eastAsia="Arial" w:cs="Arial"/>
          <w:color w:val="auto"/>
          <w:szCs w:val="24"/>
        </w:rPr>
        <w:t>engagement</w:t>
      </w:r>
      <w:r w:rsidRPr="000E29CC">
        <w:rPr>
          <w:rFonts w:eastAsia="Arial" w:cs="Arial"/>
          <w:color w:val="auto"/>
          <w:szCs w:val="24"/>
        </w:rPr>
        <w:t xml:space="preserve"> outputs and outcomes, collating data and preparing concise updates for performance reporting.</w:t>
      </w:r>
    </w:p>
    <w:p w14:paraId="188B02A1" w14:textId="77777777"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Maintain robust audit trails and ensure documentation is stored securely and in line with GDPR.</w:t>
      </w:r>
    </w:p>
    <w:p w14:paraId="27F09BC1" w14:textId="77777777"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Build effective relationships across GMCA teams and external partners to support collaborative delivery.</w:t>
      </w:r>
    </w:p>
    <w:p w14:paraId="5493F69B" w14:textId="77777777" w:rsidR="000E29CC"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Respond to queries and correspondence from stakeholders in a timely and professional manner.</w:t>
      </w:r>
    </w:p>
    <w:p w14:paraId="1BD171E5" w14:textId="4B687AB0" w:rsidR="00D73734" w:rsidRPr="000E29CC" w:rsidRDefault="000E29CC" w:rsidP="006216BF">
      <w:pPr>
        <w:pStyle w:val="ListParagraph"/>
        <w:numPr>
          <w:ilvl w:val="0"/>
          <w:numId w:val="6"/>
        </w:numPr>
        <w:rPr>
          <w:rFonts w:eastAsia="Arial" w:cs="Arial"/>
          <w:color w:val="auto"/>
          <w:szCs w:val="24"/>
        </w:rPr>
      </w:pPr>
      <w:r w:rsidRPr="000E29CC">
        <w:rPr>
          <w:rFonts w:eastAsia="Arial" w:cs="Arial"/>
          <w:color w:val="auto"/>
          <w:szCs w:val="24"/>
        </w:rPr>
        <w:t>Contribute to policy support activities, including synthesising information and supporting the development of strategic proposals.</w:t>
      </w:r>
    </w:p>
    <w:p w14:paraId="556C689A" w14:textId="3D5E1709" w:rsidR="00F104B4" w:rsidRPr="0040656C" w:rsidRDefault="00D73734" w:rsidP="00D73734">
      <w:pPr>
        <w:ind w:left="360"/>
        <w:rPr>
          <w:rFonts w:cs="Arial"/>
          <w:szCs w:val="24"/>
        </w:rPr>
      </w:pPr>
      <w:r w:rsidRPr="00037DCD">
        <w:rPr>
          <w:rFonts w:cs="Arial"/>
          <w:b/>
          <w:bCs/>
          <w:color w:val="000000" w:themeColor="text1"/>
          <w:sz w:val="22"/>
        </w:rPr>
        <w:t xml:space="preserve">NB: </w:t>
      </w:r>
      <w:r w:rsidRPr="00037DCD">
        <w:rPr>
          <w:rFonts w:cs="Arial"/>
          <w:color w:val="000000" w:themeColor="text1"/>
          <w:sz w:val="22"/>
        </w:rPr>
        <w:t>This list of duties and responsibilities is by no means exhaustive, and the post holder may be required to undertake other relevant and appropriate duties as required.</w:t>
      </w:r>
      <w:r w:rsidR="00C66754" w:rsidRPr="0040656C">
        <w:rPr>
          <w:rFonts w:cs="Arial"/>
          <w:szCs w:val="24"/>
        </w:rPr>
        <w:t xml:space="preserve"> </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4C9F6D6B" w14:textId="6179F9D1" w:rsidR="00D73734" w:rsidRPr="00D73734" w:rsidRDefault="00D73734" w:rsidP="00951898">
      <w:pPr>
        <w:pStyle w:val="ListParagraph"/>
      </w:pPr>
      <w:r w:rsidRPr="00D73734">
        <w:t>To organise meetings and events as requested involving internal colleagues and high-level stakeholders.</w:t>
      </w:r>
    </w:p>
    <w:p w14:paraId="1B35708C" w14:textId="77777777" w:rsidR="00D73734" w:rsidRPr="00D73734" w:rsidRDefault="00D73734" w:rsidP="00951898">
      <w:pPr>
        <w:pStyle w:val="ListParagraph"/>
      </w:pPr>
      <w:r w:rsidRPr="00D73734">
        <w:t>To build effective relationships, working collaboratively across GMCA, local authorities, national government departments, universities, private sector organisations, and other partners.</w:t>
      </w:r>
    </w:p>
    <w:p w14:paraId="5AF66B10" w14:textId="77777777" w:rsidR="00D73734" w:rsidRPr="00D73734" w:rsidRDefault="00D73734" w:rsidP="00951898">
      <w:pPr>
        <w:pStyle w:val="ListParagraph"/>
      </w:pPr>
      <w:r w:rsidRPr="00D73734">
        <w:t xml:space="preserve">Effectively manage queries and correspondence, both written and verbal from a wide range of internal and external customers. </w:t>
      </w:r>
    </w:p>
    <w:p w14:paraId="755CDC0D" w14:textId="77777777" w:rsidR="00D73734" w:rsidRPr="00D73734" w:rsidRDefault="00D73734" w:rsidP="00951898">
      <w:pPr>
        <w:pStyle w:val="ListParagraph"/>
      </w:pPr>
      <w:r w:rsidRPr="00D73734">
        <w:t>Maintaining robust audit trails of documents and decisions taken, always ensuring compliance with funding requirements, file documents on GMCA shared drives.</w:t>
      </w:r>
    </w:p>
    <w:p w14:paraId="20E24D36" w14:textId="71F23EB7" w:rsidR="00EA1A99" w:rsidRPr="00D73734" w:rsidRDefault="00EA1A99" w:rsidP="00951898">
      <w:pPr>
        <w:pStyle w:val="ListParagraph"/>
      </w:pPr>
      <w:r w:rsidRPr="00D73734">
        <w:t xml:space="preserve">To hold yourself and others to a high standard of professionalism at all times, </w:t>
      </w:r>
      <w:r w:rsidRPr="00D73734">
        <w:lastRenderedPageBreak/>
        <w:t>demonstrating your commitment to our values and behaviours as well as ensuring service confidentiality is maintained throughout all we do.</w:t>
      </w:r>
    </w:p>
    <w:p w14:paraId="6D6C8028" w14:textId="77777777" w:rsidR="0045137F" w:rsidRPr="0045137F" w:rsidRDefault="00EA1A99" w:rsidP="00951898">
      <w:pPr>
        <w:pStyle w:val="ListParagraph"/>
        <w:rPr>
          <w:rFonts w:cs="Arial"/>
        </w:rPr>
      </w:pPr>
      <w:r w:rsidRPr="34DD3003">
        <w:t xml:space="preserve">Ensure the services delivered internally and externally are inclusive and accessible, integrated with the service </w:t>
      </w:r>
    </w:p>
    <w:p w14:paraId="24B8D6C1" w14:textId="636832F7" w:rsidR="00EA1A99" w:rsidRPr="0045137F" w:rsidRDefault="0045137F" w:rsidP="00951898">
      <w:pPr>
        <w:pStyle w:val="ListParagraph"/>
      </w:pPr>
      <w:r w:rsidRPr="34DD3003">
        <w:t xml:space="preserve">To align work area to the Sustainability Strategy and ensure work practices are inclusive of this </w:t>
      </w:r>
      <w:r w:rsidR="00EA1A99" w:rsidRPr="34DD3003">
        <w:t xml:space="preserve">values &amp; strategic intent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73734" w:rsidRDefault="00766F0E" w:rsidP="0087309E">
      <w:pPr>
        <w:pStyle w:val="Heading3"/>
        <w:rPr>
          <w:rFonts w:cs="Arial"/>
          <w:b/>
          <w:bCs/>
          <w:sz w:val="24"/>
        </w:rPr>
      </w:pPr>
      <w:r w:rsidRPr="00D73734">
        <w:rPr>
          <w:rFonts w:cs="Arial"/>
          <w:b/>
          <w:bCs/>
          <w:sz w:val="24"/>
        </w:rPr>
        <w:t>Knowledge &amp; Experience</w:t>
      </w:r>
    </w:p>
    <w:p w14:paraId="4987BA18" w14:textId="35330877" w:rsidR="00FB5394" w:rsidRPr="00FB5394" w:rsidRDefault="00FB5394" w:rsidP="00FB5394">
      <w:pPr>
        <w:pStyle w:val="ListParagraph"/>
        <w:widowControl/>
        <w:numPr>
          <w:ilvl w:val="0"/>
          <w:numId w:val="7"/>
        </w:numPr>
        <w:autoSpaceDE/>
        <w:autoSpaceDN/>
        <w:spacing w:after="160" w:line="259" w:lineRule="auto"/>
        <w:jc w:val="both"/>
        <w:rPr>
          <w:rFonts w:cs="Arial"/>
          <w:szCs w:val="24"/>
        </w:rPr>
      </w:pPr>
      <w:r>
        <w:rPr>
          <w:rFonts w:cs="Arial"/>
          <w:szCs w:val="24"/>
        </w:rPr>
        <w:t xml:space="preserve">Understanding of </w:t>
      </w:r>
      <w:r w:rsidRPr="00FB5394">
        <w:rPr>
          <w:rFonts w:cs="Arial"/>
          <w:szCs w:val="24"/>
        </w:rPr>
        <w:t>the workings of Parliament, Whitehall, and the political landscape across Greater Manchester</w:t>
      </w:r>
      <w:r>
        <w:rPr>
          <w:rFonts w:cs="Arial"/>
          <w:szCs w:val="24"/>
        </w:rPr>
        <w:t>.</w:t>
      </w:r>
    </w:p>
    <w:p w14:paraId="27226529" w14:textId="62D47B1D" w:rsidR="00C477B9" w:rsidRPr="00D21A9B" w:rsidRDefault="00C477B9" w:rsidP="006216BF">
      <w:pPr>
        <w:pStyle w:val="ListParagraph"/>
        <w:numPr>
          <w:ilvl w:val="0"/>
          <w:numId w:val="7"/>
        </w:numPr>
        <w:rPr>
          <w:color w:val="auto"/>
        </w:rPr>
      </w:pPr>
      <w:r w:rsidRPr="00D21A9B">
        <w:rPr>
          <w:color w:val="auto"/>
        </w:rPr>
        <w:t>Experience providing</w:t>
      </w:r>
      <w:r w:rsidR="00FB5394">
        <w:rPr>
          <w:color w:val="auto"/>
        </w:rPr>
        <w:t xml:space="preserve"> engagement</w:t>
      </w:r>
      <w:r w:rsidRPr="00D21A9B">
        <w:rPr>
          <w:color w:val="auto"/>
        </w:rPr>
        <w:t xml:space="preserve"> support in a public sector or multi-stakeholder environment.</w:t>
      </w:r>
    </w:p>
    <w:p w14:paraId="6D8FA385" w14:textId="77777777" w:rsidR="00C477B9" w:rsidRPr="00C477B9" w:rsidRDefault="00C477B9" w:rsidP="00C477B9">
      <w:pPr>
        <w:pStyle w:val="ListParagraph"/>
        <w:rPr>
          <w:color w:val="auto"/>
        </w:rPr>
      </w:pPr>
      <w:r w:rsidRPr="00C477B9">
        <w:rPr>
          <w:color w:val="auto"/>
        </w:rPr>
        <w:t>Understanding of local government structures and the Greater Manchester Combined Authority.</w:t>
      </w:r>
    </w:p>
    <w:p w14:paraId="3A81060D" w14:textId="77777777" w:rsidR="00C477B9" w:rsidRPr="00C477B9" w:rsidRDefault="00C477B9" w:rsidP="00C477B9">
      <w:pPr>
        <w:pStyle w:val="ListParagraph"/>
        <w:rPr>
          <w:color w:val="auto"/>
        </w:rPr>
      </w:pPr>
      <w:r w:rsidRPr="00C477B9">
        <w:rPr>
          <w:color w:val="auto"/>
        </w:rPr>
        <w:t>Experience coordinating meetings, managing documentation, and supporting governance processes.</w:t>
      </w:r>
    </w:p>
    <w:p w14:paraId="49A65917" w14:textId="77777777" w:rsidR="00C477B9" w:rsidRPr="00C477B9" w:rsidRDefault="00C477B9" w:rsidP="00C477B9">
      <w:pPr>
        <w:pStyle w:val="ListParagraph"/>
        <w:rPr>
          <w:color w:val="auto"/>
        </w:rPr>
      </w:pPr>
      <w:r w:rsidRPr="00C477B9">
        <w:rPr>
          <w:color w:val="auto"/>
        </w:rPr>
        <w:t>Ability to work across multiple teams and adapt to changing priorities.</w:t>
      </w:r>
    </w:p>
    <w:p w14:paraId="34F50E9E" w14:textId="3169B4FF" w:rsidR="00BC2419" w:rsidRPr="00D21A9B" w:rsidRDefault="00C477B9" w:rsidP="00C477B9">
      <w:pPr>
        <w:pStyle w:val="ListParagraph"/>
        <w:rPr>
          <w:color w:val="auto"/>
        </w:rPr>
      </w:pPr>
      <w:r w:rsidRPr="00C477B9">
        <w:rPr>
          <w:color w:val="auto"/>
        </w:rPr>
        <w:t>Awareness of the Devolution Trailblazer deal and Greater Manchester Strategy.</w:t>
      </w:r>
    </w:p>
    <w:p w14:paraId="14C3116B" w14:textId="681AD5D9" w:rsidR="00766F0E" w:rsidRPr="00D73734" w:rsidRDefault="00766F0E" w:rsidP="00342A79">
      <w:pPr>
        <w:pStyle w:val="Heading3"/>
        <w:rPr>
          <w:rFonts w:cs="Arial"/>
          <w:b/>
          <w:bCs/>
          <w:sz w:val="24"/>
        </w:rPr>
      </w:pPr>
      <w:r w:rsidRPr="00D73734">
        <w:rPr>
          <w:rFonts w:cs="Arial"/>
          <w:b/>
          <w:bCs/>
          <w:sz w:val="24"/>
        </w:rPr>
        <w:t>Skills</w:t>
      </w:r>
      <w:r w:rsidR="00C42EC1" w:rsidRPr="00D73734">
        <w:rPr>
          <w:rFonts w:cs="Arial"/>
          <w:b/>
          <w:bCs/>
          <w:sz w:val="24"/>
        </w:rPr>
        <w:t>, Values</w:t>
      </w:r>
      <w:r w:rsidRPr="00D73734">
        <w:rPr>
          <w:rFonts w:cs="Arial"/>
          <w:b/>
          <w:bCs/>
          <w:spacing w:val="-3"/>
          <w:sz w:val="24"/>
        </w:rPr>
        <w:t xml:space="preserve"> </w:t>
      </w:r>
      <w:r w:rsidRPr="00D73734">
        <w:rPr>
          <w:rFonts w:cs="Arial"/>
          <w:b/>
          <w:bCs/>
          <w:sz w:val="24"/>
        </w:rPr>
        <w:t>&amp;</w:t>
      </w:r>
      <w:r w:rsidRPr="00D73734">
        <w:rPr>
          <w:rFonts w:cs="Arial"/>
          <w:b/>
          <w:bCs/>
          <w:spacing w:val="-3"/>
          <w:sz w:val="24"/>
        </w:rPr>
        <w:t xml:space="preserve"> </w:t>
      </w:r>
      <w:r w:rsidRPr="00D73734">
        <w:rPr>
          <w:rFonts w:cs="Arial"/>
          <w:b/>
          <w:bCs/>
          <w:sz w:val="24"/>
        </w:rPr>
        <w:t>Behaviours</w:t>
      </w:r>
    </w:p>
    <w:p w14:paraId="5AAAF8C3" w14:textId="77777777" w:rsidR="00D73734" w:rsidRPr="00D73734" w:rsidRDefault="00D73734" w:rsidP="006216BF">
      <w:pPr>
        <w:pStyle w:val="ListParagraph"/>
        <w:numPr>
          <w:ilvl w:val="0"/>
          <w:numId w:val="5"/>
        </w:numPr>
      </w:pPr>
      <w:r w:rsidRPr="00472C9D">
        <w:t xml:space="preserve">Project Support: </w:t>
      </w:r>
      <w:r w:rsidRPr="00D73734">
        <w:t xml:space="preserve">Strong planning and organisational skills, </w:t>
      </w:r>
      <w:r w:rsidRPr="00472C9D">
        <w:t>prioritise activity according to need</w:t>
      </w:r>
      <w:r>
        <w:t>, and</w:t>
      </w:r>
      <w:r w:rsidRPr="00D73734">
        <w:t xml:space="preserve"> </w:t>
      </w:r>
      <w:r w:rsidRPr="00472C9D">
        <w:t>manage their own time to address</w:t>
      </w:r>
      <w:r>
        <w:t xml:space="preserve"> these priorities</w:t>
      </w:r>
      <w:r w:rsidRPr="00472C9D">
        <w:t>.</w:t>
      </w:r>
    </w:p>
    <w:p w14:paraId="6C1629A1" w14:textId="77777777" w:rsidR="00D73734" w:rsidRPr="00D73734" w:rsidRDefault="00D73734" w:rsidP="006216BF">
      <w:pPr>
        <w:pStyle w:val="ListParagraph"/>
        <w:numPr>
          <w:ilvl w:val="0"/>
          <w:numId w:val="5"/>
        </w:numPr>
      </w:pPr>
      <w:r w:rsidRPr="006C5BA2">
        <w:t xml:space="preserve">Effective implementation: </w:t>
      </w:r>
      <w:r w:rsidRPr="00D73734">
        <w:t xml:space="preserve">Ability to work to deadlines and to be flexible to </w:t>
      </w:r>
      <w:r w:rsidRPr="00D73734">
        <w:lastRenderedPageBreak/>
        <w:t>changing priorities.</w:t>
      </w:r>
    </w:p>
    <w:p w14:paraId="2947E8B2" w14:textId="77777777" w:rsidR="00D73734" w:rsidRPr="00D73734" w:rsidRDefault="00D73734" w:rsidP="006216BF">
      <w:pPr>
        <w:pStyle w:val="ListParagraph"/>
        <w:numPr>
          <w:ilvl w:val="0"/>
          <w:numId w:val="5"/>
        </w:numPr>
      </w:pPr>
      <w:r w:rsidRPr="00D73734">
        <w:t xml:space="preserve">Strategic Thinking: Makes suggestions with awareness of key risks and adjusts accordingly to maximise likelihood of success. </w:t>
      </w:r>
    </w:p>
    <w:p w14:paraId="46B6BB06" w14:textId="77777777" w:rsidR="00D73734" w:rsidRPr="00D73734" w:rsidRDefault="00D73734" w:rsidP="006216BF">
      <w:pPr>
        <w:pStyle w:val="ListParagraph"/>
        <w:numPr>
          <w:ilvl w:val="0"/>
          <w:numId w:val="5"/>
        </w:numPr>
      </w:pPr>
      <w:r w:rsidRPr="00D73734">
        <w:t>Attention to detail: Close attention to project activity and an eye for risk. Ability to understand and retain the important issues and information for a complex programme, identify their implications, and raise these with the appropriate officers.</w:t>
      </w:r>
    </w:p>
    <w:p w14:paraId="6B319E28" w14:textId="77777777" w:rsidR="00D73734" w:rsidRPr="00D73734" w:rsidRDefault="00D73734" w:rsidP="006216BF">
      <w:pPr>
        <w:pStyle w:val="ListParagraph"/>
        <w:numPr>
          <w:ilvl w:val="0"/>
          <w:numId w:val="5"/>
        </w:numPr>
      </w:pPr>
      <w:r w:rsidRPr="00D73734">
        <w:t xml:space="preserve">Efficiency and Independence: Ability to carry out tasks quickly and effectively to meet deadlines and work with limited direction. </w:t>
      </w:r>
    </w:p>
    <w:p w14:paraId="698D6196" w14:textId="77777777" w:rsidR="00D73734" w:rsidRPr="00D73734" w:rsidRDefault="00D73734" w:rsidP="006216BF">
      <w:pPr>
        <w:pStyle w:val="ListParagraph"/>
        <w:numPr>
          <w:ilvl w:val="0"/>
          <w:numId w:val="5"/>
        </w:numPr>
      </w:pPr>
      <w:r w:rsidRPr="00D73734">
        <w:t>Excellent written and oral communication skills, including the ability to communicate concisely and present complex information in a clear manner.</w:t>
      </w:r>
    </w:p>
    <w:p w14:paraId="6276078C" w14:textId="77777777" w:rsidR="0092498A" w:rsidRDefault="00D73734" w:rsidP="006216BF">
      <w:pPr>
        <w:pStyle w:val="ListParagraph"/>
        <w:numPr>
          <w:ilvl w:val="0"/>
          <w:numId w:val="5"/>
        </w:numPr>
      </w:pPr>
      <w:r w:rsidRPr="00D73734">
        <w:t>Excellent organisational skills: ability to cope with a varied and demanding workload and deliver consistently to deadlines.</w:t>
      </w:r>
    </w:p>
    <w:p w14:paraId="2FB0F336" w14:textId="69970A61" w:rsidR="0092498A" w:rsidRDefault="0092498A" w:rsidP="006216BF">
      <w:pPr>
        <w:pStyle w:val="ListParagraph"/>
        <w:numPr>
          <w:ilvl w:val="0"/>
          <w:numId w:val="5"/>
        </w:numPr>
      </w:pPr>
      <w:r w:rsidRPr="0092498A">
        <w:t>Proficient in Microsoft Office applications (Word, Excel, PowerPoint, Outlook).</w:t>
      </w:r>
    </w:p>
    <w:p w14:paraId="68E44A8B" w14:textId="77777777" w:rsidR="004D1D5F" w:rsidRDefault="004D1D5F" w:rsidP="006216BF">
      <w:pPr>
        <w:pStyle w:val="ListParagraph"/>
        <w:numPr>
          <w:ilvl w:val="0"/>
          <w:numId w:val="5"/>
        </w:numPr>
      </w:pPr>
      <w:r>
        <w:t>Ability to build effective relationships and influence stakeholders.</w:t>
      </w:r>
    </w:p>
    <w:p w14:paraId="7E03A518" w14:textId="5D78DFD1" w:rsidR="004D1D5F" w:rsidRPr="0092498A" w:rsidRDefault="004D1D5F" w:rsidP="006216BF">
      <w:pPr>
        <w:pStyle w:val="ListParagraph"/>
        <w:numPr>
          <w:ilvl w:val="0"/>
          <w:numId w:val="5"/>
        </w:numPr>
      </w:pPr>
      <w:r>
        <w:t>Politically astute and sensitive to the strategic context of GMCA’s work.</w:t>
      </w:r>
    </w:p>
    <w:p w14:paraId="2A061FC8" w14:textId="41CC1C9D" w:rsidR="00D73734" w:rsidRPr="00D73734" w:rsidRDefault="00D73734" w:rsidP="00D73734">
      <w:pPr>
        <w:rPr>
          <w:b/>
          <w:bCs/>
        </w:rPr>
      </w:pPr>
      <w:r w:rsidRPr="00D73734">
        <w:rPr>
          <w:b/>
          <w:bCs/>
        </w:rPr>
        <w:t>Ways of working</w:t>
      </w:r>
    </w:p>
    <w:p w14:paraId="47FE0C94" w14:textId="77777777" w:rsidR="00D73734" w:rsidRPr="00D73734" w:rsidRDefault="00D73734" w:rsidP="006216BF">
      <w:pPr>
        <w:pStyle w:val="ListParagraph"/>
        <w:numPr>
          <w:ilvl w:val="0"/>
          <w:numId w:val="5"/>
        </w:numPr>
      </w:pPr>
      <w:r w:rsidRPr="00D73734">
        <w:t>Problem-solving: proactively seeks solutions to a problem or issue until it is resolved, with a “can-do” approach.</w:t>
      </w:r>
    </w:p>
    <w:p w14:paraId="78356A32" w14:textId="77777777" w:rsidR="00D73734" w:rsidRPr="00D73734" w:rsidRDefault="00D73734" w:rsidP="006216BF">
      <w:pPr>
        <w:pStyle w:val="ListParagraph"/>
        <w:numPr>
          <w:ilvl w:val="0"/>
          <w:numId w:val="5"/>
        </w:numPr>
      </w:pPr>
      <w:r w:rsidRPr="00D73734">
        <w:t>Relationship building: Personally builds effective relationships with colleagues or partners outside their own area to improve organisational performance and service quality.</w:t>
      </w:r>
    </w:p>
    <w:p w14:paraId="3437F79A" w14:textId="77777777" w:rsidR="00D73734" w:rsidRPr="00D73734" w:rsidRDefault="00D73734" w:rsidP="006216BF">
      <w:pPr>
        <w:pStyle w:val="ListParagraph"/>
        <w:numPr>
          <w:ilvl w:val="0"/>
          <w:numId w:val="5"/>
        </w:numPr>
      </w:pPr>
      <w:r w:rsidRPr="00D73734">
        <w:t xml:space="preserve">Passion: Talks about and promotes our strengths and success stories with commitment. </w:t>
      </w:r>
    </w:p>
    <w:p w14:paraId="19E9560D" w14:textId="5F96B6B3" w:rsidR="00C42EC1" w:rsidRDefault="00D73734" w:rsidP="006216BF">
      <w:pPr>
        <w:pStyle w:val="ListParagraph"/>
        <w:numPr>
          <w:ilvl w:val="0"/>
          <w:numId w:val="5"/>
        </w:numPr>
      </w:pPr>
      <w:r w:rsidRPr="004D1D5F">
        <w:t>Control: The ability to work as part of a team and remain calm under pressure.</w:t>
      </w:r>
    </w:p>
    <w:p w14:paraId="6DF76B85" w14:textId="77777777" w:rsidR="00FB5394" w:rsidRPr="004D1D5F" w:rsidRDefault="00FB5394" w:rsidP="00FB5394">
      <w:pPr>
        <w:pStyle w:val="ListParagraph"/>
        <w:numPr>
          <w:ilvl w:val="0"/>
          <w:numId w:val="0"/>
        </w:numPr>
        <w:ind w:left="720"/>
      </w:pPr>
    </w:p>
    <w:p w14:paraId="47A5EC52" w14:textId="561837B1" w:rsidR="00675768" w:rsidRPr="00D07273" w:rsidRDefault="00F31A63" w:rsidP="00C164CD">
      <w:pPr>
        <w:pStyle w:val="Heading2"/>
        <w:rPr>
          <w:rFonts w:cs="Arial"/>
          <w:sz w:val="24"/>
          <w:szCs w:val="24"/>
        </w:rPr>
      </w:pPr>
      <w:r w:rsidRPr="00D07273">
        <w:rPr>
          <w:rFonts w:cs="Arial"/>
          <w:sz w:val="24"/>
          <w:szCs w:val="24"/>
        </w:rPr>
        <w:lastRenderedPageBreak/>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2220EE">
      <w:headerReference w:type="first" r:id="rId7"/>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F789" w14:textId="77777777" w:rsidR="00346C2B" w:rsidRDefault="00346C2B" w:rsidP="00342A79">
      <w:r>
        <w:separator/>
      </w:r>
    </w:p>
  </w:endnote>
  <w:endnote w:type="continuationSeparator" w:id="0">
    <w:p w14:paraId="70352858" w14:textId="77777777" w:rsidR="00346C2B" w:rsidRDefault="00346C2B" w:rsidP="00342A79">
      <w:r>
        <w:continuationSeparator/>
      </w:r>
    </w:p>
  </w:endnote>
  <w:endnote w:type="continuationNotice" w:id="1">
    <w:p w14:paraId="051297B8" w14:textId="77777777" w:rsidR="00346C2B" w:rsidRDefault="00346C2B"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A495" w14:textId="77777777" w:rsidR="00346C2B" w:rsidRDefault="00346C2B" w:rsidP="00342A79">
      <w:r>
        <w:separator/>
      </w:r>
    </w:p>
  </w:footnote>
  <w:footnote w:type="continuationSeparator" w:id="0">
    <w:p w14:paraId="125FD654" w14:textId="77777777" w:rsidR="00346C2B" w:rsidRDefault="00346C2B" w:rsidP="00342A79">
      <w:r>
        <w:continuationSeparator/>
      </w:r>
    </w:p>
  </w:footnote>
  <w:footnote w:type="continuationNotice" w:id="1">
    <w:p w14:paraId="0D2D64AC" w14:textId="77777777" w:rsidR="00346C2B" w:rsidRDefault="00346C2B"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1602108A" w:rsidR="006453DC" w:rsidRPr="006453DC" w:rsidRDefault="00E86EE6" w:rsidP="006453DC">
    <w:pPr>
      <w:pStyle w:val="Header"/>
    </w:pPr>
    <w:r w:rsidRPr="00145E6A">
      <w:rPr>
        <w:noProof/>
      </w:rPr>
      <w:drawing>
        <wp:anchor distT="0" distB="0" distL="114300" distR="114300" simplePos="0" relativeHeight="251659264" behindDoc="0" locked="0" layoutInCell="1" allowOverlap="1" wp14:anchorId="68412D8F" wp14:editId="0962065A">
          <wp:simplePos x="0" y="0"/>
          <wp:positionH relativeFrom="column">
            <wp:posOffset>4171950</wp:posOffset>
          </wp:positionH>
          <wp:positionV relativeFrom="paragraph">
            <wp:posOffset>-219710</wp:posOffset>
          </wp:positionV>
          <wp:extent cx="2191077" cy="687070"/>
          <wp:effectExtent l="0" t="0" r="0" b="0"/>
          <wp:wrapSquare wrapText="bothSides"/>
          <wp:docPr id="2041583209" name="Picture 2041583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6E6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B82D78"/>
    <w:multiLevelType w:val="hybridMultilevel"/>
    <w:tmpl w:val="C6B23F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D50E4"/>
    <w:multiLevelType w:val="hybridMultilevel"/>
    <w:tmpl w:val="C3E0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12759"/>
    <w:multiLevelType w:val="hybridMultilevel"/>
    <w:tmpl w:val="DE96E31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143FD2"/>
    <w:multiLevelType w:val="hybridMultilevel"/>
    <w:tmpl w:val="308A6A2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740228"/>
    <w:multiLevelType w:val="hybridMultilevel"/>
    <w:tmpl w:val="CBBCA0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374B18"/>
    <w:multiLevelType w:val="hybridMultilevel"/>
    <w:tmpl w:val="B82E748E"/>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496982">
    <w:abstractNumId w:val="3"/>
  </w:num>
  <w:num w:numId="2" w16cid:durableId="583422076">
    <w:abstractNumId w:val="7"/>
  </w:num>
  <w:num w:numId="3" w16cid:durableId="1278489499">
    <w:abstractNumId w:val="4"/>
  </w:num>
  <w:num w:numId="4" w16cid:durableId="101533757">
    <w:abstractNumId w:val="0"/>
  </w:num>
  <w:num w:numId="5" w16cid:durableId="382556581">
    <w:abstractNumId w:val="1"/>
  </w:num>
  <w:num w:numId="6" w16cid:durableId="496964125">
    <w:abstractNumId w:val="5"/>
  </w:num>
  <w:num w:numId="7" w16cid:durableId="556743732">
    <w:abstractNumId w:val="7"/>
    <w:lvlOverride w:ilvl="0">
      <w:startOverride w:val="1"/>
    </w:lvlOverride>
  </w:num>
  <w:num w:numId="8" w16cid:durableId="1435321674">
    <w:abstractNumId w:val="6"/>
  </w:num>
  <w:num w:numId="9" w16cid:durableId="8595086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51932"/>
    <w:rsid w:val="000653C1"/>
    <w:rsid w:val="00075609"/>
    <w:rsid w:val="00075EE2"/>
    <w:rsid w:val="0008210F"/>
    <w:rsid w:val="000961F4"/>
    <w:rsid w:val="000A167C"/>
    <w:rsid w:val="000A4F8F"/>
    <w:rsid w:val="000B4CAC"/>
    <w:rsid w:val="000D32C4"/>
    <w:rsid w:val="000D64B1"/>
    <w:rsid w:val="000E29CC"/>
    <w:rsid w:val="000F0D2D"/>
    <w:rsid w:val="00120025"/>
    <w:rsid w:val="00125480"/>
    <w:rsid w:val="001279D8"/>
    <w:rsid w:val="00133524"/>
    <w:rsid w:val="00144603"/>
    <w:rsid w:val="00145E6A"/>
    <w:rsid w:val="00145F22"/>
    <w:rsid w:val="001561D7"/>
    <w:rsid w:val="00195A41"/>
    <w:rsid w:val="001A482C"/>
    <w:rsid w:val="001A5027"/>
    <w:rsid w:val="001B0CC2"/>
    <w:rsid w:val="001C1309"/>
    <w:rsid w:val="001D0238"/>
    <w:rsid w:val="001E526D"/>
    <w:rsid w:val="002134E7"/>
    <w:rsid w:val="0021462D"/>
    <w:rsid w:val="00217675"/>
    <w:rsid w:val="002220EE"/>
    <w:rsid w:val="00226738"/>
    <w:rsid w:val="00250BDB"/>
    <w:rsid w:val="00251999"/>
    <w:rsid w:val="0025346C"/>
    <w:rsid w:val="002679FA"/>
    <w:rsid w:val="00280662"/>
    <w:rsid w:val="00280E0D"/>
    <w:rsid w:val="00282076"/>
    <w:rsid w:val="002861E0"/>
    <w:rsid w:val="002932EC"/>
    <w:rsid w:val="00295AFC"/>
    <w:rsid w:val="002A52CB"/>
    <w:rsid w:val="002B18A8"/>
    <w:rsid w:val="002B5E72"/>
    <w:rsid w:val="002C3427"/>
    <w:rsid w:val="002E3C9D"/>
    <w:rsid w:val="002E780E"/>
    <w:rsid w:val="002F1F47"/>
    <w:rsid w:val="00306E3A"/>
    <w:rsid w:val="00311B4F"/>
    <w:rsid w:val="0031502E"/>
    <w:rsid w:val="00322DDA"/>
    <w:rsid w:val="00326D7B"/>
    <w:rsid w:val="00326E07"/>
    <w:rsid w:val="00327122"/>
    <w:rsid w:val="0032718C"/>
    <w:rsid w:val="0033626F"/>
    <w:rsid w:val="00342A79"/>
    <w:rsid w:val="00346C2B"/>
    <w:rsid w:val="00360D97"/>
    <w:rsid w:val="00361DB0"/>
    <w:rsid w:val="003817C5"/>
    <w:rsid w:val="003877C8"/>
    <w:rsid w:val="003909CB"/>
    <w:rsid w:val="0039686E"/>
    <w:rsid w:val="00397A5D"/>
    <w:rsid w:val="003C128B"/>
    <w:rsid w:val="003C514A"/>
    <w:rsid w:val="003D1D8E"/>
    <w:rsid w:val="003F445E"/>
    <w:rsid w:val="003F6D5E"/>
    <w:rsid w:val="003F71E1"/>
    <w:rsid w:val="00403381"/>
    <w:rsid w:val="0040656C"/>
    <w:rsid w:val="00406881"/>
    <w:rsid w:val="00406A0A"/>
    <w:rsid w:val="00407975"/>
    <w:rsid w:val="00407E65"/>
    <w:rsid w:val="0045137F"/>
    <w:rsid w:val="004574FB"/>
    <w:rsid w:val="004628B1"/>
    <w:rsid w:val="0046526B"/>
    <w:rsid w:val="00467AE8"/>
    <w:rsid w:val="00470BBF"/>
    <w:rsid w:val="004736A3"/>
    <w:rsid w:val="00477DE7"/>
    <w:rsid w:val="004801EA"/>
    <w:rsid w:val="004915E5"/>
    <w:rsid w:val="004A65A5"/>
    <w:rsid w:val="004A7F60"/>
    <w:rsid w:val="004B4757"/>
    <w:rsid w:val="004B578D"/>
    <w:rsid w:val="004C582C"/>
    <w:rsid w:val="004D10E6"/>
    <w:rsid w:val="004D16E3"/>
    <w:rsid w:val="004D1D5F"/>
    <w:rsid w:val="004D5FA9"/>
    <w:rsid w:val="004E7C6C"/>
    <w:rsid w:val="004E7E16"/>
    <w:rsid w:val="004F481A"/>
    <w:rsid w:val="00512F13"/>
    <w:rsid w:val="00520834"/>
    <w:rsid w:val="00543E54"/>
    <w:rsid w:val="00547336"/>
    <w:rsid w:val="0055268D"/>
    <w:rsid w:val="00556312"/>
    <w:rsid w:val="00557ED8"/>
    <w:rsid w:val="005615A4"/>
    <w:rsid w:val="0058495C"/>
    <w:rsid w:val="00594326"/>
    <w:rsid w:val="005A7FAC"/>
    <w:rsid w:val="005B1039"/>
    <w:rsid w:val="005B374D"/>
    <w:rsid w:val="005B5AAC"/>
    <w:rsid w:val="005C0927"/>
    <w:rsid w:val="005C55D1"/>
    <w:rsid w:val="005D386A"/>
    <w:rsid w:val="005D75FE"/>
    <w:rsid w:val="005E216F"/>
    <w:rsid w:val="005E5DA5"/>
    <w:rsid w:val="005F42C6"/>
    <w:rsid w:val="00600478"/>
    <w:rsid w:val="00605067"/>
    <w:rsid w:val="006216BF"/>
    <w:rsid w:val="00621ED8"/>
    <w:rsid w:val="00623794"/>
    <w:rsid w:val="00635819"/>
    <w:rsid w:val="006376D7"/>
    <w:rsid w:val="00641C47"/>
    <w:rsid w:val="00644ADC"/>
    <w:rsid w:val="006453DC"/>
    <w:rsid w:val="0065424F"/>
    <w:rsid w:val="00675768"/>
    <w:rsid w:val="00676334"/>
    <w:rsid w:val="00706E71"/>
    <w:rsid w:val="007118E9"/>
    <w:rsid w:val="00713F02"/>
    <w:rsid w:val="00732161"/>
    <w:rsid w:val="00737EB0"/>
    <w:rsid w:val="007402DF"/>
    <w:rsid w:val="00740EEF"/>
    <w:rsid w:val="00764A4A"/>
    <w:rsid w:val="00766F0E"/>
    <w:rsid w:val="00767994"/>
    <w:rsid w:val="00780065"/>
    <w:rsid w:val="00786BBE"/>
    <w:rsid w:val="007A3689"/>
    <w:rsid w:val="007A6205"/>
    <w:rsid w:val="007A6863"/>
    <w:rsid w:val="007B1635"/>
    <w:rsid w:val="007B3152"/>
    <w:rsid w:val="007B68F4"/>
    <w:rsid w:val="007C4A10"/>
    <w:rsid w:val="007D2774"/>
    <w:rsid w:val="007E2477"/>
    <w:rsid w:val="007E54DB"/>
    <w:rsid w:val="007E5ED1"/>
    <w:rsid w:val="007F52C8"/>
    <w:rsid w:val="00800C14"/>
    <w:rsid w:val="0081661E"/>
    <w:rsid w:val="0082234C"/>
    <w:rsid w:val="00823531"/>
    <w:rsid w:val="008278EF"/>
    <w:rsid w:val="00847717"/>
    <w:rsid w:val="00850CB4"/>
    <w:rsid w:val="0085138C"/>
    <w:rsid w:val="00853B6B"/>
    <w:rsid w:val="00855FDA"/>
    <w:rsid w:val="0087309E"/>
    <w:rsid w:val="008877A3"/>
    <w:rsid w:val="0089711B"/>
    <w:rsid w:val="008C057F"/>
    <w:rsid w:val="008C2390"/>
    <w:rsid w:val="008C6B98"/>
    <w:rsid w:val="008D5C63"/>
    <w:rsid w:val="008E72A0"/>
    <w:rsid w:val="008F14E5"/>
    <w:rsid w:val="008F3323"/>
    <w:rsid w:val="008F40ED"/>
    <w:rsid w:val="008F43D1"/>
    <w:rsid w:val="008F589B"/>
    <w:rsid w:val="008F6AD1"/>
    <w:rsid w:val="009000B0"/>
    <w:rsid w:val="00906A15"/>
    <w:rsid w:val="009117D0"/>
    <w:rsid w:val="00912BC1"/>
    <w:rsid w:val="00914ED3"/>
    <w:rsid w:val="00920FE4"/>
    <w:rsid w:val="0092498A"/>
    <w:rsid w:val="00926347"/>
    <w:rsid w:val="0092646E"/>
    <w:rsid w:val="00927B53"/>
    <w:rsid w:val="00937E82"/>
    <w:rsid w:val="00945A05"/>
    <w:rsid w:val="00947347"/>
    <w:rsid w:val="00951898"/>
    <w:rsid w:val="009543EF"/>
    <w:rsid w:val="00966235"/>
    <w:rsid w:val="00972E8E"/>
    <w:rsid w:val="009776BC"/>
    <w:rsid w:val="00984F9D"/>
    <w:rsid w:val="00986B22"/>
    <w:rsid w:val="00997D0E"/>
    <w:rsid w:val="009A33EA"/>
    <w:rsid w:val="009A3AA2"/>
    <w:rsid w:val="009A43CA"/>
    <w:rsid w:val="009A5C37"/>
    <w:rsid w:val="009B1B8D"/>
    <w:rsid w:val="009D2EA6"/>
    <w:rsid w:val="009D6564"/>
    <w:rsid w:val="009D7F97"/>
    <w:rsid w:val="009E21D6"/>
    <w:rsid w:val="009E2C30"/>
    <w:rsid w:val="009E4C0F"/>
    <w:rsid w:val="00A042E3"/>
    <w:rsid w:val="00A1168B"/>
    <w:rsid w:val="00A17349"/>
    <w:rsid w:val="00A205D4"/>
    <w:rsid w:val="00A26226"/>
    <w:rsid w:val="00A44B16"/>
    <w:rsid w:val="00A51058"/>
    <w:rsid w:val="00A52650"/>
    <w:rsid w:val="00A532D5"/>
    <w:rsid w:val="00A6255C"/>
    <w:rsid w:val="00A64E2D"/>
    <w:rsid w:val="00A71F3E"/>
    <w:rsid w:val="00A93637"/>
    <w:rsid w:val="00AA2AEA"/>
    <w:rsid w:val="00AA593B"/>
    <w:rsid w:val="00AB3FC7"/>
    <w:rsid w:val="00AC5156"/>
    <w:rsid w:val="00AD7FD5"/>
    <w:rsid w:val="00AF285E"/>
    <w:rsid w:val="00B1064E"/>
    <w:rsid w:val="00B136C2"/>
    <w:rsid w:val="00B15211"/>
    <w:rsid w:val="00B40859"/>
    <w:rsid w:val="00B46323"/>
    <w:rsid w:val="00B523B3"/>
    <w:rsid w:val="00B62D2E"/>
    <w:rsid w:val="00B65E7B"/>
    <w:rsid w:val="00B66B5F"/>
    <w:rsid w:val="00B8281F"/>
    <w:rsid w:val="00B86CB6"/>
    <w:rsid w:val="00BA34FA"/>
    <w:rsid w:val="00BB7D51"/>
    <w:rsid w:val="00BC2419"/>
    <w:rsid w:val="00BD6446"/>
    <w:rsid w:val="00BE4FB2"/>
    <w:rsid w:val="00BE67A5"/>
    <w:rsid w:val="00BF2236"/>
    <w:rsid w:val="00C021A2"/>
    <w:rsid w:val="00C15156"/>
    <w:rsid w:val="00C164CD"/>
    <w:rsid w:val="00C42EC1"/>
    <w:rsid w:val="00C465F7"/>
    <w:rsid w:val="00C477B9"/>
    <w:rsid w:val="00C51E20"/>
    <w:rsid w:val="00C62185"/>
    <w:rsid w:val="00C66754"/>
    <w:rsid w:val="00C725EC"/>
    <w:rsid w:val="00C94131"/>
    <w:rsid w:val="00CB0D06"/>
    <w:rsid w:val="00CC6EC8"/>
    <w:rsid w:val="00CC7377"/>
    <w:rsid w:val="00CD3BF1"/>
    <w:rsid w:val="00CE3F0E"/>
    <w:rsid w:val="00CE6D32"/>
    <w:rsid w:val="00CF243D"/>
    <w:rsid w:val="00CF75CB"/>
    <w:rsid w:val="00D01009"/>
    <w:rsid w:val="00D04A86"/>
    <w:rsid w:val="00D07273"/>
    <w:rsid w:val="00D20377"/>
    <w:rsid w:val="00D21A9B"/>
    <w:rsid w:val="00D252D1"/>
    <w:rsid w:val="00D25C16"/>
    <w:rsid w:val="00D51709"/>
    <w:rsid w:val="00D54414"/>
    <w:rsid w:val="00D55034"/>
    <w:rsid w:val="00D57FAE"/>
    <w:rsid w:val="00D60E7A"/>
    <w:rsid w:val="00D72A7A"/>
    <w:rsid w:val="00D73191"/>
    <w:rsid w:val="00D73734"/>
    <w:rsid w:val="00D77855"/>
    <w:rsid w:val="00D944AE"/>
    <w:rsid w:val="00DB0EDF"/>
    <w:rsid w:val="00DB6E81"/>
    <w:rsid w:val="00DB7F38"/>
    <w:rsid w:val="00DC44A6"/>
    <w:rsid w:val="00E04F97"/>
    <w:rsid w:val="00E0621A"/>
    <w:rsid w:val="00E06B5C"/>
    <w:rsid w:val="00E11ABC"/>
    <w:rsid w:val="00E15312"/>
    <w:rsid w:val="00E179AC"/>
    <w:rsid w:val="00E223EB"/>
    <w:rsid w:val="00E26EB3"/>
    <w:rsid w:val="00E30576"/>
    <w:rsid w:val="00E3369E"/>
    <w:rsid w:val="00E54A32"/>
    <w:rsid w:val="00E7082F"/>
    <w:rsid w:val="00E72112"/>
    <w:rsid w:val="00E73F2D"/>
    <w:rsid w:val="00E761E8"/>
    <w:rsid w:val="00E86EE6"/>
    <w:rsid w:val="00E9063E"/>
    <w:rsid w:val="00E9273C"/>
    <w:rsid w:val="00EA1A99"/>
    <w:rsid w:val="00EB42F2"/>
    <w:rsid w:val="00EB4947"/>
    <w:rsid w:val="00ED34DA"/>
    <w:rsid w:val="00ED4E8E"/>
    <w:rsid w:val="00EE2A46"/>
    <w:rsid w:val="00EE7B90"/>
    <w:rsid w:val="00EF7A53"/>
    <w:rsid w:val="00F104B4"/>
    <w:rsid w:val="00F130EA"/>
    <w:rsid w:val="00F137BC"/>
    <w:rsid w:val="00F25FBB"/>
    <w:rsid w:val="00F3132A"/>
    <w:rsid w:val="00F31A63"/>
    <w:rsid w:val="00F54AB2"/>
    <w:rsid w:val="00F63261"/>
    <w:rsid w:val="00F67691"/>
    <w:rsid w:val="00F71A2A"/>
    <w:rsid w:val="00F73EBB"/>
    <w:rsid w:val="00F7593E"/>
    <w:rsid w:val="00F75E3C"/>
    <w:rsid w:val="00F81CB5"/>
    <w:rsid w:val="00F8671F"/>
    <w:rsid w:val="00F95E37"/>
    <w:rsid w:val="00F9694B"/>
    <w:rsid w:val="00FA4F22"/>
    <w:rsid w:val="00FB1296"/>
    <w:rsid w:val="00FB2E88"/>
    <w:rsid w:val="00FB5394"/>
    <w:rsid w:val="00FC22E7"/>
    <w:rsid w:val="00FD06F5"/>
    <w:rsid w:val="00FD3CC2"/>
    <w:rsid w:val="00FD67E0"/>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qFormat/>
    <w:rsid w:val="00737EB0"/>
    <w:pPr>
      <w:numPr>
        <w:numId w:val="2"/>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styleId="ListBullet">
    <w:name w:val="List Bullet"/>
    <w:basedOn w:val="Normal"/>
    <w:uiPriority w:val="99"/>
    <w:unhideWhenUsed/>
    <w:rsid w:val="00D73734"/>
    <w:pPr>
      <w:widowControl/>
      <w:numPr>
        <w:numId w:val="4"/>
      </w:numPr>
      <w:autoSpaceDE/>
      <w:autoSpaceDN/>
      <w:spacing w:after="160" w:line="259" w:lineRule="auto"/>
      <w:contextualSpacing/>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2337">
      <w:bodyDiv w:val="1"/>
      <w:marLeft w:val="0"/>
      <w:marRight w:val="0"/>
      <w:marTop w:val="0"/>
      <w:marBottom w:val="0"/>
      <w:divBdr>
        <w:top w:val="none" w:sz="0" w:space="0" w:color="auto"/>
        <w:left w:val="none" w:sz="0" w:space="0" w:color="auto"/>
        <w:bottom w:val="none" w:sz="0" w:space="0" w:color="auto"/>
        <w:right w:val="none" w:sz="0" w:space="0" w:color="auto"/>
      </w:divBdr>
    </w:div>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602304825">
      <w:bodyDiv w:val="1"/>
      <w:marLeft w:val="0"/>
      <w:marRight w:val="0"/>
      <w:marTop w:val="0"/>
      <w:marBottom w:val="0"/>
      <w:divBdr>
        <w:top w:val="none" w:sz="0" w:space="0" w:color="auto"/>
        <w:left w:val="none" w:sz="0" w:space="0" w:color="auto"/>
        <w:bottom w:val="none" w:sz="0" w:space="0" w:color="auto"/>
        <w:right w:val="none" w:sz="0" w:space="0" w:color="auto"/>
      </w:divBdr>
    </w:div>
    <w:div w:id="839320945">
      <w:bodyDiv w:val="1"/>
      <w:marLeft w:val="0"/>
      <w:marRight w:val="0"/>
      <w:marTop w:val="0"/>
      <w:marBottom w:val="0"/>
      <w:divBdr>
        <w:top w:val="none" w:sz="0" w:space="0" w:color="auto"/>
        <w:left w:val="none" w:sz="0" w:space="0" w:color="auto"/>
        <w:bottom w:val="none" w:sz="0" w:space="0" w:color="auto"/>
        <w:right w:val="none" w:sz="0" w:space="0" w:color="auto"/>
      </w:divBdr>
    </w:div>
    <w:div w:id="1078017531">
      <w:bodyDiv w:val="1"/>
      <w:marLeft w:val="0"/>
      <w:marRight w:val="0"/>
      <w:marTop w:val="0"/>
      <w:marBottom w:val="0"/>
      <w:divBdr>
        <w:top w:val="none" w:sz="0" w:space="0" w:color="auto"/>
        <w:left w:val="none" w:sz="0" w:space="0" w:color="auto"/>
        <w:bottom w:val="none" w:sz="0" w:space="0" w:color="auto"/>
        <w:right w:val="none" w:sz="0" w:space="0" w:color="auto"/>
      </w:divBdr>
    </w:div>
    <w:div w:id="1511410640">
      <w:bodyDiv w:val="1"/>
      <w:marLeft w:val="0"/>
      <w:marRight w:val="0"/>
      <w:marTop w:val="0"/>
      <w:marBottom w:val="0"/>
      <w:divBdr>
        <w:top w:val="none" w:sz="0" w:space="0" w:color="auto"/>
        <w:left w:val="none" w:sz="0" w:space="0" w:color="auto"/>
        <w:bottom w:val="none" w:sz="0" w:space="0" w:color="auto"/>
        <w:right w:val="none" w:sz="0" w:space="0" w:color="auto"/>
      </w:divBdr>
    </w:div>
    <w:div w:id="1587878024">
      <w:bodyDiv w:val="1"/>
      <w:marLeft w:val="0"/>
      <w:marRight w:val="0"/>
      <w:marTop w:val="0"/>
      <w:marBottom w:val="0"/>
      <w:divBdr>
        <w:top w:val="none" w:sz="0" w:space="0" w:color="auto"/>
        <w:left w:val="none" w:sz="0" w:space="0" w:color="auto"/>
        <w:bottom w:val="none" w:sz="0" w:space="0" w:color="auto"/>
        <w:right w:val="none" w:sz="0" w:space="0" w:color="auto"/>
      </w:divBdr>
    </w:div>
    <w:div w:id="1789083880">
      <w:bodyDiv w:val="1"/>
      <w:marLeft w:val="0"/>
      <w:marRight w:val="0"/>
      <w:marTop w:val="0"/>
      <w:marBottom w:val="0"/>
      <w:divBdr>
        <w:top w:val="none" w:sz="0" w:space="0" w:color="auto"/>
        <w:left w:val="none" w:sz="0" w:space="0" w:color="auto"/>
        <w:bottom w:val="none" w:sz="0" w:space="0" w:color="auto"/>
        <w:right w:val="none" w:sz="0" w:space="0" w:color="auto"/>
      </w:divBdr>
    </w:div>
    <w:div w:id="1840609392">
      <w:bodyDiv w:val="1"/>
      <w:marLeft w:val="0"/>
      <w:marRight w:val="0"/>
      <w:marTop w:val="0"/>
      <w:marBottom w:val="0"/>
      <w:divBdr>
        <w:top w:val="none" w:sz="0" w:space="0" w:color="auto"/>
        <w:left w:val="none" w:sz="0" w:space="0" w:color="auto"/>
        <w:bottom w:val="none" w:sz="0" w:space="0" w:color="auto"/>
        <w:right w:val="none" w:sz="0" w:space="0" w:color="auto"/>
      </w:divBdr>
    </w:div>
    <w:div w:id="212942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1351</Words>
  <Characters>8130</Characters>
  <Application>Microsoft Office Word</Application>
  <DocSecurity>0</DocSecurity>
  <Lines>154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Rice, Katie</cp:lastModifiedBy>
  <cp:revision>3</cp:revision>
  <dcterms:created xsi:type="dcterms:W3CDTF">2026-03-31T12:26:00Z</dcterms:created>
  <dcterms:modified xsi:type="dcterms:W3CDTF">2026-03-31T12:27:00Z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0x010100FB7E0E8BA4649F4C8D2C9B2F29E310B4</vt:lpwstr>
  </property>
</Properties>
</file>