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3.xml" ContentType="application/vnd.openxmlformats-officedocument.wordprocessingml.footer+xml"/>
  <Override PartName="/word/media/image1.png" ContentType="image/png"/>
  <Override PartName="/word/media/image2.png" ContentType="image/png"/>
  <Override PartName="/word/footer4.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word/_rels/header3.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ing1"/>
        <w:shd w:fill="004F6E" w:val="clear"/>
        <w:rPr>
          <w:rFonts w:cs="Arial"/>
          <w:sz w:val="24"/>
          <w:szCs w:val="24"/>
        </w:rPr>
      </w:pPr>
      <w:r>
        <w:rPr>
          <w:rFonts w:cs="Arial"/>
          <w:sz w:val="24"/>
          <w:szCs w:val="24"/>
        </w:rPr>
        <w:t>Role profile</w:t>
      </w:r>
    </w:p>
    <w:p>
      <w:pPr>
        <w:pStyle w:val="ListParagraph"/>
        <w:numPr>
          <w:ilvl w:val="0"/>
          <w:numId w:val="2"/>
        </w:numPr>
        <w:rPr/>
      </w:pPr>
      <w:r>
        <w:rPr>
          <w:rFonts w:cs="Arial"/>
          <w:b/>
          <w:bCs/>
          <w:szCs w:val="24"/>
        </w:rPr>
        <w:t>Job title</w:t>
      </w:r>
      <w:r>
        <w:rPr>
          <w:rFonts w:cs="Arial"/>
          <w:szCs w:val="24"/>
        </w:rPr>
        <w:t>: Grant Bid &amp; Policy Officer</w:t>
      </w:r>
    </w:p>
    <w:p>
      <w:pPr>
        <w:pStyle w:val="ListParagraph"/>
        <w:numPr>
          <w:ilvl w:val="0"/>
          <w:numId w:val="2"/>
        </w:numPr>
        <w:rPr/>
      </w:pPr>
      <w:r>
        <w:rPr>
          <w:rFonts w:cs="Arial"/>
          <w:b/>
          <w:bCs/>
          <w:szCs w:val="24"/>
        </w:rPr>
        <w:t>Grade:</w:t>
      </w:r>
      <w:r>
        <w:rPr>
          <w:rFonts w:cs="Arial"/>
          <w:szCs w:val="24"/>
        </w:rPr>
        <w:t xml:space="preserve"> Grade: 8 / 9 (subject to JE)</w:t>
      </w:r>
    </w:p>
    <w:p>
      <w:pPr>
        <w:pStyle w:val="ListParagraph"/>
        <w:numPr>
          <w:ilvl w:val="0"/>
          <w:numId w:val="2"/>
        </w:numPr>
        <w:rPr/>
      </w:pPr>
      <w:r>
        <w:rPr>
          <w:rFonts w:cs="Arial"/>
          <w:b/>
          <w:bCs/>
          <w:szCs w:val="24"/>
        </w:rPr>
        <w:t>Business area:</w:t>
      </w:r>
      <w:r>
        <w:rPr>
          <w:rFonts w:cs="Arial"/>
          <w:szCs w:val="24"/>
        </w:rPr>
        <w:t xml:space="preserve"> Corporate Strategy, Governance &amp; Performance </w:t>
      </w:r>
    </w:p>
    <w:p>
      <w:pPr>
        <w:pStyle w:val="ListParagraph"/>
        <w:numPr>
          <w:ilvl w:val="0"/>
          <w:numId w:val="2"/>
        </w:numPr>
        <w:rPr/>
      </w:pPr>
      <w:r>
        <w:rPr>
          <w:rFonts w:cs="Arial"/>
          <w:b/>
          <w:bCs/>
          <w:szCs w:val="24"/>
        </w:rPr>
        <w:t>Reporting line:</w:t>
      </w:r>
      <w:r>
        <w:rPr>
          <w:rFonts w:cs="Arial"/>
          <w:szCs w:val="24"/>
        </w:rPr>
        <w:t xml:space="preserve"> PMO Manager</w:t>
      </w:r>
    </w:p>
    <w:p>
      <w:pPr>
        <w:pStyle w:val="ListParagraph"/>
        <w:numPr>
          <w:ilvl w:val="0"/>
          <w:numId w:val="2"/>
        </w:numPr>
        <w:rPr/>
      </w:pPr>
      <w:r>
        <w:rPr>
          <w:rFonts w:cs="Arial"/>
          <w:b/>
          <w:bCs/>
          <w:szCs w:val="24"/>
        </w:rPr>
        <w:t>Team:</w:t>
      </w:r>
      <w:r>
        <w:rPr>
          <w:rFonts w:cs="Arial"/>
          <w:szCs w:val="24"/>
        </w:rPr>
        <w:t xml:space="preserve"> Service Excellence</w:t>
      </w:r>
    </w:p>
    <w:p>
      <w:pPr>
        <w:pStyle w:val="Heading2"/>
        <w:shd w:fill="004F6E" w:val="clear"/>
        <w:rPr>
          <w:rFonts w:cs="Arial"/>
          <w:sz w:val="24"/>
          <w:szCs w:val="24"/>
        </w:rPr>
      </w:pPr>
      <w:r>
        <w:rPr>
          <w:rFonts w:cs="Arial"/>
          <w:sz w:val="24"/>
          <w:szCs w:val="24"/>
        </w:rPr>
        <w:t>Job Purpose</w:t>
      </w:r>
    </w:p>
    <w:p>
      <w:pPr>
        <w:pStyle w:val="ListParagraph"/>
        <w:numPr>
          <w:ilvl w:val="0"/>
          <w:numId w:val="4"/>
        </w:numPr>
        <w:rPr>
          <w:rFonts w:cs="Arial"/>
          <w:color w:val="auto"/>
          <w:szCs w:val="24"/>
        </w:rPr>
      </w:pPr>
      <w:r>
        <w:rPr>
          <w:rFonts w:cs="Arial"/>
          <w:color w:val="auto"/>
          <w:szCs w:val="24"/>
        </w:rPr>
        <w:t>To lead and coordinate the identification, development and submission of high-quality grant funding bids that support GMFRS strategic priorities, strengthen organisational capability and reduce pressure on core budgets.</w:t>
      </w:r>
    </w:p>
    <w:p>
      <w:pPr>
        <w:pStyle w:val="ListParagraph"/>
        <w:numPr>
          <w:ilvl w:val="0"/>
          <w:numId w:val="4"/>
        </w:numPr>
        <w:rPr>
          <w:rFonts w:cs="Arial"/>
          <w:color w:val="auto"/>
          <w:szCs w:val="24"/>
        </w:rPr>
      </w:pPr>
      <w:r>
        <w:rPr>
          <w:rFonts w:cs="Arial"/>
          <w:color w:val="auto"/>
          <w:szCs w:val="24"/>
        </w:rPr>
        <w:t>To support the development, review, and maintenance of strategic policy documentation, ensuring policies are robust, evidence-led, aligned to national frameworks and inspection expectations, and produced in a timely and consistent way.</w:t>
      </w:r>
    </w:p>
    <w:p>
      <w:pPr>
        <w:sectPr>
          <w:headerReference w:type="default" r:id="rId2"/>
          <w:footerReference w:type="default" r:id="rId3"/>
          <w:type w:val="nextPage"/>
          <w:pgSz w:w="11906" w:h="16850"/>
          <w:pgMar w:left="1276" w:right="1410" w:header="709" w:top="766" w:footer="0" w:bottom="1418" w:gutter="0"/>
          <w:pgNumType w:fmt="decimal"/>
          <w:formProt w:val="false"/>
          <w:textDirection w:val="lrTb"/>
          <w:docGrid w:type="default" w:linePitch="326" w:charSpace="0"/>
        </w:sectPr>
        <w:pStyle w:val="ListParagraph"/>
        <w:numPr>
          <w:ilvl w:val="0"/>
          <w:numId w:val="4"/>
        </w:numPr>
        <w:rPr>
          <w:rFonts w:cs="Arial"/>
          <w:color w:val="auto"/>
          <w:szCs w:val="24"/>
        </w:rPr>
      </w:pPr>
      <w:r>
        <w:rPr>
          <w:rFonts w:cs="Arial"/>
          <w:color w:val="auto"/>
          <w:szCs w:val="24"/>
        </w:rPr>
        <w:t>To provide analytical and developmental support for income generation opportunities, working collaboratively across the organisation to assess feasibility, develop proposals, and help position GMFRS to secure external funding and explore sustainable revenue streams.</w:t>
      </w:r>
    </w:p>
    <w:p>
      <w:pPr>
        <w:pStyle w:val="Heading2"/>
        <w:shd w:fill="004F6E" w:val="clear"/>
        <w:rPr>
          <w:rFonts w:cs="Arial"/>
          <w:sz w:val="24"/>
          <w:szCs w:val="24"/>
        </w:rPr>
      </w:pPr>
      <w:r>
        <w:rPr>
          <w:rFonts w:cs="Arial"/>
          <w:sz w:val="24"/>
          <w:szCs w:val="24"/>
        </w:rPr>
        <w:t>Key working relationships</w:t>
      </w:r>
    </w:p>
    <w:p>
      <w:pPr>
        <w:pStyle w:val="ListParagraph"/>
        <w:numPr>
          <w:ilvl w:val="0"/>
          <w:numId w:val="4"/>
        </w:numPr>
        <w:rPr>
          <w:rFonts w:cs="Arial"/>
          <w:color w:val="auto"/>
          <w:szCs w:val="24"/>
        </w:rPr>
      </w:pPr>
      <w:r>
        <w:rPr>
          <w:rFonts w:cs="Arial"/>
          <w:color w:val="auto"/>
          <w:szCs w:val="24"/>
        </w:rPr>
        <w:t>Corporate Risk, Resources, and Planning Directorate</w:t>
      </w:r>
    </w:p>
    <w:p>
      <w:pPr>
        <w:pStyle w:val="ListParagraph"/>
        <w:numPr>
          <w:ilvl w:val="0"/>
          <w:numId w:val="4"/>
        </w:numPr>
        <w:rPr>
          <w:rFonts w:cs="Arial"/>
          <w:color w:val="auto"/>
          <w:szCs w:val="24"/>
        </w:rPr>
      </w:pPr>
      <w:r>
        <w:rPr>
          <w:rFonts w:cs="Arial"/>
          <w:color w:val="auto"/>
          <w:szCs w:val="24"/>
        </w:rPr>
        <w:t>Head of Corporate Strategy, Governance &amp; Performance</w:t>
      </w:r>
    </w:p>
    <w:p>
      <w:pPr>
        <w:pStyle w:val="ListParagraph"/>
        <w:numPr>
          <w:ilvl w:val="0"/>
          <w:numId w:val="4"/>
        </w:numPr>
        <w:rPr>
          <w:rFonts w:cs="Arial"/>
          <w:color w:val="auto"/>
          <w:szCs w:val="24"/>
        </w:rPr>
      </w:pPr>
      <w:r>
        <w:rPr>
          <w:rFonts w:cs="Arial"/>
          <w:color w:val="auto"/>
          <w:szCs w:val="24"/>
        </w:rPr>
        <w:t>GMFRS Executive Board and Senior Leadership Team</w:t>
      </w:r>
    </w:p>
    <w:p>
      <w:pPr>
        <w:pStyle w:val="ListParagraph"/>
        <w:numPr>
          <w:ilvl w:val="0"/>
          <w:numId w:val="4"/>
        </w:numPr>
        <w:rPr>
          <w:rFonts w:cs="Arial"/>
          <w:color w:val="auto"/>
          <w:szCs w:val="24"/>
        </w:rPr>
      </w:pPr>
      <w:r>
        <w:rPr>
          <w:rFonts w:cs="Arial"/>
          <w:color w:val="auto"/>
          <w:szCs w:val="24"/>
        </w:rPr>
        <w:t>Directorate Leads and Departmental Managers</w:t>
      </w:r>
    </w:p>
    <w:p>
      <w:pPr>
        <w:pStyle w:val="ListParagraph"/>
        <w:numPr>
          <w:ilvl w:val="0"/>
          <w:numId w:val="4"/>
        </w:numPr>
        <w:rPr>
          <w:rFonts w:cs="Arial"/>
          <w:color w:val="auto"/>
          <w:szCs w:val="24"/>
        </w:rPr>
      </w:pPr>
      <w:r>
        <w:rPr>
          <w:rFonts w:cs="Arial"/>
          <w:color w:val="auto"/>
          <w:szCs w:val="24"/>
        </w:rPr>
        <w:t xml:space="preserve">Enabling teams – Finance, Procurement, People, Digital and Legal / Governance </w:t>
      </w:r>
    </w:p>
    <w:p>
      <w:pPr>
        <w:pStyle w:val="ListParagraph"/>
        <w:numPr>
          <w:ilvl w:val="0"/>
          <w:numId w:val="4"/>
        </w:numPr>
        <w:rPr>
          <w:rFonts w:cs="Arial"/>
          <w:color w:val="auto"/>
          <w:szCs w:val="24"/>
        </w:rPr>
      </w:pPr>
      <w:r>
        <w:rPr>
          <w:rFonts w:cs="Arial"/>
          <w:color w:val="auto"/>
          <w:szCs w:val="24"/>
        </w:rPr>
        <w:t>GMCA teams and wider GMCA Group partners</w:t>
      </w:r>
    </w:p>
    <w:p>
      <w:pPr>
        <w:pStyle w:val="ListParagraph"/>
        <w:numPr>
          <w:ilvl w:val="0"/>
          <w:numId w:val="4"/>
        </w:numPr>
        <w:rPr>
          <w:rFonts w:cs="Arial"/>
          <w:color w:val="auto"/>
          <w:szCs w:val="24"/>
        </w:rPr>
      </w:pPr>
      <w:r>
        <w:rPr>
          <w:rFonts w:cs="Arial"/>
          <w:color w:val="auto"/>
          <w:szCs w:val="24"/>
        </w:rPr>
        <w:t>Funding bodies including central government departments, charitable foundations, research bodies, and partnership funders</w:t>
      </w:r>
    </w:p>
    <w:p>
      <w:pPr>
        <w:pStyle w:val="ListParagraph"/>
        <w:numPr>
          <w:ilvl w:val="0"/>
          <w:numId w:val="4"/>
        </w:numPr>
        <w:rPr>
          <w:rFonts w:cs="Arial"/>
          <w:color w:val="auto"/>
          <w:szCs w:val="24"/>
        </w:rPr>
      </w:pPr>
      <w:r>
        <w:rPr>
          <w:rFonts w:cs="Arial"/>
          <w:color w:val="auto"/>
          <w:szCs w:val="24"/>
        </w:rPr>
        <w:t>Local authority, VCFSE and wider Greater Manchester partners</w:t>
      </w:r>
    </w:p>
    <w:p>
      <w:pPr>
        <w:pStyle w:val="ListParagraph"/>
        <w:numPr>
          <w:ilvl w:val="0"/>
          <w:numId w:val="4"/>
        </w:numPr>
        <w:spacing w:before="60" w:after="120"/>
        <w:ind w:left="357" w:right="0" w:hanging="357"/>
        <w:rPr>
          <w:rFonts w:cs="Arial"/>
          <w:color w:val="auto"/>
          <w:szCs w:val="24"/>
        </w:rPr>
      </w:pPr>
      <w:r>
        <w:rPr>
          <w:rFonts w:cs="Arial"/>
          <w:color w:val="auto"/>
          <w:szCs w:val="24"/>
        </w:rPr>
        <w:t>External stakeholders and commercial partners relevant to income generation opportunities</w:t>
      </w:r>
    </w:p>
    <w:p>
      <w:pPr>
        <w:pStyle w:val="Heading2"/>
        <w:shd w:fill="004F6E" w:val="clear"/>
        <w:spacing w:before="240" w:after="240"/>
        <w:rPr>
          <w:rFonts w:cs="Arial"/>
          <w:sz w:val="24"/>
          <w:szCs w:val="24"/>
        </w:rPr>
      </w:pPr>
      <w:r>
        <w:rPr>
          <w:rFonts w:cs="Arial"/>
          <w:sz w:val="24"/>
          <w:szCs w:val="24"/>
        </w:rPr>
        <w:t>Key Responsibilities</w:t>
      </w:r>
    </w:p>
    <w:p>
      <w:pPr>
        <w:pStyle w:val="ListParagraph"/>
        <w:numPr>
          <w:ilvl w:val="0"/>
          <w:numId w:val="3"/>
        </w:numPr>
        <w:rPr>
          <w:rFonts w:cs="Arial"/>
          <w:color w:val="auto"/>
          <w:szCs w:val="24"/>
        </w:rPr>
      </w:pPr>
      <w:r>
        <w:rPr>
          <w:rFonts w:cs="Arial"/>
          <w:color w:val="auto"/>
          <w:szCs w:val="24"/>
        </w:rPr>
        <w:t>Proactively scan for, identify and assess external funding opportunities that align with GMFRS priorities, operational needs, and wider organisational ambitions.</w:t>
      </w:r>
    </w:p>
    <w:p>
      <w:pPr>
        <w:pStyle w:val="ListParagraph"/>
        <w:numPr>
          <w:ilvl w:val="0"/>
          <w:numId w:val="3"/>
        </w:numPr>
        <w:rPr>
          <w:rFonts w:cs="Arial"/>
          <w:color w:val="auto"/>
          <w:szCs w:val="24"/>
        </w:rPr>
      </w:pPr>
      <w:r>
        <w:rPr>
          <w:rFonts w:cs="Arial"/>
          <w:color w:val="auto"/>
          <w:szCs w:val="24"/>
        </w:rPr>
        <w:t>Lead the coordination, drafting and submission of high-quality grant applications, expressions of interest, and supporting documentation, drawing together evidence, data, and input from relevant services.</w:t>
      </w:r>
    </w:p>
    <w:p>
      <w:pPr>
        <w:pStyle w:val="ListParagraph"/>
        <w:numPr>
          <w:ilvl w:val="0"/>
          <w:numId w:val="3"/>
        </w:numPr>
        <w:rPr>
          <w:rFonts w:cs="Arial"/>
          <w:color w:val="auto"/>
          <w:szCs w:val="24"/>
        </w:rPr>
      </w:pPr>
      <w:r>
        <w:rPr>
          <w:rFonts w:cs="Arial"/>
          <w:color w:val="auto"/>
          <w:szCs w:val="24"/>
        </w:rPr>
        <w:t>Develop and maintain a pipeline of live and emerging funding opportunities, including horizon scanning, bid planning, deadlines, and key decision points.</w:t>
      </w:r>
    </w:p>
    <w:p>
      <w:pPr>
        <w:pStyle w:val="ListParagraph"/>
        <w:numPr>
          <w:ilvl w:val="0"/>
          <w:numId w:val="3"/>
        </w:numPr>
        <w:rPr>
          <w:rFonts w:cs="Arial"/>
          <w:color w:val="auto"/>
          <w:szCs w:val="24"/>
        </w:rPr>
      </w:pPr>
      <w:r>
        <w:rPr>
          <w:rFonts w:cs="Arial"/>
          <w:color w:val="auto"/>
          <w:szCs w:val="24"/>
        </w:rPr>
        <w:t>Work with colleagues across GMFRS and GMCA to translate organisational priorities, operational challenges, and improvement needs into compelling funding propositions.</w:t>
      </w:r>
    </w:p>
    <w:p>
      <w:pPr>
        <w:sectPr>
          <w:headerReference w:type="default" r:id="rId4"/>
          <w:headerReference w:type="first" r:id="rId5"/>
          <w:footerReference w:type="default" r:id="rId6"/>
          <w:footerReference w:type="first" r:id="rId7"/>
          <w:type w:val="nextPage"/>
          <w:pgSz w:w="11906" w:h="16850"/>
          <w:pgMar w:left="720" w:right="720" w:header="709" w:top="766" w:footer="0" w:bottom="720" w:gutter="0"/>
          <w:pgNumType w:fmt="decimal"/>
          <w:formProt w:val="false"/>
          <w:titlePg/>
          <w:textDirection w:val="lrTb"/>
          <w:docGrid w:type="default" w:linePitch="326" w:charSpace="0"/>
        </w:sectPr>
        <w:pStyle w:val="ListParagraph"/>
        <w:numPr>
          <w:ilvl w:val="0"/>
          <w:numId w:val="3"/>
        </w:numPr>
        <w:rPr>
          <w:rFonts w:cs="Arial"/>
          <w:color w:val="auto"/>
          <w:szCs w:val="24"/>
        </w:rPr>
      </w:pPr>
      <w:r>
        <w:rPr>
          <w:rFonts w:cs="Arial"/>
          <w:color w:val="auto"/>
          <w:szCs w:val="24"/>
        </w:rPr>
        <w:t>Support the production, review, and refresh of strategic policies, ensuring they are clear, evidence-based, compliant with relevant legislation, and aligned to national frameworks, Fire Standards and HMICFRS expectations where applicable.</w:t>
      </w:r>
    </w:p>
    <w:p>
      <w:pPr>
        <w:pStyle w:val="ListParagraph"/>
        <w:numPr>
          <w:ilvl w:val="0"/>
          <w:numId w:val="3"/>
        </w:numPr>
        <w:rPr>
          <w:rFonts w:cs="Arial"/>
          <w:color w:val="auto"/>
          <w:szCs w:val="24"/>
        </w:rPr>
      </w:pPr>
      <w:r>
        <w:rPr>
          <w:rFonts w:cs="Arial"/>
          <w:color w:val="auto"/>
          <w:szCs w:val="24"/>
        </w:rPr>
        <w:t>Provide advice and support to Directorates on policy structure, consultation, governance, and quality assurance to improve consistency and organisational readiness for scrutiny.</w:t>
      </w:r>
    </w:p>
    <w:p>
      <w:pPr>
        <w:pStyle w:val="ListParagraph"/>
        <w:numPr>
          <w:ilvl w:val="0"/>
          <w:numId w:val="3"/>
        </w:numPr>
        <w:rPr>
          <w:rFonts w:cs="Arial"/>
          <w:color w:val="auto"/>
          <w:szCs w:val="24"/>
        </w:rPr>
      </w:pPr>
      <w:r>
        <w:rPr>
          <w:rFonts w:cs="Arial"/>
          <w:color w:val="auto"/>
          <w:szCs w:val="24"/>
        </w:rPr>
        <w:t>Contribute to the development of business cases, options appraisals, and feasibility work linked to income generation opportunities, including commercial and partnership-based initiatives.</w:t>
      </w:r>
    </w:p>
    <w:p>
      <w:pPr>
        <w:pStyle w:val="ListParagraph"/>
        <w:numPr>
          <w:ilvl w:val="0"/>
          <w:numId w:val="3"/>
        </w:numPr>
        <w:rPr>
          <w:rFonts w:cs="Arial"/>
          <w:color w:val="auto"/>
          <w:szCs w:val="24"/>
        </w:rPr>
      </w:pPr>
      <w:r>
        <w:rPr>
          <w:rFonts w:cs="Arial"/>
          <w:color w:val="auto"/>
          <w:szCs w:val="24"/>
        </w:rPr>
        <w:t>Build and maintain effective working relationships with internal stakeholders and external funders / partners to strengthen GMFRS visibility, credibility, and competitiveness.</w:t>
      </w:r>
    </w:p>
    <w:p>
      <w:pPr>
        <w:pStyle w:val="ListParagraph"/>
        <w:numPr>
          <w:ilvl w:val="0"/>
          <w:numId w:val="3"/>
        </w:numPr>
        <w:rPr>
          <w:rFonts w:cs="Arial"/>
          <w:color w:val="auto"/>
          <w:szCs w:val="24"/>
        </w:rPr>
      </w:pPr>
      <w:r>
        <w:rPr>
          <w:rFonts w:cs="Arial"/>
          <w:color w:val="auto"/>
          <w:szCs w:val="24"/>
        </w:rPr>
        <w:t xml:space="preserve">Develop and maintain records, templates, guidance, and management information to support grant bidding, policy development, and income generation activity across the Service. </w:t>
      </w:r>
    </w:p>
    <w:p>
      <w:pPr>
        <w:pStyle w:val="ListParagraph"/>
        <w:numPr>
          <w:ilvl w:val="0"/>
          <w:numId w:val="3"/>
        </w:numPr>
        <w:rPr/>
      </w:pPr>
      <w:r>
        <w:rPr>
          <w:rFonts w:eastAsia="Arial" w:cs="Arial"/>
          <w:color w:val="auto"/>
          <w:szCs w:val="24"/>
        </w:rPr>
        <w:t xml:space="preserve"> </w:t>
      </w:r>
      <w:r>
        <w:rPr>
          <w:rFonts w:cs="Arial"/>
          <w:color w:val="auto"/>
          <w:szCs w:val="24"/>
        </w:rPr>
        <w:t xml:space="preserve">Monitor and report on activity, including opportunities identified, bids submitted, funding secured, policy outputs delivered and wider benefits realised, providing regular updates to senior management. </w:t>
      </w:r>
    </w:p>
    <w:p>
      <w:pPr>
        <w:pStyle w:val="ListParagraph"/>
        <w:numPr>
          <w:ilvl w:val="0"/>
          <w:numId w:val="3"/>
        </w:numPr>
        <w:rPr/>
      </w:pPr>
      <w:r>
        <w:rPr>
          <w:rFonts w:eastAsia="Arial" w:cs="Arial"/>
          <w:color w:val="auto"/>
          <w:szCs w:val="24"/>
        </w:rPr>
        <w:t xml:space="preserve"> </w:t>
      </w:r>
      <w:r>
        <w:rPr>
          <w:rFonts w:cs="Arial"/>
          <w:color w:val="auto"/>
          <w:szCs w:val="24"/>
        </w:rPr>
        <w:t>Support arrangements for the mobilisation, monitoring, and evaluation of successful bids, working with lead services to ensure reporting requirements, outcomes and benefits are clearly understood and tracked.</w:t>
      </w:r>
    </w:p>
    <w:p>
      <w:pPr>
        <w:pStyle w:val="ListParagraph"/>
        <w:numPr>
          <w:ilvl w:val="0"/>
          <w:numId w:val="3"/>
        </w:numPr>
        <w:rPr/>
      </w:pPr>
      <w:r>
        <w:rPr>
          <w:rFonts w:eastAsia="Arial" w:cs="Arial"/>
          <w:color w:val="auto"/>
          <w:szCs w:val="24"/>
        </w:rPr>
        <w:t xml:space="preserve">  </w:t>
      </w:r>
      <w:r>
        <w:rPr>
          <w:rFonts w:cs="Arial"/>
          <w:color w:val="auto"/>
          <w:szCs w:val="24"/>
        </w:rPr>
        <w:t xml:space="preserve">Research and develop appropriate proposals for the use of grant finding software / databases to strengthen organisational opportunities. </w:t>
      </w:r>
    </w:p>
    <w:p>
      <w:pPr>
        <w:pStyle w:val="ListParagraph"/>
        <w:numPr>
          <w:ilvl w:val="0"/>
          <w:numId w:val="3"/>
        </w:numPr>
        <w:rPr/>
      </w:pPr>
      <w:r>
        <w:rPr>
          <w:rFonts w:eastAsia="Arial" w:cs="Arial"/>
          <w:color w:val="auto"/>
          <w:szCs w:val="24"/>
        </w:rPr>
        <w:t xml:space="preserve"> </w:t>
      </w:r>
      <w:r>
        <w:rPr>
          <w:rFonts w:cs="Arial"/>
          <w:color w:val="auto"/>
          <w:szCs w:val="24"/>
        </w:rPr>
        <w:t xml:space="preserve">Provide constructive challenge and professional advice to help colleagues improve the quality of proposals, policy documents and supporting evidence. </w:t>
      </w:r>
    </w:p>
    <w:p>
      <w:pPr>
        <w:pStyle w:val="ListParagraph"/>
        <w:numPr>
          <w:ilvl w:val="0"/>
          <w:numId w:val="3"/>
        </w:numPr>
        <w:rPr/>
      </w:pPr>
      <w:r>
        <w:rPr>
          <w:rFonts w:eastAsia="Arial" w:cs="Arial"/>
          <w:color w:val="auto"/>
          <w:szCs w:val="24"/>
        </w:rPr>
        <w:t xml:space="preserve"> </w:t>
      </w:r>
      <w:r>
        <w:rPr>
          <w:rFonts w:cs="Arial"/>
          <w:color w:val="auto"/>
          <w:szCs w:val="24"/>
        </w:rPr>
        <w:t xml:space="preserve">Maintain awareness of national policy, legislation, funding trends, and best practice relevant to fire and rescue services, public sector reform, and organisational improvement. </w:t>
      </w:r>
    </w:p>
    <w:p>
      <w:pPr>
        <w:pStyle w:val="ListParagraph"/>
        <w:numPr>
          <w:ilvl w:val="0"/>
          <w:numId w:val="3"/>
        </w:numPr>
        <w:rPr/>
      </w:pPr>
      <w:r>
        <w:rPr>
          <w:rFonts w:eastAsia="Arial" w:cs="Arial"/>
          <w:color w:val="auto"/>
          <w:szCs w:val="24"/>
        </w:rPr>
        <w:t xml:space="preserve"> </w:t>
      </w:r>
      <w:r>
        <w:rPr>
          <w:rFonts w:cs="Arial"/>
          <w:color w:val="auto"/>
          <w:szCs w:val="24"/>
        </w:rPr>
        <w:t xml:space="preserve">Actively contribute to cross-service and external networks relevant to grants, policy development, innovation, and improvement. </w:t>
      </w:r>
    </w:p>
    <w:p>
      <w:pPr>
        <w:pStyle w:val="ListParagraph"/>
        <w:numPr>
          <w:ilvl w:val="0"/>
          <w:numId w:val="3"/>
        </w:numPr>
        <w:rPr/>
      </w:pPr>
      <w:r>
        <w:rPr>
          <w:rFonts w:eastAsia="Arial" w:cs="Arial"/>
          <w:color w:val="auto"/>
          <w:szCs w:val="24"/>
        </w:rPr>
        <w:t xml:space="preserve"> </w:t>
      </w:r>
      <w:r>
        <w:rPr>
          <w:rFonts w:cs="Arial"/>
          <w:color w:val="auto"/>
          <w:szCs w:val="24"/>
        </w:rPr>
        <w:t xml:space="preserve">The post holder will carry out their duties with full regard to the organisation’s strategies and policies including Equal Opportunities and Health &amp; Safety and will demonstrate a commitment to GM public service principles. </w:t>
      </w:r>
    </w:p>
    <w:p>
      <w:pPr>
        <w:pStyle w:val="ListParagraph"/>
        <w:numPr>
          <w:ilvl w:val="0"/>
          <w:numId w:val="3"/>
        </w:numPr>
        <w:rPr>
          <w:rFonts w:cs="Arial"/>
          <w:color w:val="auto"/>
          <w:szCs w:val="24"/>
        </w:rPr>
      </w:pPr>
      <w:r>
        <w:rPr>
          <w:rFonts w:cs="Arial"/>
          <w:color w:val="auto"/>
          <w:szCs w:val="24"/>
        </w:rPr>
        <w:t>· NB: This list of duties and responsibilities is not exhaustive, and the post holder may be required to undertake other relevant and appropriate duties as required.</w:t>
      </w:r>
    </w:p>
    <w:p>
      <w:pPr>
        <w:pStyle w:val="Heading2"/>
        <w:shd w:fill="004F6E" w:val="clear"/>
        <w:rPr>
          <w:rFonts w:cs="Arial"/>
          <w:sz w:val="24"/>
          <w:szCs w:val="24"/>
        </w:rPr>
      </w:pPr>
      <w:r>
        <w:rPr>
          <w:rFonts w:cs="Arial"/>
          <w:sz w:val="24"/>
          <w:szCs w:val="24"/>
        </w:rPr>
        <w:t>General</w:t>
      </w:r>
    </w:p>
    <w:p>
      <w:pPr>
        <w:pStyle w:val="ListParagraph"/>
        <w:numPr>
          <w:ilvl w:val="0"/>
          <w:numId w:val="5"/>
        </w:numPr>
        <w:rPr>
          <w:rFonts w:cs="Arial"/>
          <w:color w:val="auto"/>
          <w:szCs w:val="24"/>
        </w:rPr>
      </w:pPr>
      <w:r>
        <w:rPr>
          <w:rFonts w:cs="Arial"/>
          <w:color w:val="auto"/>
          <w:szCs w:val="24"/>
        </w:rPr>
        <w:t>To always hold yourself and others to a high standard of professionalism, demonstrating your commitment to our values and behaviours as well as ensuring service confidentiality is maintained throughout all we do.</w:t>
      </w:r>
    </w:p>
    <w:p>
      <w:pPr>
        <w:pStyle w:val="ListParagraph"/>
        <w:numPr>
          <w:ilvl w:val="0"/>
          <w:numId w:val="5"/>
        </w:numPr>
        <w:rPr>
          <w:rFonts w:eastAsia="Arial" w:cs="Arial"/>
          <w:color w:val="auto"/>
          <w:szCs w:val="24"/>
        </w:rPr>
      </w:pPr>
      <w:r>
        <w:rPr>
          <w:rFonts w:eastAsia="Arial" w:cs="Arial"/>
          <w:color w:val="auto"/>
          <w:szCs w:val="24"/>
        </w:rPr>
        <w:t>Working with other teams internally and externally collaboration is maximised and supporting on activity where appropriate.</w:t>
      </w:r>
    </w:p>
    <w:p>
      <w:pPr>
        <w:pStyle w:val="ListParagraph"/>
        <w:numPr>
          <w:ilvl w:val="0"/>
          <w:numId w:val="5"/>
        </w:numPr>
        <w:rPr>
          <w:rFonts w:cs="Arial"/>
          <w:color w:val="auto"/>
          <w:szCs w:val="24"/>
        </w:rPr>
      </w:pPr>
      <w:r>
        <w:rPr>
          <w:rFonts w:cs="Arial"/>
          <w:color w:val="auto"/>
          <w:szCs w:val="24"/>
        </w:rPr>
        <w:t>Ensure the services delivered internally and externally are inclusive and accessible.</w:t>
      </w:r>
    </w:p>
    <w:p>
      <w:pPr>
        <w:pStyle w:val="ListParagraph"/>
        <w:numPr>
          <w:ilvl w:val="0"/>
          <w:numId w:val="5"/>
        </w:numPr>
        <w:rPr>
          <w:rFonts w:cs="Arial"/>
          <w:color w:val="auto"/>
          <w:szCs w:val="24"/>
        </w:rPr>
      </w:pPr>
      <w:r>
        <w:rPr>
          <w:rFonts w:cs="Arial"/>
          <w:color w:val="auto"/>
          <w:szCs w:val="24"/>
        </w:rPr>
        <w:t xml:space="preserve">To align work area to the Sustainability Strategy and ensure work practices are inclusive of this value &amp; strategic intent. </w:t>
      </w:r>
    </w:p>
    <w:p>
      <w:pPr>
        <w:pStyle w:val="Normal"/>
        <w:rPr>
          <w:rFonts w:cs="Arial"/>
          <w:b/>
          <w:b/>
          <w:color w:val="auto"/>
          <w:szCs w:val="24"/>
        </w:rPr>
      </w:pPr>
      <w:r>
        <w:rPr>
          <w:rFonts w:cs="Arial"/>
          <w:b/>
          <w:color w:val="auto"/>
          <w:szCs w:val="24"/>
        </w:rPr>
        <w:t>NB: This list of duties and responsibilities is by no means exhaustive, and the post holder may be required to undertake other relevant and appropriate duties as required.</w:t>
      </w:r>
    </w:p>
    <w:p>
      <w:pPr>
        <w:pStyle w:val="Heading2"/>
        <w:shd w:fill="004F6E" w:val="clear"/>
        <w:rPr>
          <w:rFonts w:cs="Arial"/>
          <w:sz w:val="24"/>
          <w:szCs w:val="24"/>
        </w:rPr>
      </w:pPr>
      <w:r>
        <w:rPr>
          <w:rFonts w:cs="Arial"/>
          <w:sz w:val="24"/>
          <w:szCs w:val="24"/>
        </w:rPr>
        <w:t>Knowledge, Skills, and Experience</w:t>
      </w:r>
    </w:p>
    <w:p>
      <w:pPr>
        <w:pStyle w:val="ListParagraph"/>
        <w:numPr>
          <w:ilvl w:val="0"/>
          <w:numId w:val="4"/>
        </w:numPr>
        <w:rPr>
          <w:rFonts w:cs="Arial"/>
          <w:color w:val="auto"/>
          <w:szCs w:val="24"/>
        </w:rPr>
      </w:pPr>
      <w:r>
        <w:rPr>
          <w:rFonts w:cs="Arial"/>
          <w:color w:val="auto"/>
          <w:szCs w:val="24"/>
        </w:rPr>
        <w:t>Educated to degree level or equivalent experience in a relevant discipline such as public policy, public administration, business, funding, research, evaluation, or a related field.</w:t>
      </w:r>
    </w:p>
    <w:p>
      <w:pPr>
        <w:pStyle w:val="ListParagraph"/>
        <w:numPr>
          <w:ilvl w:val="0"/>
          <w:numId w:val="4"/>
        </w:numPr>
        <w:rPr>
          <w:rFonts w:cs="Arial"/>
          <w:color w:val="auto"/>
          <w:szCs w:val="24"/>
        </w:rPr>
      </w:pPr>
      <w:r>
        <w:rPr>
          <w:rFonts w:cs="Arial"/>
          <w:color w:val="auto"/>
          <w:szCs w:val="24"/>
        </w:rPr>
        <w:t>Demonstrable experience of identifying, developing, and/or coordinating successful grant funding bids, ideally within the public or wider public service sector.</w:t>
      </w:r>
    </w:p>
    <w:p>
      <w:pPr>
        <w:pStyle w:val="ListParagraph"/>
        <w:numPr>
          <w:ilvl w:val="0"/>
          <w:numId w:val="4"/>
        </w:numPr>
        <w:rPr>
          <w:rFonts w:cs="Arial"/>
          <w:color w:val="auto"/>
          <w:szCs w:val="24"/>
        </w:rPr>
      </w:pPr>
      <w:r>
        <w:rPr>
          <w:rFonts w:cs="Arial"/>
          <w:color w:val="auto"/>
          <w:szCs w:val="24"/>
        </w:rPr>
        <w:t>Experience of drafting, reviewing, or supporting the development of policy, strategy, business cases, briefing papers or similar corporate documentation.</w:t>
      </w:r>
    </w:p>
    <w:p>
      <w:pPr>
        <w:pStyle w:val="ListParagraph"/>
        <w:numPr>
          <w:ilvl w:val="0"/>
          <w:numId w:val="4"/>
        </w:numPr>
        <w:rPr>
          <w:rFonts w:cs="Arial"/>
          <w:color w:val="auto"/>
          <w:szCs w:val="24"/>
        </w:rPr>
      </w:pPr>
      <w:r>
        <w:rPr>
          <w:rFonts w:cs="Arial"/>
          <w:color w:val="auto"/>
          <w:szCs w:val="24"/>
        </w:rPr>
        <w:t>Knowledge of funding processes, bid development requirements and the ability to translate strategic objectives into clear, persuasive written submissions.</w:t>
      </w:r>
    </w:p>
    <w:p>
      <w:pPr>
        <w:pStyle w:val="ListParagraph"/>
        <w:numPr>
          <w:ilvl w:val="0"/>
          <w:numId w:val="4"/>
        </w:numPr>
        <w:rPr>
          <w:rFonts w:cs="Arial"/>
          <w:color w:val="auto"/>
          <w:szCs w:val="24"/>
        </w:rPr>
      </w:pPr>
      <w:r>
        <w:rPr>
          <w:rFonts w:cs="Arial"/>
          <w:color w:val="auto"/>
          <w:szCs w:val="24"/>
        </w:rPr>
        <w:t>Strong understanding of governance, assurance, and the importance of policy alignment with legislation, regulatory expectations, and organisational priorities.</w:t>
      </w:r>
    </w:p>
    <w:p>
      <w:pPr>
        <w:pStyle w:val="ListParagraph"/>
        <w:numPr>
          <w:ilvl w:val="0"/>
          <w:numId w:val="4"/>
        </w:numPr>
        <w:rPr>
          <w:rFonts w:cs="Arial"/>
          <w:color w:val="auto"/>
          <w:szCs w:val="24"/>
        </w:rPr>
      </w:pPr>
      <w:r>
        <w:rPr>
          <w:rFonts w:cs="Arial"/>
          <w:color w:val="auto"/>
          <w:szCs w:val="24"/>
        </w:rPr>
        <w:t>Awareness of the fire and rescue, local government, or wider public sector context, including partnership working, public accountability and external scrutiny.</w:t>
      </w:r>
    </w:p>
    <w:p>
      <w:pPr>
        <w:pStyle w:val="ListParagraph"/>
        <w:numPr>
          <w:ilvl w:val="0"/>
          <w:numId w:val="4"/>
        </w:numPr>
        <w:rPr>
          <w:rFonts w:cs="Arial"/>
          <w:color w:val="auto"/>
          <w:szCs w:val="24"/>
        </w:rPr>
      </w:pPr>
      <w:r>
        <w:rPr>
          <w:rFonts w:cs="Arial"/>
          <w:color w:val="auto"/>
          <w:szCs w:val="24"/>
        </w:rPr>
        <w:t>Experience of coordinating input from multiple stakeholders and working collaboratively across teams to deliver high-quality outcomes to deadlines.</w:t>
      </w:r>
    </w:p>
    <w:p>
      <w:pPr>
        <w:pStyle w:val="ListParagraph"/>
        <w:numPr>
          <w:ilvl w:val="0"/>
          <w:numId w:val="4"/>
        </w:numPr>
        <w:rPr>
          <w:rFonts w:cs="Arial"/>
          <w:color w:val="auto"/>
          <w:szCs w:val="24"/>
        </w:rPr>
      </w:pPr>
      <w:r>
        <w:rPr>
          <w:rFonts w:cs="Arial"/>
          <w:color w:val="auto"/>
          <w:szCs w:val="24"/>
        </w:rPr>
        <w:t>Strong analytical and problem-solving skills, with the ability to interpret information, assess feasibility and present options clearly.</w:t>
      </w:r>
    </w:p>
    <w:p>
      <w:pPr>
        <w:pStyle w:val="ListParagraph"/>
        <w:numPr>
          <w:ilvl w:val="0"/>
          <w:numId w:val="4"/>
        </w:numPr>
        <w:rPr>
          <w:rFonts w:cs="Arial"/>
          <w:color w:val="auto"/>
          <w:szCs w:val="24"/>
        </w:rPr>
      </w:pPr>
      <w:r>
        <w:rPr>
          <w:rFonts w:cs="Arial"/>
          <w:color w:val="auto"/>
          <w:szCs w:val="24"/>
        </w:rPr>
        <w:t>Excellent written communication skills, including the ability to produce concise, accurate and compelling reports, proposals, policies, and presentations.</w:t>
      </w:r>
    </w:p>
    <w:p>
      <w:pPr>
        <w:pStyle w:val="ListParagraph"/>
        <w:numPr>
          <w:ilvl w:val="0"/>
          <w:numId w:val="4"/>
        </w:numPr>
        <w:rPr>
          <w:rFonts w:cs="Arial"/>
          <w:color w:val="auto"/>
          <w:szCs w:val="24"/>
        </w:rPr>
      </w:pPr>
      <w:r>
        <w:rPr>
          <w:rFonts w:cs="Arial"/>
          <w:color w:val="auto"/>
          <w:szCs w:val="24"/>
        </w:rPr>
        <w:t>Excellent verbal communication and interpersonal skills, with the ability to build credibility and effective relationships with colleagues, partners, and external stakeholders.</w:t>
      </w:r>
    </w:p>
    <w:p>
      <w:pPr>
        <w:pStyle w:val="ListParagraph"/>
        <w:numPr>
          <w:ilvl w:val="0"/>
          <w:numId w:val="4"/>
        </w:numPr>
        <w:rPr>
          <w:rFonts w:cs="Arial"/>
          <w:color w:val="auto"/>
          <w:szCs w:val="24"/>
        </w:rPr>
      </w:pPr>
      <w:r>
        <w:rPr>
          <w:rFonts w:cs="Arial"/>
          <w:color w:val="auto"/>
          <w:szCs w:val="24"/>
        </w:rPr>
        <w:t>Ability to manage a varied workload, balance competing priorities and respond at pace to time- limited funding opportunities.</w:t>
      </w:r>
    </w:p>
    <w:p>
      <w:pPr>
        <w:pStyle w:val="ListParagraph"/>
        <w:numPr>
          <w:ilvl w:val="0"/>
          <w:numId w:val="4"/>
        </w:numPr>
        <w:rPr>
          <w:rFonts w:cs="Arial"/>
          <w:color w:val="auto"/>
          <w:szCs w:val="24"/>
        </w:rPr>
      </w:pPr>
      <w:r>
        <w:rPr>
          <w:rFonts w:cs="Arial"/>
          <w:color w:val="auto"/>
          <w:szCs w:val="24"/>
        </w:rPr>
        <w:t>Good financial awareness, including the ability to understand funding conditions, value for money considerations and benefits realisation.</w:t>
      </w:r>
    </w:p>
    <w:p>
      <w:pPr>
        <w:pStyle w:val="ListParagraph"/>
        <w:numPr>
          <w:ilvl w:val="0"/>
          <w:numId w:val="4"/>
        </w:numPr>
        <w:rPr>
          <w:rFonts w:cs="Arial"/>
          <w:color w:val="auto"/>
          <w:szCs w:val="24"/>
        </w:rPr>
      </w:pPr>
      <w:r>
        <w:rPr>
          <w:rFonts w:cs="Arial"/>
          <w:color w:val="auto"/>
          <w:szCs w:val="24"/>
        </w:rPr>
        <w:t>Experience of using data and evidence to inform recommendations, strengthen bids and support policy development.</w:t>
      </w:r>
    </w:p>
    <w:p>
      <w:pPr>
        <w:pStyle w:val="ListParagraph"/>
        <w:numPr>
          <w:ilvl w:val="0"/>
          <w:numId w:val="4"/>
        </w:numPr>
        <w:rPr>
          <w:rFonts w:cs="Arial"/>
          <w:color w:val="auto"/>
          <w:szCs w:val="24"/>
        </w:rPr>
      </w:pPr>
      <w:r>
        <w:rPr>
          <w:rFonts w:cs="Arial"/>
          <w:color w:val="auto"/>
          <w:szCs w:val="24"/>
        </w:rPr>
        <w:t>Knowledge of information governance, confidentiality, and data protection, including appropriate handling of sensitive information.</w:t>
      </w:r>
    </w:p>
    <w:p>
      <w:pPr>
        <w:pStyle w:val="ListParagraph"/>
        <w:numPr>
          <w:ilvl w:val="0"/>
          <w:numId w:val="4"/>
        </w:numPr>
        <w:rPr>
          <w:rFonts w:cs="Arial"/>
          <w:color w:val="auto"/>
          <w:szCs w:val="24"/>
        </w:rPr>
      </w:pPr>
      <w:r>
        <w:rPr>
          <w:rFonts w:cs="Arial"/>
          <w:color w:val="auto"/>
          <w:szCs w:val="24"/>
        </w:rPr>
        <w:t>Strong organisational skills and attention to detail, with the ability to maintain accurate records, trackers, and reporting information.</w:t>
      </w:r>
    </w:p>
    <w:p>
      <w:pPr>
        <w:pStyle w:val="ListParagraph"/>
        <w:numPr>
          <w:ilvl w:val="0"/>
          <w:numId w:val="4"/>
        </w:numPr>
        <w:rPr>
          <w:rFonts w:cs="Arial"/>
          <w:color w:val="auto"/>
          <w:szCs w:val="24"/>
        </w:rPr>
      </w:pPr>
      <w:r>
        <w:rPr>
          <w:rFonts w:cs="Arial"/>
          <w:color w:val="auto"/>
          <w:szCs w:val="24"/>
        </w:rPr>
        <w:t>Proficient ICT skills and experience of Microsoft 365 applications including Word, Excel, PowerPoint, Outlook, and Teams.</w:t>
      </w:r>
    </w:p>
    <w:p>
      <w:pPr>
        <w:pStyle w:val="ListParagraph"/>
        <w:numPr>
          <w:ilvl w:val="0"/>
          <w:numId w:val="4"/>
        </w:numPr>
        <w:rPr>
          <w:rFonts w:cs="Arial"/>
          <w:color w:val="auto"/>
          <w:szCs w:val="24"/>
        </w:rPr>
      </w:pPr>
      <w:r>
        <w:rPr>
          <w:rFonts w:cs="Arial"/>
          <w:color w:val="auto"/>
          <w:szCs w:val="24"/>
        </w:rPr>
        <w:t xml:space="preserve">Flexible and adaptable approach, with a willingness to work across organisational boundaries and travel to other sites when required. </w:t>
      </w:r>
    </w:p>
    <w:p>
      <w:pPr>
        <w:pStyle w:val="ListParagraph"/>
        <w:numPr>
          <w:ilvl w:val="0"/>
          <w:numId w:val="4"/>
        </w:numPr>
        <w:rPr>
          <w:rFonts w:cs="Arial"/>
          <w:color w:val="auto"/>
          <w:szCs w:val="24"/>
        </w:rPr>
      </w:pPr>
      <w:r>
        <w:rPr>
          <w:rFonts w:cs="Arial"/>
          <w:color w:val="auto"/>
          <w:szCs w:val="24"/>
        </w:rPr>
        <w:t>Any DBS requirement should be confirmed through HR advice and the formal job evaluation / recruitment process, dependent on the final scope of the role.</w:t>
      </w:r>
    </w:p>
    <w:p>
      <w:pPr>
        <w:pStyle w:val="Heading2"/>
        <w:shd w:fill="004F6E" w:val="clear"/>
        <w:rPr>
          <w:rFonts w:cs="Arial"/>
          <w:sz w:val="24"/>
          <w:szCs w:val="24"/>
        </w:rPr>
      </w:pPr>
      <w:r>
        <w:rPr>
          <w:rFonts w:cs="Arial"/>
          <w:sz w:val="24"/>
          <w:szCs w:val="24"/>
        </w:rPr>
        <w:t>Corporate Duties</w:t>
      </w:r>
    </w:p>
    <w:p>
      <w:pPr>
        <w:pStyle w:val="Normal"/>
        <w:rPr/>
      </w:pPr>
      <w:r>
        <w:rPr>
          <w:rFonts w:cs="Arial"/>
          <w:i/>
          <w:iCs/>
          <w:sz w:val="22"/>
        </w:rPr>
        <w:t>Do not behave in way which discriminates against your fellow employees, or potential</w:t>
      </w:r>
      <w:r>
        <w:rPr>
          <w:rFonts w:cs="Arial"/>
          <w:i/>
          <w:iCs/>
          <w:spacing w:val="1"/>
          <w:sz w:val="22"/>
        </w:rPr>
        <w:t xml:space="preserve"> </w:t>
      </w:r>
      <w:r>
        <w:rPr>
          <w:rFonts w:cs="Arial"/>
          <w:i/>
          <w:iCs/>
          <w:sz w:val="22"/>
        </w:rPr>
        <w:t>employees on the grounds of their sex, sexual orientation, marital status, race, religion,</w:t>
      </w:r>
      <w:r>
        <w:rPr>
          <w:rFonts w:cs="Arial"/>
          <w:i/>
          <w:iCs/>
          <w:spacing w:val="-59"/>
          <w:sz w:val="22"/>
        </w:rPr>
        <w:t xml:space="preserve"> </w:t>
      </w:r>
      <w:r>
        <w:rPr>
          <w:rFonts w:cs="Arial"/>
          <w:i/>
          <w:iCs/>
          <w:sz w:val="22"/>
        </w:rPr>
        <w:t>creed,</w:t>
      </w:r>
      <w:r>
        <w:rPr>
          <w:rFonts w:cs="Arial"/>
          <w:i/>
          <w:iCs/>
          <w:spacing w:val="-2"/>
          <w:sz w:val="22"/>
        </w:rPr>
        <w:t xml:space="preserve"> </w:t>
      </w:r>
      <w:r>
        <w:rPr>
          <w:rFonts w:cs="Arial"/>
          <w:i/>
          <w:iCs/>
          <w:sz w:val="22"/>
        </w:rPr>
        <w:t>colour,</w:t>
      </w:r>
      <w:r>
        <w:rPr>
          <w:rFonts w:cs="Arial"/>
          <w:i/>
          <w:iCs/>
          <w:spacing w:val="2"/>
          <w:sz w:val="22"/>
        </w:rPr>
        <w:t xml:space="preserve"> </w:t>
      </w:r>
      <w:r>
        <w:rPr>
          <w:rFonts w:cs="Arial"/>
          <w:i/>
          <w:iCs/>
          <w:sz w:val="22"/>
        </w:rPr>
        <w:t>nationality,</w:t>
      </w:r>
      <w:r>
        <w:rPr>
          <w:rFonts w:cs="Arial"/>
          <w:i/>
          <w:iCs/>
          <w:spacing w:val="2"/>
          <w:sz w:val="22"/>
        </w:rPr>
        <w:t xml:space="preserve"> </w:t>
      </w:r>
      <w:r>
        <w:rPr>
          <w:rFonts w:cs="Arial"/>
          <w:i/>
          <w:iCs/>
          <w:sz w:val="22"/>
        </w:rPr>
        <w:t>ethnic</w:t>
      </w:r>
      <w:r>
        <w:rPr>
          <w:rFonts w:cs="Arial"/>
          <w:i/>
          <w:iCs/>
          <w:spacing w:val="1"/>
          <w:sz w:val="22"/>
        </w:rPr>
        <w:t xml:space="preserve"> </w:t>
      </w:r>
      <w:r>
        <w:rPr>
          <w:rFonts w:cs="Arial"/>
          <w:i/>
          <w:iCs/>
          <w:sz w:val="22"/>
        </w:rPr>
        <w:t>origin,</w:t>
      </w:r>
      <w:r>
        <w:rPr>
          <w:rFonts w:cs="Arial"/>
          <w:i/>
          <w:iCs/>
          <w:spacing w:val="1"/>
          <w:sz w:val="22"/>
        </w:rPr>
        <w:t xml:space="preserve"> </w:t>
      </w:r>
      <w:r>
        <w:rPr>
          <w:rFonts w:cs="Arial"/>
          <w:i/>
          <w:iCs/>
          <w:sz w:val="22"/>
        </w:rPr>
        <w:t>or</w:t>
      </w:r>
      <w:r>
        <w:rPr>
          <w:rFonts w:cs="Arial"/>
          <w:i/>
          <w:iCs/>
          <w:spacing w:val="-2"/>
          <w:sz w:val="22"/>
        </w:rPr>
        <w:t xml:space="preserve"> </w:t>
      </w:r>
      <w:r>
        <w:rPr>
          <w:rFonts w:cs="Arial"/>
          <w:i/>
          <w:iCs/>
          <w:sz w:val="22"/>
        </w:rPr>
        <w:t>disability.</w:t>
      </w:r>
    </w:p>
    <w:p>
      <w:pPr>
        <w:pStyle w:val="Normal"/>
        <w:rPr/>
      </w:pPr>
      <w:r>
        <w:rPr>
          <w:rFonts w:cs="Arial"/>
          <w:i/>
          <w:iCs/>
          <w:sz w:val="22"/>
        </w:rPr>
        <w:t>Safeguard at all times confidentiality of information relating to staff and pensioners. Refrain</w:t>
      </w:r>
      <w:r>
        <w:rPr>
          <w:rFonts w:cs="Arial"/>
          <w:i/>
          <w:iCs/>
          <w:spacing w:val="-3"/>
          <w:sz w:val="22"/>
        </w:rPr>
        <w:t xml:space="preserve"> </w:t>
      </w:r>
      <w:r>
        <w:rPr>
          <w:rFonts w:cs="Arial"/>
          <w:i/>
          <w:iCs/>
          <w:sz w:val="22"/>
        </w:rPr>
        <w:t>from</w:t>
      </w:r>
      <w:r>
        <w:rPr>
          <w:rFonts w:cs="Arial"/>
          <w:i/>
          <w:iCs/>
          <w:spacing w:val="2"/>
          <w:sz w:val="22"/>
        </w:rPr>
        <w:t xml:space="preserve"> </w:t>
      </w:r>
      <w:r>
        <w:rPr>
          <w:rFonts w:cs="Arial"/>
          <w:i/>
          <w:iCs/>
          <w:sz w:val="22"/>
        </w:rPr>
        <w:t>smoking</w:t>
      </w:r>
      <w:r>
        <w:rPr>
          <w:rFonts w:cs="Arial"/>
          <w:i/>
          <w:iCs/>
          <w:spacing w:val="4"/>
          <w:sz w:val="22"/>
        </w:rPr>
        <w:t xml:space="preserve"> </w:t>
      </w:r>
      <w:r>
        <w:rPr>
          <w:rFonts w:cs="Arial"/>
          <w:i/>
          <w:iCs/>
          <w:sz w:val="22"/>
        </w:rPr>
        <w:t>in</w:t>
      </w:r>
      <w:r>
        <w:rPr>
          <w:rFonts w:cs="Arial"/>
          <w:i/>
          <w:iCs/>
          <w:spacing w:val="-5"/>
          <w:sz w:val="22"/>
        </w:rPr>
        <w:t xml:space="preserve"> </w:t>
      </w:r>
      <w:r>
        <w:rPr>
          <w:rFonts w:cs="Arial"/>
          <w:i/>
          <w:iCs/>
          <w:sz w:val="22"/>
        </w:rPr>
        <w:t>any</w:t>
      </w:r>
      <w:r>
        <w:rPr>
          <w:rFonts w:cs="Arial"/>
          <w:i/>
          <w:iCs/>
          <w:spacing w:val="-1"/>
          <w:sz w:val="22"/>
        </w:rPr>
        <w:t xml:space="preserve"> </w:t>
      </w:r>
      <w:r>
        <w:rPr>
          <w:rFonts w:cs="Arial"/>
          <w:i/>
          <w:iCs/>
          <w:sz w:val="22"/>
        </w:rPr>
        <w:t>areas</w:t>
      </w:r>
      <w:r>
        <w:rPr>
          <w:rFonts w:cs="Arial"/>
          <w:i/>
          <w:iCs/>
          <w:spacing w:val="1"/>
          <w:sz w:val="22"/>
        </w:rPr>
        <w:t xml:space="preserve"> </w:t>
      </w:r>
      <w:r>
        <w:rPr>
          <w:rFonts w:cs="Arial"/>
          <w:i/>
          <w:iCs/>
          <w:sz w:val="22"/>
        </w:rPr>
        <w:t>of</w:t>
      </w:r>
      <w:r>
        <w:rPr>
          <w:rFonts w:cs="Arial"/>
          <w:i/>
          <w:iCs/>
          <w:spacing w:val="1"/>
          <w:sz w:val="22"/>
        </w:rPr>
        <w:t xml:space="preserve"> </w:t>
      </w:r>
      <w:r>
        <w:rPr>
          <w:rFonts w:cs="Arial"/>
          <w:i/>
          <w:iCs/>
          <w:sz w:val="22"/>
        </w:rPr>
        <w:t>Service</w:t>
      </w:r>
      <w:r>
        <w:rPr>
          <w:rFonts w:cs="Arial"/>
          <w:i/>
          <w:iCs/>
          <w:spacing w:val="1"/>
          <w:sz w:val="22"/>
        </w:rPr>
        <w:t xml:space="preserve"> </w:t>
      </w:r>
      <w:r>
        <w:rPr>
          <w:rFonts w:cs="Arial"/>
          <w:i/>
          <w:iCs/>
          <w:sz w:val="22"/>
        </w:rPr>
        <w:t>premises.</w:t>
      </w:r>
    </w:p>
    <w:p>
      <w:pPr>
        <w:pStyle w:val="Normal"/>
        <w:rPr/>
      </w:pPr>
      <w:r>
        <w:rPr>
          <w:rFonts w:cs="Arial"/>
          <w:i/>
          <w:iCs/>
          <w:sz w:val="22"/>
        </w:rPr>
        <w:t>Behave in a manner that ensures the security of property and resources.</w:t>
      </w:r>
      <w:r>
        <w:rPr>
          <w:rFonts w:cs="Arial"/>
          <w:i/>
          <w:iCs/>
          <w:spacing w:val="-59"/>
          <w:sz w:val="22"/>
        </w:rPr>
        <w:t xml:space="preserve"> </w:t>
      </w:r>
      <w:r>
        <w:rPr>
          <w:rFonts w:cs="Arial"/>
          <w:i/>
          <w:iCs/>
          <w:sz w:val="22"/>
        </w:rPr>
        <w:t>Abide</w:t>
      </w:r>
      <w:r>
        <w:rPr>
          <w:rFonts w:cs="Arial"/>
          <w:i/>
          <w:iCs/>
          <w:spacing w:val="-1"/>
          <w:sz w:val="22"/>
        </w:rPr>
        <w:t xml:space="preserve"> </w:t>
      </w:r>
      <w:r>
        <w:rPr>
          <w:rFonts w:cs="Arial"/>
          <w:i/>
          <w:iCs/>
          <w:sz w:val="22"/>
        </w:rPr>
        <w:t>by</w:t>
      </w:r>
      <w:r>
        <w:rPr>
          <w:rFonts w:cs="Arial"/>
          <w:i/>
          <w:iCs/>
          <w:spacing w:val="-2"/>
          <w:sz w:val="22"/>
        </w:rPr>
        <w:t xml:space="preserve"> </w:t>
      </w:r>
      <w:r>
        <w:rPr>
          <w:rFonts w:cs="Arial"/>
          <w:i/>
          <w:iCs/>
          <w:sz w:val="22"/>
        </w:rPr>
        <w:t>all relevant</w:t>
      </w:r>
      <w:r>
        <w:rPr>
          <w:rFonts w:cs="Arial"/>
          <w:i/>
          <w:iCs/>
          <w:spacing w:val="1"/>
          <w:sz w:val="22"/>
        </w:rPr>
        <w:t xml:space="preserve"> </w:t>
      </w:r>
      <w:r>
        <w:rPr>
          <w:rFonts w:cs="Arial"/>
          <w:i/>
          <w:iCs/>
          <w:sz w:val="22"/>
        </w:rPr>
        <w:t>Service</w:t>
      </w:r>
      <w:r>
        <w:rPr>
          <w:rFonts w:cs="Arial"/>
          <w:i/>
          <w:iCs/>
          <w:spacing w:val="1"/>
          <w:sz w:val="22"/>
        </w:rPr>
        <w:t xml:space="preserve"> </w:t>
      </w:r>
      <w:r>
        <w:rPr>
          <w:rFonts w:cs="Arial"/>
          <w:i/>
          <w:iCs/>
          <w:sz w:val="22"/>
        </w:rPr>
        <w:t>Policies and Procedures.</w:t>
      </w:r>
    </w:p>
    <w:p>
      <w:pPr>
        <w:pStyle w:val="Normal"/>
        <w:rPr/>
      </w:pPr>
      <w:r>
        <w:rPr>
          <w:rFonts w:cs="Arial"/>
          <w:b/>
          <w:bCs/>
          <w:i/>
          <w:iCs/>
          <w:sz w:val="22"/>
        </w:rPr>
        <w:t>Records Management / Data Protection</w:t>
      </w:r>
      <w:r>
        <w:rPr>
          <w:rFonts w:cs="Arial"/>
          <w:i/>
          <w:iCs/>
          <w:sz w:val="22"/>
        </w:rPr>
        <w:t xml:space="preserve"> - As a GMCA employee, you have a legal</w:t>
      </w:r>
      <w:r>
        <w:rPr>
          <w:rFonts w:cs="Arial"/>
          <w:i/>
          <w:iCs/>
          <w:spacing w:val="1"/>
          <w:sz w:val="22"/>
        </w:rPr>
        <w:t xml:space="preserve"> </w:t>
      </w:r>
      <w:r>
        <w:rPr>
          <w:rFonts w:cs="Arial"/>
          <w:i/>
          <w:iCs/>
          <w:spacing w:val="-1"/>
          <w:sz w:val="22"/>
        </w:rPr>
        <w:t>responsibility</w:t>
      </w:r>
      <w:r>
        <w:rPr>
          <w:rFonts w:cs="Arial"/>
          <w:i/>
          <w:iCs/>
          <w:spacing w:val="-16"/>
          <w:sz w:val="22"/>
        </w:rPr>
        <w:t xml:space="preserve"> </w:t>
      </w:r>
      <w:r>
        <w:rPr>
          <w:rFonts w:cs="Arial"/>
          <w:i/>
          <w:iCs/>
          <w:spacing w:val="-1"/>
          <w:sz w:val="22"/>
        </w:rPr>
        <w:t>for</w:t>
      </w:r>
      <w:r>
        <w:rPr>
          <w:rFonts w:cs="Arial"/>
          <w:i/>
          <w:iCs/>
          <w:spacing w:val="-15"/>
          <w:sz w:val="22"/>
        </w:rPr>
        <w:t xml:space="preserve"> </w:t>
      </w:r>
      <w:r>
        <w:rPr>
          <w:rFonts w:cs="Arial"/>
          <w:i/>
          <w:iCs/>
          <w:spacing w:val="-1"/>
          <w:sz w:val="22"/>
        </w:rPr>
        <w:t>all</w:t>
      </w:r>
      <w:r>
        <w:rPr>
          <w:rFonts w:cs="Arial"/>
          <w:i/>
          <w:iCs/>
          <w:spacing w:val="-14"/>
          <w:sz w:val="22"/>
        </w:rPr>
        <w:t xml:space="preserve"> </w:t>
      </w:r>
      <w:r>
        <w:rPr>
          <w:rFonts w:cs="Arial"/>
          <w:i/>
          <w:iCs/>
          <w:spacing w:val="-1"/>
          <w:sz w:val="22"/>
        </w:rPr>
        <w:t>records</w:t>
      </w:r>
      <w:r>
        <w:rPr>
          <w:rFonts w:cs="Arial"/>
          <w:i/>
          <w:iCs/>
          <w:spacing w:val="-13"/>
          <w:sz w:val="22"/>
        </w:rPr>
        <w:t xml:space="preserve"> </w:t>
      </w:r>
      <w:r>
        <w:rPr>
          <w:rFonts w:cs="Arial"/>
          <w:i/>
          <w:iCs/>
          <w:sz w:val="22"/>
        </w:rPr>
        <w:t>(including</w:t>
      </w:r>
      <w:r>
        <w:rPr>
          <w:rFonts w:cs="Arial"/>
          <w:i/>
          <w:iCs/>
          <w:spacing w:val="-11"/>
          <w:sz w:val="22"/>
        </w:rPr>
        <w:t xml:space="preserve"> </w:t>
      </w:r>
      <w:r>
        <w:rPr>
          <w:rFonts w:cs="Arial"/>
          <w:i/>
          <w:iCs/>
          <w:sz w:val="22"/>
        </w:rPr>
        <w:t>employee</w:t>
      </w:r>
      <w:r>
        <w:rPr>
          <w:rFonts w:cs="Arial"/>
          <w:i/>
          <w:iCs/>
          <w:spacing w:val="-13"/>
          <w:sz w:val="22"/>
        </w:rPr>
        <w:t xml:space="preserve"> </w:t>
      </w:r>
      <w:r>
        <w:rPr>
          <w:rFonts w:cs="Arial"/>
          <w:i/>
          <w:iCs/>
          <w:sz w:val="22"/>
        </w:rPr>
        <w:t>health,</w:t>
      </w:r>
      <w:r>
        <w:rPr>
          <w:rFonts w:cs="Arial"/>
          <w:i/>
          <w:iCs/>
          <w:spacing w:val="-15"/>
          <w:sz w:val="22"/>
        </w:rPr>
        <w:t xml:space="preserve"> </w:t>
      </w:r>
      <w:r>
        <w:rPr>
          <w:rFonts w:cs="Arial"/>
          <w:i/>
          <w:iCs/>
          <w:sz w:val="22"/>
        </w:rPr>
        <w:t>financial,</w:t>
      </w:r>
      <w:r>
        <w:rPr>
          <w:rFonts w:cs="Arial"/>
          <w:i/>
          <w:iCs/>
          <w:spacing w:val="-14"/>
          <w:sz w:val="22"/>
        </w:rPr>
        <w:t xml:space="preserve"> </w:t>
      </w:r>
      <w:r>
        <w:rPr>
          <w:rFonts w:cs="Arial"/>
          <w:i/>
          <w:iCs/>
          <w:sz w:val="22"/>
        </w:rPr>
        <w:t>personal,</w:t>
      </w:r>
      <w:r>
        <w:rPr>
          <w:rFonts w:cs="Arial"/>
          <w:i/>
          <w:iCs/>
          <w:spacing w:val="-17"/>
          <w:sz w:val="22"/>
        </w:rPr>
        <w:t xml:space="preserve"> </w:t>
      </w:r>
      <w:r>
        <w:rPr>
          <w:rFonts w:cs="Arial"/>
          <w:i/>
          <w:iCs/>
          <w:sz w:val="22"/>
        </w:rPr>
        <w:t>and</w:t>
      </w:r>
      <w:r>
        <w:rPr>
          <w:rFonts w:cs="Arial"/>
          <w:i/>
          <w:iCs/>
          <w:spacing w:val="-13"/>
          <w:sz w:val="22"/>
        </w:rPr>
        <w:t xml:space="preserve"> </w:t>
      </w:r>
      <w:r>
        <w:rPr>
          <w:rFonts w:cs="Arial"/>
          <w:i/>
          <w:iCs/>
          <w:sz w:val="22"/>
        </w:rPr>
        <w:t>administrative)</w:t>
      </w:r>
      <w:r>
        <w:rPr>
          <w:rFonts w:cs="Arial"/>
          <w:i/>
          <w:iCs/>
          <w:spacing w:val="-58"/>
          <w:sz w:val="22"/>
        </w:rPr>
        <w:t xml:space="preserve"> </w:t>
      </w:r>
      <w:r>
        <w:rPr>
          <w:rFonts w:cs="Arial"/>
          <w:i/>
          <w:iCs/>
          <w:sz w:val="22"/>
        </w:rPr>
        <w:t>that you gather or use as part of your work with the Service. The records may be paper,</w:t>
      </w:r>
      <w:r>
        <w:rPr>
          <w:rFonts w:cs="Arial"/>
          <w:i/>
          <w:iCs/>
          <w:spacing w:val="1"/>
          <w:sz w:val="22"/>
        </w:rPr>
        <w:t xml:space="preserve"> </w:t>
      </w:r>
      <w:r>
        <w:rPr>
          <w:rFonts w:cs="Arial"/>
          <w:i/>
          <w:iCs/>
          <w:sz w:val="22"/>
        </w:rPr>
        <w:t>electronic, audio or videotapes. You must consult your manager if you have any doubt as to</w:t>
      </w:r>
      <w:r>
        <w:rPr>
          <w:rFonts w:cs="Arial"/>
          <w:i/>
          <w:iCs/>
          <w:spacing w:val="1"/>
          <w:sz w:val="22"/>
        </w:rPr>
        <w:t xml:space="preserve"> </w:t>
      </w:r>
      <w:r>
        <w:rPr>
          <w:rFonts w:cs="Arial"/>
          <w:i/>
          <w:iCs/>
          <w:sz w:val="22"/>
        </w:rPr>
        <w:t>the</w:t>
      </w:r>
      <w:r>
        <w:rPr>
          <w:rFonts w:cs="Arial"/>
          <w:i/>
          <w:iCs/>
          <w:spacing w:val="-1"/>
          <w:sz w:val="22"/>
        </w:rPr>
        <w:t xml:space="preserve"> </w:t>
      </w:r>
      <w:r>
        <w:rPr>
          <w:rFonts w:cs="Arial"/>
          <w:i/>
          <w:iCs/>
          <w:sz w:val="22"/>
        </w:rPr>
        <w:t>correct management</w:t>
      </w:r>
      <w:r>
        <w:rPr>
          <w:rFonts w:cs="Arial"/>
          <w:i/>
          <w:iCs/>
          <w:spacing w:val="-2"/>
          <w:sz w:val="22"/>
        </w:rPr>
        <w:t xml:space="preserve"> </w:t>
      </w:r>
      <w:r>
        <w:rPr>
          <w:rFonts w:cs="Arial"/>
          <w:i/>
          <w:iCs/>
          <w:sz w:val="22"/>
        </w:rPr>
        <w:t>of</w:t>
      </w:r>
      <w:r>
        <w:rPr>
          <w:rFonts w:cs="Arial"/>
          <w:i/>
          <w:iCs/>
          <w:spacing w:val="2"/>
          <w:sz w:val="22"/>
        </w:rPr>
        <w:t xml:space="preserve"> </w:t>
      </w:r>
      <w:r>
        <w:rPr>
          <w:rFonts w:cs="Arial"/>
          <w:i/>
          <w:iCs/>
          <w:sz w:val="22"/>
        </w:rPr>
        <w:t>the</w:t>
      </w:r>
      <w:r>
        <w:rPr>
          <w:rFonts w:cs="Arial"/>
          <w:i/>
          <w:iCs/>
          <w:spacing w:val="-3"/>
          <w:sz w:val="22"/>
        </w:rPr>
        <w:t xml:space="preserve"> </w:t>
      </w:r>
      <w:r>
        <w:rPr>
          <w:rFonts w:cs="Arial"/>
          <w:i/>
          <w:iCs/>
          <w:sz w:val="22"/>
        </w:rPr>
        <w:t>records</w:t>
      </w:r>
      <w:r>
        <w:rPr>
          <w:rFonts w:cs="Arial"/>
          <w:i/>
          <w:iCs/>
          <w:spacing w:val="-2"/>
          <w:sz w:val="22"/>
        </w:rPr>
        <w:t xml:space="preserve"> </w:t>
      </w:r>
      <w:r>
        <w:rPr>
          <w:rFonts w:cs="Arial"/>
          <w:i/>
          <w:iCs/>
          <w:sz w:val="22"/>
        </w:rPr>
        <w:t>with</w:t>
      </w:r>
      <w:r>
        <w:rPr>
          <w:rFonts w:cs="Arial"/>
          <w:i/>
          <w:iCs/>
          <w:spacing w:val="1"/>
          <w:sz w:val="22"/>
        </w:rPr>
        <w:t xml:space="preserve"> </w:t>
      </w:r>
      <w:r>
        <w:rPr>
          <w:rFonts w:cs="Arial"/>
          <w:i/>
          <w:iCs/>
          <w:sz w:val="22"/>
        </w:rPr>
        <w:t>which</w:t>
      </w:r>
      <w:r>
        <w:rPr>
          <w:rFonts w:cs="Arial"/>
          <w:i/>
          <w:iCs/>
          <w:spacing w:val="2"/>
          <w:sz w:val="22"/>
        </w:rPr>
        <w:t xml:space="preserve"> </w:t>
      </w:r>
      <w:r>
        <w:rPr>
          <w:rFonts w:cs="Arial"/>
          <w:i/>
          <w:iCs/>
          <w:sz w:val="22"/>
        </w:rPr>
        <w:t>you work.</w:t>
      </w:r>
    </w:p>
    <w:p>
      <w:pPr>
        <w:pStyle w:val="Normal"/>
        <w:rPr/>
      </w:pPr>
      <w:r>
        <w:rPr>
          <w:rFonts w:cs="Arial"/>
          <w:b/>
          <w:bCs/>
          <w:i/>
          <w:iCs/>
          <w:spacing w:val="-1"/>
          <w:sz w:val="22"/>
        </w:rPr>
        <w:t>Confidentiality</w:t>
      </w:r>
      <w:r>
        <w:rPr>
          <w:rFonts w:cs="Arial"/>
          <w:b/>
          <w:bCs/>
          <w:i/>
          <w:iCs/>
          <w:spacing w:val="-15"/>
          <w:sz w:val="22"/>
        </w:rPr>
        <w:t xml:space="preserve"> </w:t>
      </w:r>
      <w:r>
        <w:rPr>
          <w:rFonts w:cs="Arial"/>
          <w:b/>
          <w:bCs/>
          <w:i/>
          <w:iCs/>
          <w:sz w:val="22"/>
        </w:rPr>
        <w:t>and</w:t>
      </w:r>
      <w:r>
        <w:rPr>
          <w:rFonts w:cs="Arial"/>
          <w:b/>
          <w:bCs/>
          <w:i/>
          <w:iCs/>
          <w:spacing w:val="-12"/>
          <w:sz w:val="22"/>
        </w:rPr>
        <w:t xml:space="preserve"> </w:t>
      </w:r>
      <w:r>
        <w:rPr>
          <w:rFonts w:cs="Arial"/>
          <w:b/>
          <w:bCs/>
          <w:i/>
          <w:iCs/>
          <w:sz w:val="22"/>
        </w:rPr>
        <w:t>Information</w:t>
      </w:r>
      <w:r>
        <w:rPr>
          <w:rFonts w:cs="Arial"/>
          <w:b/>
          <w:bCs/>
          <w:i/>
          <w:iCs/>
          <w:spacing w:val="-13"/>
          <w:sz w:val="22"/>
        </w:rPr>
        <w:t xml:space="preserve"> </w:t>
      </w:r>
      <w:r>
        <w:rPr>
          <w:rFonts w:cs="Arial"/>
          <w:b/>
          <w:bCs/>
          <w:i/>
          <w:iCs/>
          <w:sz w:val="22"/>
        </w:rPr>
        <w:t>Security</w:t>
      </w:r>
      <w:r>
        <w:rPr>
          <w:rFonts w:cs="Arial"/>
          <w:i/>
          <w:iCs/>
          <w:spacing w:val="-16"/>
          <w:sz w:val="22"/>
        </w:rPr>
        <w:t xml:space="preserve"> </w:t>
      </w:r>
      <w:r>
        <w:rPr>
          <w:rFonts w:cs="Arial"/>
          <w:i/>
          <w:iCs/>
          <w:sz w:val="22"/>
        </w:rPr>
        <w:t>-</w:t>
      </w:r>
      <w:r>
        <w:rPr>
          <w:rFonts w:cs="Arial"/>
          <w:i/>
          <w:iCs/>
          <w:spacing w:val="-10"/>
          <w:sz w:val="22"/>
        </w:rPr>
        <w:t xml:space="preserve"> </w:t>
      </w:r>
      <w:r>
        <w:rPr>
          <w:rFonts w:cs="Arial"/>
          <w:i/>
          <w:iCs/>
          <w:sz w:val="22"/>
        </w:rPr>
        <w:t>As</w:t>
      </w:r>
      <w:r>
        <w:rPr>
          <w:rFonts w:cs="Arial"/>
          <w:i/>
          <w:iCs/>
          <w:spacing w:val="-11"/>
          <w:sz w:val="22"/>
        </w:rPr>
        <w:t xml:space="preserve"> </w:t>
      </w:r>
      <w:r>
        <w:rPr>
          <w:rFonts w:cs="Arial"/>
          <w:i/>
          <w:iCs/>
          <w:sz w:val="22"/>
        </w:rPr>
        <w:t>a</w:t>
      </w:r>
      <w:r>
        <w:rPr>
          <w:rFonts w:cs="Arial"/>
          <w:i/>
          <w:iCs/>
          <w:spacing w:val="-16"/>
          <w:sz w:val="22"/>
        </w:rPr>
        <w:t xml:space="preserve"> </w:t>
      </w:r>
      <w:r>
        <w:rPr>
          <w:rFonts w:cs="Arial"/>
          <w:i/>
          <w:iCs/>
          <w:sz w:val="22"/>
        </w:rPr>
        <w:t>GMCA</w:t>
      </w:r>
      <w:r>
        <w:rPr>
          <w:rFonts w:cs="Arial"/>
          <w:i/>
          <w:iCs/>
          <w:spacing w:val="-11"/>
          <w:sz w:val="22"/>
        </w:rPr>
        <w:t xml:space="preserve"> </w:t>
      </w:r>
      <w:r>
        <w:rPr>
          <w:rFonts w:cs="Arial"/>
          <w:i/>
          <w:iCs/>
          <w:sz w:val="22"/>
        </w:rPr>
        <w:t>employee</w:t>
      </w:r>
      <w:r>
        <w:rPr>
          <w:rFonts w:cs="Arial"/>
          <w:i/>
          <w:iCs/>
          <w:spacing w:val="-12"/>
          <w:sz w:val="22"/>
        </w:rPr>
        <w:t xml:space="preserve"> </w:t>
      </w:r>
      <w:r>
        <w:rPr>
          <w:rFonts w:cs="Arial"/>
          <w:i/>
          <w:iCs/>
          <w:sz w:val="22"/>
        </w:rPr>
        <w:t>you</w:t>
      </w:r>
      <w:r>
        <w:rPr>
          <w:rFonts w:cs="Arial"/>
          <w:i/>
          <w:iCs/>
          <w:spacing w:val="-12"/>
          <w:sz w:val="22"/>
        </w:rPr>
        <w:t xml:space="preserve"> </w:t>
      </w:r>
      <w:r>
        <w:rPr>
          <w:rFonts w:cs="Arial"/>
          <w:i/>
          <w:iCs/>
          <w:sz w:val="22"/>
        </w:rPr>
        <w:t>are</w:t>
      </w:r>
      <w:r>
        <w:rPr>
          <w:rFonts w:cs="Arial"/>
          <w:i/>
          <w:iCs/>
          <w:spacing w:val="-11"/>
          <w:sz w:val="22"/>
        </w:rPr>
        <w:t xml:space="preserve"> </w:t>
      </w:r>
      <w:r>
        <w:rPr>
          <w:rFonts w:cs="Arial"/>
          <w:i/>
          <w:iCs/>
          <w:sz w:val="22"/>
        </w:rPr>
        <w:t>required</w:t>
      </w:r>
      <w:r>
        <w:rPr>
          <w:rFonts w:cs="Arial"/>
          <w:i/>
          <w:iCs/>
          <w:spacing w:val="-15"/>
          <w:sz w:val="22"/>
        </w:rPr>
        <w:t xml:space="preserve"> </w:t>
      </w:r>
      <w:r>
        <w:rPr>
          <w:rFonts w:cs="Arial"/>
          <w:i/>
          <w:iCs/>
          <w:sz w:val="22"/>
        </w:rPr>
        <w:t>to</w:t>
      </w:r>
      <w:r>
        <w:rPr>
          <w:rFonts w:cs="Arial"/>
          <w:i/>
          <w:iCs/>
          <w:spacing w:val="-12"/>
          <w:sz w:val="22"/>
        </w:rPr>
        <w:t xml:space="preserve"> </w:t>
      </w:r>
      <w:r>
        <w:rPr>
          <w:rFonts w:cs="Arial"/>
          <w:i/>
          <w:iCs/>
          <w:sz w:val="22"/>
        </w:rPr>
        <w:t>uphold</w:t>
      </w:r>
      <w:r>
        <w:rPr>
          <w:rFonts w:cs="Arial"/>
          <w:i/>
          <w:iCs/>
          <w:spacing w:val="-58"/>
          <w:sz w:val="22"/>
        </w:rPr>
        <w:t xml:space="preserve"> </w:t>
      </w:r>
      <w:r>
        <w:rPr>
          <w:rFonts w:cs="Arial"/>
          <w:i/>
          <w:iCs/>
          <w:sz w:val="22"/>
        </w:rPr>
        <w:t>the confidentiality of all records held by the GMCA, whether employee records or GMCA</w:t>
      </w:r>
      <w:r>
        <w:rPr>
          <w:rFonts w:cs="Arial"/>
          <w:i/>
          <w:iCs/>
          <w:spacing w:val="1"/>
          <w:sz w:val="22"/>
        </w:rPr>
        <w:t xml:space="preserve"> </w:t>
      </w:r>
      <w:r>
        <w:rPr>
          <w:rFonts w:cs="Arial"/>
          <w:i/>
          <w:iCs/>
          <w:sz w:val="22"/>
        </w:rPr>
        <w:t>information.</w:t>
      </w:r>
      <w:r>
        <w:rPr>
          <w:rFonts w:cs="Arial"/>
          <w:i/>
          <w:iCs/>
          <w:spacing w:val="1"/>
          <w:sz w:val="22"/>
        </w:rPr>
        <w:t xml:space="preserve"> </w:t>
      </w:r>
      <w:r>
        <w:rPr>
          <w:rFonts w:cs="Arial"/>
          <w:i/>
          <w:iCs/>
          <w:sz w:val="22"/>
        </w:rPr>
        <w:t>This</w:t>
      </w:r>
      <w:r>
        <w:rPr>
          <w:rFonts w:cs="Arial"/>
          <w:i/>
          <w:iCs/>
          <w:spacing w:val="1"/>
          <w:sz w:val="22"/>
        </w:rPr>
        <w:t xml:space="preserve"> </w:t>
      </w:r>
      <w:r>
        <w:rPr>
          <w:rFonts w:cs="Arial"/>
          <w:i/>
          <w:iCs/>
          <w:sz w:val="22"/>
        </w:rPr>
        <w:t>duty</w:t>
      </w:r>
      <w:r>
        <w:rPr>
          <w:rFonts w:cs="Arial"/>
          <w:i/>
          <w:iCs/>
          <w:spacing w:val="1"/>
          <w:sz w:val="22"/>
        </w:rPr>
        <w:t xml:space="preserve"> </w:t>
      </w:r>
      <w:r>
        <w:rPr>
          <w:rFonts w:cs="Arial"/>
          <w:i/>
          <w:iCs/>
          <w:sz w:val="22"/>
        </w:rPr>
        <w:t>lasts</w:t>
      </w:r>
      <w:r>
        <w:rPr>
          <w:rFonts w:cs="Arial"/>
          <w:i/>
          <w:iCs/>
          <w:spacing w:val="1"/>
          <w:sz w:val="22"/>
        </w:rPr>
        <w:t xml:space="preserve"> </w:t>
      </w:r>
      <w:r>
        <w:rPr>
          <w:rFonts w:cs="Arial"/>
          <w:i/>
          <w:iCs/>
          <w:sz w:val="22"/>
        </w:rPr>
        <w:t>indefinitely</w:t>
      </w:r>
      <w:r>
        <w:rPr>
          <w:rFonts w:cs="Arial"/>
          <w:i/>
          <w:iCs/>
          <w:spacing w:val="1"/>
          <w:sz w:val="22"/>
        </w:rPr>
        <w:t xml:space="preserve"> </w:t>
      </w:r>
      <w:r>
        <w:rPr>
          <w:rFonts w:cs="Arial"/>
          <w:i/>
          <w:iCs/>
          <w:sz w:val="22"/>
        </w:rPr>
        <w:t>and</w:t>
      </w:r>
      <w:r>
        <w:rPr>
          <w:rFonts w:cs="Arial"/>
          <w:i/>
          <w:iCs/>
          <w:spacing w:val="1"/>
          <w:sz w:val="22"/>
        </w:rPr>
        <w:t xml:space="preserve"> </w:t>
      </w:r>
      <w:r>
        <w:rPr>
          <w:rFonts w:cs="Arial"/>
          <w:i/>
          <w:iCs/>
          <w:sz w:val="22"/>
        </w:rPr>
        <w:t>will</w:t>
      </w:r>
      <w:r>
        <w:rPr>
          <w:rFonts w:cs="Arial"/>
          <w:i/>
          <w:iCs/>
          <w:spacing w:val="1"/>
          <w:sz w:val="22"/>
        </w:rPr>
        <w:t xml:space="preserve"> </w:t>
      </w:r>
      <w:r>
        <w:rPr>
          <w:rFonts w:cs="Arial"/>
          <w:i/>
          <w:iCs/>
          <w:sz w:val="22"/>
        </w:rPr>
        <w:t>continue</w:t>
      </w:r>
      <w:r>
        <w:rPr>
          <w:rFonts w:cs="Arial"/>
          <w:i/>
          <w:iCs/>
          <w:spacing w:val="1"/>
          <w:sz w:val="22"/>
        </w:rPr>
        <w:t xml:space="preserve"> </w:t>
      </w:r>
      <w:r>
        <w:rPr>
          <w:rFonts w:cs="Arial"/>
          <w:i/>
          <w:iCs/>
          <w:sz w:val="22"/>
        </w:rPr>
        <w:t>after</w:t>
      </w:r>
      <w:r>
        <w:rPr>
          <w:rFonts w:cs="Arial"/>
          <w:i/>
          <w:iCs/>
          <w:spacing w:val="1"/>
          <w:sz w:val="22"/>
        </w:rPr>
        <w:t xml:space="preserve"> </w:t>
      </w:r>
      <w:r>
        <w:rPr>
          <w:rFonts w:cs="Arial"/>
          <w:i/>
          <w:iCs/>
          <w:sz w:val="22"/>
        </w:rPr>
        <w:t>you</w:t>
      </w:r>
      <w:r>
        <w:rPr>
          <w:rFonts w:cs="Arial"/>
          <w:i/>
          <w:iCs/>
          <w:spacing w:val="1"/>
          <w:sz w:val="22"/>
        </w:rPr>
        <w:t xml:space="preserve"> </w:t>
      </w:r>
      <w:r>
        <w:rPr>
          <w:rFonts w:cs="Arial"/>
          <w:i/>
          <w:iCs/>
          <w:sz w:val="22"/>
        </w:rPr>
        <w:t>leave</w:t>
      </w:r>
      <w:r>
        <w:rPr>
          <w:rFonts w:cs="Arial"/>
          <w:i/>
          <w:iCs/>
          <w:spacing w:val="1"/>
          <w:sz w:val="22"/>
        </w:rPr>
        <w:t xml:space="preserve"> </w:t>
      </w:r>
      <w:r>
        <w:rPr>
          <w:rFonts w:cs="Arial"/>
          <w:i/>
          <w:iCs/>
          <w:sz w:val="22"/>
        </w:rPr>
        <w:t>the</w:t>
      </w:r>
      <w:r>
        <w:rPr>
          <w:rFonts w:cs="Arial"/>
          <w:i/>
          <w:iCs/>
          <w:spacing w:val="1"/>
          <w:sz w:val="22"/>
        </w:rPr>
        <w:t xml:space="preserve"> </w:t>
      </w:r>
      <w:r>
        <w:rPr>
          <w:rFonts w:cs="Arial"/>
          <w:i/>
          <w:iCs/>
          <w:sz w:val="22"/>
        </w:rPr>
        <w:t>GMCA</w:t>
      </w:r>
      <w:r>
        <w:rPr>
          <w:rFonts w:cs="Arial"/>
          <w:i/>
          <w:iCs/>
          <w:spacing w:val="1"/>
          <w:sz w:val="22"/>
        </w:rPr>
        <w:t xml:space="preserve"> </w:t>
      </w:r>
      <w:r>
        <w:rPr>
          <w:rFonts w:cs="Arial"/>
          <w:i/>
          <w:iCs/>
          <w:sz w:val="22"/>
        </w:rPr>
        <w:t>employment. All employees must maintain confidentiality and abide by the Data Protection</w:t>
      </w:r>
      <w:r>
        <w:rPr>
          <w:rFonts w:cs="Arial"/>
          <w:i/>
          <w:iCs/>
          <w:spacing w:val="1"/>
          <w:sz w:val="22"/>
        </w:rPr>
        <w:t xml:space="preserve"> </w:t>
      </w:r>
      <w:r>
        <w:rPr>
          <w:rFonts w:cs="Arial"/>
          <w:i/>
          <w:iCs/>
          <w:sz w:val="22"/>
        </w:rPr>
        <w:t>Act.</w:t>
      </w:r>
    </w:p>
    <w:p>
      <w:pPr>
        <w:pStyle w:val="Normal"/>
        <w:rPr/>
      </w:pPr>
      <w:r>
        <w:rPr>
          <w:rFonts w:cs="Arial"/>
          <w:b/>
          <w:bCs/>
          <w:i/>
          <w:iCs/>
          <w:sz w:val="22"/>
        </w:rPr>
        <w:t>Data</w:t>
      </w:r>
      <w:r>
        <w:rPr>
          <w:rFonts w:cs="Arial"/>
          <w:b/>
          <w:bCs/>
          <w:i/>
          <w:iCs/>
          <w:spacing w:val="1"/>
          <w:sz w:val="22"/>
        </w:rPr>
        <w:t xml:space="preserve"> </w:t>
      </w:r>
      <w:r>
        <w:rPr>
          <w:rFonts w:cs="Arial"/>
          <w:b/>
          <w:bCs/>
          <w:i/>
          <w:iCs/>
          <w:sz w:val="22"/>
        </w:rPr>
        <w:t>Quality</w:t>
      </w:r>
      <w:r>
        <w:rPr>
          <w:rFonts w:cs="Arial"/>
          <w:i/>
          <w:iCs/>
          <w:spacing w:val="1"/>
          <w:sz w:val="22"/>
        </w:rPr>
        <w:t xml:space="preserve"> </w:t>
      </w:r>
      <w:r>
        <w:rPr>
          <w:rFonts w:cs="Arial"/>
          <w:i/>
          <w:iCs/>
          <w:sz w:val="22"/>
        </w:rPr>
        <w:t>-</w:t>
      </w:r>
      <w:r>
        <w:rPr>
          <w:rFonts w:cs="Arial"/>
          <w:i/>
          <w:iCs/>
          <w:spacing w:val="1"/>
          <w:sz w:val="22"/>
        </w:rPr>
        <w:t xml:space="preserve"> </w:t>
      </w:r>
      <w:r>
        <w:rPr>
          <w:rFonts w:cs="Arial"/>
          <w:i/>
          <w:iCs/>
          <w:sz w:val="22"/>
        </w:rPr>
        <w:t>All</w:t>
      </w:r>
      <w:r>
        <w:rPr>
          <w:rFonts w:cs="Arial"/>
          <w:i/>
          <w:iCs/>
          <w:spacing w:val="1"/>
          <w:sz w:val="22"/>
        </w:rPr>
        <w:t xml:space="preserve"> </w:t>
      </w:r>
      <w:r>
        <w:rPr>
          <w:rFonts w:cs="Arial"/>
          <w:i/>
          <w:iCs/>
          <w:sz w:val="22"/>
        </w:rPr>
        <w:t>staff</w:t>
      </w:r>
      <w:r>
        <w:rPr>
          <w:rFonts w:cs="Arial"/>
          <w:i/>
          <w:iCs/>
          <w:spacing w:val="1"/>
          <w:sz w:val="22"/>
        </w:rPr>
        <w:t xml:space="preserve"> </w:t>
      </w:r>
      <w:r>
        <w:rPr>
          <w:rFonts w:cs="Arial"/>
          <w:i/>
          <w:iCs/>
          <w:sz w:val="22"/>
        </w:rPr>
        <w:t>are</w:t>
      </w:r>
      <w:r>
        <w:rPr>
          <w:rFonts w:cs="Arial"/>
          <w:i/>
          <w:iCs/>
          <w:spacing w:val="1"/>
          <w:sz w:val="22"/>
        </w:rPr>
        <w:t xml:space="preserve"> </w:t>
      </w:r>
      <w:r>
        <w:rPr>
          <w:rFonts w:cs="Arial"/>
          <w:i/>
          <w:iCs/>
          <w:sz w:val="22"/>
        </w:rPr>
        <w:t>personally</w:t>
      </w:r>
      <w:r>
        <w:rPr>
          <w:rFonts w:cs="Arial"/>
          <w:i/>
          <w:iCs/>
          <w:spacing w:val="1"/>
          <w:sz w:val="22"/>
        </w:rPr>
        <w:t xml:space="preserve"> </w:t>
      </w:r>
      <w:r>
        <w:rPr>
          <w:rFonts w:cs="Arial"/>
          <w:i/>
          <w:iCs/>
          <w:sz w:val="22"/>
        </w:rPr>
        <w:t>responsible</w:t>
      </w:r>
      <w:r>
        <w:rPr>
          <w:rFonts w:cs="Arial"/>
          <w:i/>
          <w:iCs/>
          <w:spacing w:val="1"/>
          <w:sz w:val="22"/>
        </w:rPr>
        <w:t xml:space="preserve"> </w:t>
      </w:r>
      <w:r>
        <w:rPr>
          <w:rFonts w:cs="Arial"/>
          <w:i/>
          <w:iCs/>
          <w:sz w:val="22"/>
        </w:rPr>
        <w:t>for</w:t>
      </w:r>
      <w:r>
        <w:rPr>
          <w:rFonts w:cs="Arial"/>
          <w:i/>
          <w:iCs/>
          <w:spacing w:val="1"/>
          <w:sz w:val="22"/>
        </w:rPr>
        <w:t xml:space="preserve"> </w:t>
      </w:r>
      <w:r>
        <w:rPr>
          <w:rFonts w:cs="Arial"/>
          <w:i/>
          <w:iCs/>
          <w:sz w:val="22"/>
        </w:rPr>
        <w:t>the</w:t>
      </w:r>
      <w:r>
        <w:rPr>
          <w:rFonts w:cs="Arial"/>
          <w:i/>
          <w:iCs/>
          <w:spacing w:val="1"/>
          <w:sz w:val="22"/>
        </w:rPr>
        <w:t xml:space="preserve"> </w:t>
      </w:r>
      <w:r>
        <w:rPr>
          <w:rFonts w:cs="Arial"/>
          <w:i/>
          <w:iCs/>
          <w:sz w:val="22"/>
        </w:rPr>
        <w:t>quality</w:t>
      </w:r>
      <w:r>
        <w:rPr>
          <w:rFonts w:cs="Arial"/>
          <w:i/>
          <w:iCs/>
          <w:spacing w:val="1"/>
          <w:sz w:val="22"/>
        </w:rPr>
        <w:t xml:space="preserve"> </w:t>
      </w:r>
      <w:r>
        <w:rPr>
          <w:rFonts w:cs="Arial"/>
          <w:i/>
          <w:iCs/>
          <w:sz w:val="22"/>
        </w:rPr>
        <w:t>of</w:t>
      </w:r>
      <w:r>
        <w:rPr>
          <w:rFonts w:cs="Arial"/>
          <w:i/>
          <w:iCs/>
          <w:spacing w:val="1"/>
          <w:sz w:val="22"/>
        </w:rPr>
        <w:t xml:space="preserve"> </w:t>
      </w:r>
      <w:r>
        <w:rPr>
          <w:rFonts w:cs="Arial"/>
          <w:i/>
          <w:iCs/>
          <w:sz w:val="22"/>
        </w:rPr>
        <w:t>data</w:t>
      </w:r>
      <w:r>
        <w:rPr>
          <w:rFonts w:cs="Arial"/>
          <w:i/>
          <w:iCs/>
          <w:spacing w:val="1"/>
          <w:sz w:val="22"/>
        </w:rPr>
        <w:t xml:space="preserve"> </w:t>
      </w:r>
      <w:r>
        <w:rPr>
          <w:rFonts w:cs="Arial"/>
          <w:i/>
          <w:iCs/>
          <w:sz w:val="22"/>
        </w:rPr>
        <w:t>entered</w:t>
      </w:r>
      <w:r>
        <w:rPr>
          <w:rFonts w:cs="Arial"/>
          <w:i/>
          <w:iCs/>
          <w:spacing w:val="1"/>
          <w:sz w:val="22"/>
        </w:rPr>
        <w:t xml:space="preserve"> </w:t>
      </w:r>
      <w:r>
        <w:rPr>
          <w:rFonts w:cs="Arial"/>
          <w:i/>
          <w:iCs/>
          <w:sz w:val="22"/>
        </w:rPr>
        <w:t>by</w:t>
      </w:r>
      <w:r>
        <w:rPr>
          <w:rFonts w:cs="Arial"/>
          <w:i/>
          <w:iCs/>
          <w:spacing w:val="1"/>
          <w:sz w:val="22"/>
        </w:rPr>
        <w:t xml:space="preserve"> </w:t>
      </w:r>
      <w:r>
        <w:rPr>
          <w:rFonts w:cs="Arial"/>
          <w:i/>
          <w:iCs/>
          <w:sz w:val="22"/>
        </w:rPr>
        <w:t>themselves, or on their behalf, on GMCAs computerised systems or manual records (paper</w:t>
      </w:r>
      <w:r>
        <w:rPr>
          <w:rFonts w:cs="Arial"/>
          <w:i/>
          <w:iCs/>
          <w:spacing w:val="1"/>
          <w:sz w:val="22"/>
        </w:rPr>
        <w:t xml:space="preserve"> </w:t>
      </w:r>
      <w:r>
        <w:rPr>
          <w:rFonts w:cs="Arial"/>
          <w:i/>
          <w:iCs/>
          <w:sz w:val="22"/>
        </w:rPr>
        <w:t>records) and must ensure that such data is entered accurately and, in a timely manner, to</w:t>
      </w:r>
      <w:r>
        <w:rPr>
          <w:rFonts w:cs="Arial"/>
          <w:i/>
          <w:iCs/>
          <w:spacing w:val="1"/>
          <w:sz w:val="22"/>
        </w:rPr>
        <w:t xml:space="preserve"> </w:t>
      </w:r>
      <w:r>
        <w:rPr>
          <w:rFonts w:cs="Arial"/>
          <w:i/>
          <w:iCs/>
          <w:sz w:val="22"/>
        </w:rPr>
        <w:t>ensure high</w:t>
      </w:r>
      <w:r>
        <w:rPr>
          <w:rFonts w:cs="Arial"/>
          <w:i/>
          <w:iCs/>
          <w:spacing w:val="-3"/>
          <w:sz w:val="22"/>
        </w:rPr>
        <w:t xml:space="preserve"> </w:t>
      </w:r>
      <w:r>
        <w:rPr>
          <w:rFonts w:cs="Arial"/>
          <w:i/>
          <w:iCs/>
          <w:sz w:val="22"/>
        </w:rPr>
        <w:t>standards of data</w:t>
      </w:r>
      <w:r>
        <w:rPr>
          <w:rFonts w:cs="Arial"/>
          <w:i/>
          <w:iCs/>
          <w:spacing w:val="-5"/>
          <w:sz w:val="22"/>
        </w:rPr>
        <w:t xml:space="preserve"> </w:t>
      </w:r>
      <w:r>
        <w:rPr>
          <w:rFonts w:cs="Arial"/>
          <w:i/>
          <w:iCs/>
          <w:sz w:val="22"/>
        </w:rPr>
        <w:t>quality</w:t>
      </w:r>
      <w:r>
        <w:rPr>
          <w:rFonts w:cs="Arial"/>
          <w:i/>
          <w:iCs/>
          <w:spacing w:val="-2"/>
          <w:sz w:val="22"/>
        </w:rPr>
        <w:t xml:space="preserve"> </w:t>
      </w:r>
      <w:r>
        <w:rPr>
          <w:rFonts w:cs="Arial"/>
          <w:i/>
          <w:iCs/>
          <w:sz w:val="22"/>
        </w:rPr>
        <w:t>in accordance with Departmental protocols. To ensure data is handled in a secure manner protecting the confidentiality of any personal</w:t>
      </w:r>
      <w:r>
        <w:rPr>
          <w:rFonts w:cs="Arial"/>
          <w:i/>
          <w:iCs/>
          <w:spacing w:val="1"/>
          <w:sz w:val="22"/>
        </w:rPr>
        <w:t xml:space="preserve"> </w:t>
      </w:r>
      <w:r>
        <w:rPr>
          <w:rFonts w:cs="Arial"/>
          <w:i/>
          <w:iCs/>
          <w:sz w:val="22"/>
        </w:rPr>
        <w:t>data</w:t>
      </w:r>
      <w:r>
        <w:rPr>
          <w:rFonts w:cs="Arial"/>
          <w:i/>
          <w:iCs/>
          <w:spacing w:val="-1"/>
          <w:sz w:val="22"/>
        </w:rPr>
        <w:t xml:space="preserve"> </w:t>
      </w:r>
      <w:r>
        <w:rPr>
          <w:rFonts w:cs="Arial"/>
          <w:i/>
          <w:iCs/>
          <w:sz w:val="22"/>
        </w:rPr>
        <w:t>held in</w:t>
      </w:r>
      <w:r>
        <w:rPr>
          <w:rFonts w:cs="Arial"/>
          <w:i/>
          <w:iCs/>
          <w:spacing w:val="-2"/>
          <w:sz w:val="22"/>
        </w:rPr>
        <w:t xml:space="preserve"> </w:t>
      </w:r>
      <w:r>
        <w:rPr>
          <w:rFonts w:cs="Arial"/>
          <w:i/>
          <w:iCs/>
          <w:sz w:val="22"/>
        </w:rPr>
        <w:t>meeting</w:t>
      </w:r>
      <w:r>
        <w:rPr>
          <w:rFonts w:cs="Arial"/>
          <w:i/>
          <w:iCs/>
          <w:spacing w:val="-1"/>
          <w:sz w:val="22"/>
        </w:rPr>
        <w:t xml:space="preserve"> </w:t>
      </w:r>
      <w:r>
        <w:rPr>
          <w:rFonts w:cs="Arial"/>
          <w:i/>
          <w:iCs/>
          <w:sz w:val="22"/>
        </w:rPr>
        <w:t>the</w:t>
      </w:r>
      <w:r>
        <w:rPr>
          <w:rFonts w:cs="Arial"/>
          <w:i/>
          <w:iCs/>
          <w:spacing w:val="-4"/>
          <w:sz w:val="22"/>
        </w:rPr>
        <w:t xml:space="preserve"> </w:t>
      </w:r>
      <w:r>
        <w:rPr>
          <w:rFonts w:cs="Arial"/>
          <w:i/>
          <w:iCs/>
          <w:sz w:val="22"/>
        </w:rPr>
        <w:t>requirements</w:t>
      </w:r>
      <w:r>
        <w:rPr>
          <w:rFonts w:cs="Arial"/>
          <w:i/>
          <w:iCs/>
          <w:spacing w:val="-1"/>
          <w:sz w:val="22"/>
        </w:rPr>
        <w:t xml:space="preserve"> </w:t>
      </w:r>
      <w:r>
        <w:rPr>
          <w:rFonts w:cs="Arial"/>
          <w:i/>
          <w:iCs/>
          <w:sz w:val="22"/>
        </w:rPr>
        <w:t>of</w:t>
      </w:r>
      <w:r>
        <w:rPr>
          <w:rFonts w:cs="Arial"/>
          <w:i/>
          <w:iCs/>
          <w:spacing w:val="2"/>
          <w:sz w:val="22"/>
        </w:rPr>
        <w:t xml:space="preserve"> </w:t>
      </w:r>
      <w:r>
        <w:rPr>
          <w:rFonts w:cs="Arial"/>
          <w:i/>
          <w:iCs/>
          <w:sz w:val="22"/>
        </w:rPr>
        <w:t>the</w:t>
      </w:r>
      <w:r>
        <w:rPr>
          <w:rFonts w:cs="Arial"/>
          <w:i/>
          <w:iCs/>
          <w:spacing w:val="-3"/>
          <w:sz w:val="22"/>
        </w:rPr>
        <w:t xml:space="preserve"> </w:t>
      </w:r>
      <w:r>
        <w:rPr>
          <w:rFonts w:cs="Arial"/>
          <w:i/>
          <w:iCs/>
          <w:sz w:val="22"/>
        </w:rPr>
        <w:t>Data</w:t>
      </w:r>
      <w:r>
        <w:rPr>
          <w:rFonts w:cs="Arial"/>
          <w:i/>
          <w:iCs/>
          <w:spacing w:val="-1"/>
          <w:sz w:val="22"/>
        </w:rPr>
        <w:t xml:space="preserve"> </w:t>
      </w:r>
      <w:r>
        <w:rPr>
          <w:rFonts w:cs="Arial"/>
          <w:i/>
          <w:iCs/>
          <w:sz w:val="22"/>
        </w:rPr>
        <w:t>Protection</w:t>
      </w:r>
      <w:r>
        <w:rPr>
          <w:rFonts w:cs="Arial"/>
          <w:i/>
          <w:iCs/>
          <w:spacing w:val="1"/>
          <w:sz w:val="22"/>
        </w:rPr>
        <w:t xml:space="preserve"> </w:t>
      </w:r>
      <w:r>
        <w:rPr>
          <w:rFonts w:cs="Arial"/>
          <w:i/>
          <w:iCs/>
          <w:sz w:val="22"/>
        </w:rPr>
        <w:t>Act.</w:t>
      </w:r>
    </w:p>
    <w:p>
      <w:pPr>
        <w:pStyle w:val="Normal"/>
        <w:rPr/>
      </w:pPr>
      <w:r>
        <w:rPr>
          <w:rFonts w:cs="Arial"/>
          <w:b/>
          <w:bCs/>
          <w:i/>
          <w:iCs/>
          <w:sz w:val="22"/>
        </w:rPr>
        <w:t>Health and Safety</w:t>
      </w:r>
      <w:r>
        <w:rPr>
          <w:rFonts w:cs="Arial"/>
          <w:i/>
          <w:iCs/>
          <w:sz w:val="22"/>
        </w:rPr>
        <w:t xml:space="preserve"> - All employees of GMCA have a statutory duty of care for their own</w:t>
      </w:r>
      <w:r>
        <w:rPr>
          <w:rFonts w:cs="Arial"/>
          <w:i/>
          <w:iCs/>
          <w:spacing w:val="1"/>
          <w:sz w:val="22"/>
        </w:rPr>
        <w:t xml:space="preserve"> </w:t>
      </w:r>
      <w:r>
        <w:rPr>
          <w:rFonts w:cs="Arial"/>
          <w:i/>
          <w:iCs/>
          <w:sz w:val="22"/>
        </w:rPr>
        <w:t>personal</w:t>
      </w:r>
      <w:r>
        <w:rPr>
          <w:rFonts w:cs="Arial"/>
          <w:i/>
          <w:iCs/>
          <w:spacing w:val="-9"/>
          <w:sz w:val="22"/>
        </w:rPr>
        <w:t xml:space="preserve"> </w:t>
      </w:r>
      <w:r>
        <w:rPr>
          <w:rFonts w:cs="Arial"/>
          <w:i/>
          <w:iCs/>
          <w:sz w:val="22"/>
        </w:rPr>
        <w:t>safety</w:t>
      </w:r>
      <w:r>
        <w:rPr>
          <w:rFonts w:cs="Arial"/>
          <w:i/>
          <w:iCs/>
          <w:spacing w:val="-9"/>
          <w:sz w:val="22"/>
        </w:rPr>
        <w:t xml:space="preserve"> </w:t>
      </w:r>
      <w:r>
        <w:rPr>
          <w:rFonts w:cs="Arial"/>
          <w:i/>
          <w:iCs/>
          <w:sz w:val="22"/>
        </w:rPr>
        <w:t>and</w:t>
      </w:r>
      <w:r>
        <w:rPr>
          <w:rFonts w:cs="Arial"/>
          <w:i/>
          <w:iCs/>
          <w:spacing w:val="-8"/>
          <w:sz w:val="22"/>
        </w:rPr>
        <w:t xml:space="preserve"> </w:t>
      </w:r>
      <w:r>
        <w:rPr>
          <w:rFonts w:cs="Arial"/>
          <w:i/>
          <w:iCs/>
          <w:sz w:val="22"/>
        </w:rPr>
        <w:t>that</w:t>
      </w:r>
      <w:r>
        <w:rPr>
          <w:rFonts w:cs="Arial"/>
          <w:i/>
          <w:iCs/>
          <w:spacing w:val="-9"/>
          <w:sz w:val="22"/>
        </w:rPr>
        <w:t xml:space="preserve"> </w:t>
      </w:r>
      <w:r>
        <w:rPr>
          <w:rFonts w:cs="Arial"/>
          <w:i/>
          <w:iCs/>
          <w:sz w:val="22"/>
        </w:rPr>
        <w:t>of</w:t>
      </w:r>
      <w:r>
        <w:rPr>
          <w:rFonts w:cs="Arial"/>
          <w:i/>
          <w:iCs/>
          <w:spacing w:val="-3"/>
          <w:sz w:val="22"/>
        </w:rPr>
        <w:t xml:space="preserve"> </w:t>
      </w:r>
      <w:r>
        <w:rPr>
          <w:rFonts w:cs="Arial"/>
          <w:i/>
          <w:iCs/>
          <w:sz w:val="22"/>
        </w:rPr>
        <w:t>others</w:t>
      </w:r>
      <w:r>
        <w:rPr>
          <w:rFonts w:cs="Arial"/>
          <w:i/>
          <w:iCs/>
          <w:spacing w:val="-7"/>
          <w:sz w:val="22"/>
        </w:rPr>
        <w:t xml:space="preserve"> </w:t>
      </w:r>
      <w:r>
        <w:rPr>
          <w:rFonts w:cs="Arial"/>
          <w:i/>
          <w:iCs/>
          <w:sz w:val="22"/>
        </w:rPr>
        <w:t>who</w:t>
      </w:r>
      <w:r>
        <w:rPr>
          <w:rFonts w:cs="Arial"/>
          <w:i/>
          <w:iCs/>
          <w:spacing w:val="-7"/>
          <w:sz w:val="22"/>
        </w:rPr>
        <w:t xml:space="preserve"> </w:t>
      </w:r>
      <w:r>
        <w:rPr>
          <w:rFonts w:cs="Arial"/>
          <w:i/>
          <w:iCs/>
          <w:sz w:val="22"/>
        </w:rPr>
        <w:t>may</w:t>
      </w:r>
      <w:r>
        <w:rPr>
          <w:rFonts w:cs="Arial"/>
          <w:i/>
          <w:iCs/>
          <w:spacing w:val="-10"/>
          <w:sz w:val="22"/>
        </w:rPr>
        <w:t xml:space="preserve"> </w:t>
      </w:r>
      <w:r>
        <w:rPr>
          <w:rFonts w:cs="Arial"/>
          <w:i/>
          <w:iCs/>
          <w:sz w:val="22"/>
        </w:rPr>
        <w:t>be</w:t>
      </w:r>
      <w:r>
        <w:rPr>
          <w:rFonts w:cs="Arial"/>
          <w:i/>
          <w:iCs/>
          <w:spacing w:val="-8"/>
          <w:sz w:val="22"/>
        </w:rPr>
        <w:t xml:space="preserve"> </w:t>
      </w:r>
      <w:r>
        <w:rPr>
          <w:rFonts w:cs="Arial"/>
          <w:i/>
          <w:iCs/>
          <w:sz w:val="22"/>
        </w:rPr>
        <w:t>affected</w:t>
      </w:r>
      <w:r>
        <w:rPr>
          <w:rFonts w:cs="Arial"/>
          <w:i/>
          <w:iCs/>
          <w:spacing w:val="-7"/>
          <w:sz w:val="22"/>
        </w:rPr>
        <w:t xml:space="preserve"> </w:t>
      </w:r>
      <w:r>
        <w:rPr>
          <w:rFonts w:cs="Arial"/>
          <w:i/>
          <w:iCs/>
          <w:sz w:val="22"/>
        </w:rPr>
        <w:t>by</w:t>
      </w:r>
      <w:r>
        <w:rPr>
          <w:rFonts w:cs="Arial"/>
          <w:i/>
          <w:iCs/>
          <w:spacing w:val="-10"/>
          <w:sz w:val="22"/>
        </w:rPr>
        <w:t xml:space="preserve"> </w:t>
      </w:r>
      <w:r>
        <w:rPr>
          <w:rFonts w:cs="Arial"/>
          <w:i/>
          <w:iCs/>
          <w:sz w:val="22"/>
        </w:rPr>
        <w:t>their</w:t>
      </w:r>
      <w:r>
        <w:rPr>
          <w:rFonts w:cs="Arial"/>
          <w:i/>
          <w:iCs/>
          <w:spacing w:val="-6"/>
          <w:sz w:val="22"/>
        </w:rPr>
        <w:t xml:space="preserve"> </w:t>
      </w:r>
      <w:r>
        <w:rPr>
          <w:rFonts w:cs="Arial"/>
          <w:i/>
          <w:iCs/>
          <w:sz w:val="22"/>
        </w:rPr>
        <w:t>acts</w:t>
      </w:r>
      <w:r>
        <w:rPr>
          <w:rFonts w:cs="Arial"/>
          <w:i/>
          <w:iCs/>
          <w:spacing w:val="-7"/>
          <w:sz w:val="22"/>
        </w:rPr>
        <w:t xml:space="preserve"> </w:t>
      </w:r>
      <w:r>
        <w:rPr>
          <w:rFonts w:cs="Arial"/>
          <w:i/>
          <w:iCs/>
          <w:sz w:val="22"/>
        </w:rPr>
        <w:t>or</w:t>
      </w:r>
      <w:r>
        <w:rPr>
          <w:rFonts w:cs="Arial"/>
          <w:i/>
          <w:iCs/>
          <w:spacing w:val="-6"/>
          <w:sz w:val="22"/>
        </w:rPr>
        <w:t xml:space="preserve"> </w:t>
      </w:r>
      <w:r>
        <w:rPr>
          <w:rFonts w:cs="Arial"/>
          <w:i/>
          <w:iCs/>
          <w:sz w:val="22"/>
        </w:rPr>
        <w:t>omissions.</w:t>
      </w:r>
      <w:r>
        <w:rPr>
          <w:rFonts w:cs="Arial"/>
          <w:i/>
          <w:iCs/>
          <w:spacing w:val="-5"/>
          <w:sz w:val="22"/>
        </w:rPr>
        <w:t xml:space="preserve"> </w:t>
      </w:r>
      <w:r>
        <w:rPr>
          <w:rFonts w:cs="Arial"/>
          <w:i/>
          <w:iCs/>
          <w:sz w:val="22"/>
        </w:rPr>
        <w:t>Employees</w:t>
      </w:r>
      <w:r>
        <w:rPr>
          <w:rFonts w:cs="Arial"/>
          <w:i/>
          <w:iCs/>
          <w:spacing w:val="-59"/>
          <w:sz w:val="22"/>
        </w:rPr>
        <w:t xml:space="preserve"> </w:t>
      </w:r>
      <w:r>
        <w:rPr>
          <w:rFonts w:cs="Arial"/>
          <w:i/>
          <w:iCs/>
          <w:sz w:val="22"/>
        </w:rPr>
        <w:t>are required to co-operate with management to enable GMCA to meet its own legal duties</w:t>
      </w:r>
      <w:r>
        <w:rPr>
          <w:rFonts w:cs="Arial"/>
          <w:i/>
          <w:iCs/>
          <w:spacing w:val="1"/>
          <w:sz w:val="22"/>
        </w:rPr>
        <w:t xml:space="preserve"> </w:t>
      </w:r>
      <w:r>
        <w:rPr>
          <w:rFonts w:cs="Arial"/>
          <w:i/>
          <w:iCs/>
          <w:sz w:val="22"/>
        </w:rPr>
        <w:t>and</w:t>
      </w:r>
      <w:r>
        <w:rPr>
          <w:rFonts w:cs="Arial"/>
          <w:i/>
          <w:iCs/>
          <w:spacing w:val="-5"/>
          <w:sz w:val="22"/>
        </w:rPr>
        <w:t xml:space="preserve"> </w:t>
      </w:r>
      <w:r>
        <w:rPr>
          <w:rFonts w:cs="Arial"/>
          <w:i/>
          <w:iCs/>
          <w:sz w:val="22"/>
        </w:rPr>
        <w:t>to</w:t>
      </w:r>
      <w:r>
        <w:rPr>
          <w:rFonts w:cs="Arial"/>
          <w:i/>
          <w:iCs/>
          <w:spacing w:val="-5"/>
          <w:sz w:val="22"/>
        </w:rPr>
        <w:t xml:space="preserve"> </w:t>
      </w:r>
      <w:r>
        <w:rPr>
          <w:rFonts w:cs="Arial"/>
          <w:i/>
          <w:iCs/>
          <w:sz w:val="22"/>
        </w:rPr>
        <w:t>report</w:t>
      </w:r>
      <w:r>
        <w:rPr>
          <w:rFonts w:cs="Arial"/>
          <w:i/>
          <w:iCs/>
          <w:spacing w:val="-4"/>
          <w:sz w:val="22"/>
        </w:rPr>
        <w:t xml:space="preserve"> </w:t>
      </w:r>
      <w:r>
        <w:rPr>
          <w:rFonts w:cs="Arial"/>
          <w:i/>
          <w:iCs/>
          <w:sz w:val="22"/>
        </w:rPr>
        <w:t>any</w:t>
      </w:r>
      <w:r>
        <w:rPr>
          <w:rFonts w:cs="Arial"/>
          <w:i/>
          <w:iCs/>
          <w:spacing w:val="-8"/>
          <w:sz w:val="22"/>
        </w:rPr>
        <w:t xml:space="preserve"> </w:t>
      </w:r>
      <w:r>
        <w:rPr>
          <w:rFonts w:cs="Arial"/>
          <w:i/>
          <w:iCs/>
          <w:sz w:val="22"/>
        </w:rPr>
        <w:t>circumstances</w:t>
      </w:r>
      <w:r>
        <w:rPr>
          <w:rFonts w:cs="Arial"/>
          <w:i/>
          <w:iCs/>
          <w:spacing w:val="-7"/>
          <w:sz w:val="22"/>
        </w:rPr>
        <w:t xml:space="preserve"> </w:t>
      </w:r>
      <w:r>
        <w:rPr>
          <w:rFonts w:cs="Arial"/>
          <w:i/>
          <w:iCs/>
          <w:sz w:val="22"/>
        </w:rPr>
        <w:t>that</w:t>
      </w:r>
      <w:r>
        <w:rPr>
          <w:rFonts w:cs="Arial"/>
          <w:i/>
          <w:iCs/>
          <w:spacing w:val="-5"/>
          <w:sz w:val="22"/>
        </w:rPr>
        <w:t xml:space="preserve"> </w:t>
      </w:r>
      <w:r>
        <w:rPr>
          <w:rFonts w:cs="Arial"/>
          <w:i/>
          <w:iCs/>
          <w:sz w:val="22"/>
        </w:rPr>
        <w:t>may</w:t>
      </w:r>
      <w:r>
        <w:rPr>
          <w:rFonts w:cs="Arial"/>
          <w:i/>
          <w:iCs/>
          <w:spacing w:val="-8"/>
          <w:sz w:val="22"/>
        </w:rPr>
        <w:t xml:space="preserve"> </w:t>
      </w:r>
      <w:r>
        <w:rPr>
          <w:rFonts w:cs="Arial"/>
          <w:i/>
          <w:iCs/>
          <w:sz w:val="22"/>
        </w:rPr>
        <w:t>compromise</w:t>
      </w:r>
      <w:r>
        <w:rPr>
          <w:rFonts w:cs="Arial"/>
          <w:i/>
          <w:iCs/>
          <w:spacing w:val="-4"/>
          <w:sz w:val="22"/>
        </w:rPr>
        <w:t xml:space="preserve"> </w:t>
      </w:r>
      <w:r>
        <w:rPr>
          <w:rFonts w:cs="Arial"/>
          <w:i/>
          <w:iCs/>
          <w:sz w:val="22"/>
        </w:rPr>
        <w:t>the</w:t>
      </w:r>
      <w:r>
        <w:rPr>
          <w:rFonts w:cs="Arial"/>
          <w:i/>
          <w:iCs/>
          <w:spacing w:val="-6"/>
          <w:sz w:val="22"/>
        </w:rPr>
        <w:t xml:space="preserve"> </w:t>
      </w:r>
      <w:r>
        <w:rPr>
          <w:rFonts w:cs="Arial"/>
          <w:i/>
          <w:iCs/>
          <w:sz w:val="22"/>
        </w:rPr>
        <w:t>health,</w:t>
      </w:r>
      <w:r>
        <w:rPr>
          <w:rFonts w:cs="Arial"/>
          <w:i/>
          <w:iCs/>
          <w:spacing w:val="-4"/>
          <w:sz w:val="22"/>
        </w:rPr>
        <w:t xml:space="preserve"> </w:t>
      </w:r>
      <w:r>
        <w:rPr>
          <w:rFonts w:cs="Arial"/>
          <w:i/>
          <w:iCs/>
          <w:sz w:val="22"/>
        </w:rPr>
        <w:t>safety,</w:t>
      </w:r>
      <w:r>
        <w:rPr>
          <w:rFonts w:cs="Arial"/>
          <w:i/>
          <w:iCs/>
          <w:spacing w:val="-7"/>
          <w:sz w:val="22"/>
        </w:rPr>
        <w:t xml:space="preserve"> </w:t>
      </w:r>
      <w:r>
        <w:rPr>
          <w:rFonts w:cs="Arial"/>
          <w:i/>
          <w:iCs/>
          <w:sz w:val="22"/>
        </w:rPr>
        <w:t>and</w:t>
      </w:r>
      <w:r>
        <w:rPr>
          <w:rFonts w:cs="Arial"/>
          <w:i/>
          <w:iCs/>
          <w:spacing w:val="-5"/>
          <w:sz w:val="22"/>
        </w:rPr>
        <w:t xml:space="preserve"> </w:t>
      </w:r>
      <w:r>
        <w:rPr>
          <w:rFonts w:cs="Arial"/>
          <w:i/>
          <w:iCs/>
          <w:sz w:val="22"/>
        </w:rPr>
        <w:t>welfare</w:t>
      </w:r>
      <w:r>
        <w:rPr>
          <w:rFonts w:cs="Arial"/>
          <w:i/>
          <w:iCs/>
          <w:spacing w:val="-4"/>
          <w:sz w:val="22"/>
        </w:rPr>
        <w:t xml:space="preserve"> </w:t>
      </w:r>
      <w:r>
        <w:rPr>
          <w:rFonts w:cs="Arial"/>
          <w:i/>
          <w:iCs/>
          <w:sz w:val="22"/>
        </w:rPr>
        <w:t>of</w:t>
      </w:r>
      <w:r>
        <w:rPr>
          <w:rFonts w:cs="Arial"/>
          <w:i/>
          <w:iCs/>
          <w:spacing w:val="-4"/>
          <w:sz w:val="22"/>
        </w:rPr>
        <w:t xml:space="preserve"> </w:t>
      </w:r>
      <w:r>
        <w:rPr>
          <w:rFonts w:cs="Arial"/>
          <w:i/>
          <w:iCs/>
          <w:sz w:val="22"/>
        </w:rPr>
        <w:t>those</w:t>
      </w:r>
      <w:r>
        <w:rPr>
          <w:rFonts w:cs="Arial"/>
          <w:i/>
          <w:iCs/>
          <w:spacing w:val="-59"/>
          <w:sz w:val="22"/>
        </w:rPr>
        <w:t xml:space="preserve"> </w:t>
      </w:r>
      <w:r>
        <w:rPr>
          <w:rFonts w:cs="Arial"/>
          <w:i/>
          <w:iCs/>
          <w:sz w:val="22"/>
        </w:rPr>
        <w:t>affected by</w:t>
      </w:r>
      <w:r>
        <w:rPr>
          <w:rFonts w:cs="Arial"/>
          <w:i/>
          <w:iCs/>
          <w:spacing w:val="-4"/>
          <w:sz w:val="22"/>
        </w:rPr>
        <w:t xml:space="preserve"> </w:t>
      </w:r>
      <w:r>
        <w:rPr>
          <w:rFonts w:cs="Arial"/>
          <w:i/>
          <w:iCs/>
          <w:sz w:val="22"/>
        </w:rPr>
        <w:t>the Service’s</w:t>
      </w:r>
      <w:r>
        <w:rPr>
          <w:rFonts w:cs="Arial"/>
          <w:i/>
          <w:iCs/>
          <w:spacing w:val="2"/>
          <w:sz w:val="22"/>
        </w:rPr>
        <w:t xml:space="preserve"> </w:t>
      </w:r>
      <w:r>
        <w:rPr>
          <w:rFonts w:cs="Arial"/>
          <w:i/>
          <w:iCs/>
          <w:sz w:val="22"/>
        </w:rPr>
        <w:t>undertakings.</w:t>
      </w:r>
    </w:p>
    <w:p>
      <w:pPr>
        <w:pStyle w:val="Normal"/>
        <w:rPr/>
      </w:pPr>
      <w:r>
        <w:rPr>
          <w:rFonts w:cs="Arial"/>
          <w:b/>
          <w:bCs/>
          <w:i/>
          <w:iCs/>
          <w:sz w:val="22"/>
        </w:rPr>
        <w:t>Service Policies</w:t>
      </w:r>
      <w:r>
        <w:rPr>
          <w:rFonts w:cs="Arial"/>
          <w:i/>
          <w:iCs/>
          <w:sz w:val="22"/>
        </w:rPr>
        <w:t xml:space="preserve"> - All GMCA employees must observe and adhere to the provisions outlined</w:t>
      </w:r>
      <w:r>
        <w:rPr>
          <w:rFonts w:cs="Arial"/>
          <w:i/>
          <w:iCs/>
          <w:spacing w:val="-59"/>
          <w:sz w:val="22"/>
        </w:rPr>
        <w:t xml:space="preserve"> </w:t>
      </w:r>
      <w:r>
        <w:rPr>
          <w:rFonts w:cs="Arial"/>
          <w:i/>
          <w:iCs/>
          <w:sz w:val="22"/>
        </w:rPr>
        <w:t>in</w:t>
      </w:r>
      <w:r>
        <w:rPr>
          <w:rFonts w:cs="Arial"/>
          <w:i/>
          <w:iCs/>
          <w:spacing w:val="-1"/>
          <w:sz w:val="22"/>
        </w:rPr>
        <w:t xml:space="preserve"> </w:t>
      </w:r>
      <w:r>
        <w:rPr>
          <w:rFonts w:cs="Arial"/>
          <w:i/>
          <w:iCs/>
          <w:sz w:val="22"/>
        </w:rPr>
        <w:t>these policies.</w:t>
      </w:r>
    </w:p>
    <w:p>
      <w:pPr>
        <w:pStyle w:val="Normal"/>
        <w:widowControl w:val="false"/>
        <w:bidi w:val="0"/>
        <w:spacing w:lineRule="auto" w:line="360" w:before="0" w:after="240"/>
        <w:jc w:val="left"/>
        <w:rPr/>
      </w:pPr>
      <w:r>
        <w:rPr>
          <w:rFonts w:cs="Arial"/>
          <w:b/>
          <w:bCs/>
          <w:i/>
          <w:iCs/>
          <w:sz w:val="22"/>
        </w:rPr>
        <w:t>Equal Opportunities</w:t>
      </w:r>
      <w:r>
        <w:rPr>
          <w:rFonts w:cs="Arial"/>
          <w:i/>
          <w:iCs/>
          <w:sz w:val="22"/>
        </w:rPr>
        <w:t xml:space="preserve"> - GMCA provides a range of services and employment</w:t>
      </w:r>
      <w:r>
        <w:rPr>
          <w:rFonts w:cs="Arial"/>
          <w:i/>
          <w:iCs/>
          <w:spacing w:val="1"/>
          <w:sz w:val="22"/>
        </w:rPr>
        <w:t xml:space="preserve"> </w:t>
      </w:r>
      <w:r>
        <w:rPr>
          <w:rFonts w:cs="Arial"/>
          <w:i/>
          <w:iCs/>
          <w:sz w:val="22"/>
        </w:rPr>
        <w:t xml:space="preserve">opportunities for a diverse population. As a GMCA employee you are expected to treat all </w:t>
      </w:r>
      <w:r>
        <w:rPr>
          <w:rFonts w:cs="Arial"/>
          <w:i/>
          <w:iCs/>
          <w:spacing w:val="-59"/>
          <w:sz w:val="22"/>
        </w:rPr>
        <w:t xml:space="preserve"> </w:t>
      </w:r>
      <w:r>
        <w:rPr>
          <w:rFonts w:cs="Arial"/>
          <w:i/>
          <w:iCs/>
          <w:sz w:val="22"/>
        </w:rPr>
        <w:t>employees / partners / members of the public and work colleagues with dignity and</w:t>
      </w:r>
      <w:r>
        <w:rPr>
          <w:rFonts w:cs="Arial"/>
          <w:i/>
          <w:iCs/>
          <w:spacing w:val="1"/>
          <w:sz w:val="22"/>
        </w:rPr>
        <w:t xml:space="preserve"> </w:t>
      </w:r>
      <w:r>
        <w:rPr>
          <w:rFonts w:cs="Arial"/>
          <w:i/>
          <w:iCs/>
          <w:sz w:val="22"/>
        </w:rPr>
        <w:t>respect</w:t>
      </w:r>
      <w:r>
        <w:rPr>
          <w:rFonts w:cs="Arial"/>
          <w:i/>
          <w:iCs/>
          <w:spacing w:val="-2"/>
          <w:sz w:val="22"/>
        </w:rPr>
        <w:t xml:space="preserve"> </w:t>
      </w:r>
      <w:r>
        <w:rPr>
          <w:rFonts w:cs="Arial"/>
          <w:i/>
          <w:iCs/>
          <w:sz w:val="22"/>
        </w:rPr>
        <w:t>irrespective</w:t>
      </w:r>
      <w:r>
        <w:rPr>
          <w:rFonts w:cs="Arial"/>
          <w:i/>
          <w:iCs/>
          <w:spacing w:val="1"/>
          <w:sz w:val="22"/>
        </w:rPr>
        <w:t xml:space="preserve"> </w:t>
      </w:r>
      <w:r>
        <w:rPr>
          <w:rFonts w:cs="Arial"/>
          <w:i/>
          <w:iCs/>
          <w:sz w:val="22"/>
        </w:rPr>
        <w:t>of</w:t>
      </w:r>
      <w:r>
        <w:rPr>
          <w:rFonts w:cs="Arial"/>
          <w:i/>
          <w:iCs/>
          <w:spacing w:val="2"/>
          <w:sz w:val="22"/>
        </w:rPr>
        <w:t xml:space="preserve"> </w:t>
      </w:r>
      <w:r>
        <w:rPr>
          <w:rFonts w:cs="Arial"/>
          <w:i/>
          <w:iCs/>
          <w:sz w:val="22"/>
        </w:rPr>
        <w:t>their</w:t>
      </w:r>
      <w:r>
        <w:rPr>
          <w:rFonts w:cs="Arial"/>
          <w:i/>
          <w:iCs/>
          <w:spacing w:val="2"/>
          <w:sz w:val="22"/>
        </w:rPr>
        <w:t xml:space="preserve"> </w:t>
      </w:r>
      <w:r>
        <w:rPr>
          <w:rFonts w:cs="Arial"/>
          <w:i/>
          <w:iCs/>
          <w:sz w:val="22"/>
        </w:rPr>
        <w:t>background.</w:t>
      </w:r>
    </w:p>
    <w:sectPr>
      <w:headerReference w:type="default" r:id="rId8"/>
      <w:footerReference w:type="default" r:id="rId9"/>
      <w:type w:val="nextPage"/>
      <w:pgSz w:w="11906" w:h="16850"/>
      <w:pgMar w:left="720" w:right="720" w:header="709" w:top="766" w:footer="0" w:bottom="720" w:gutter="0"/>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Calibri">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right"/>
      <w:rPr/>
    </w:pPr>
    <w:r>
      <w:rPr/>
      <w:fldChar w:fldCharType="begin"/>
    </w:r>
    <w:r>
      <w:rPr/>
      <w:instrText> PAGE </w:instrText>
    </w:r>
    <w:r>
      <w:rPr/>
      <w:fldChar w:fldCharType="separate"/>
    </w:r>
    <w:r>
      <w:rPr/>
      <w:t>1</w:t>
    </w:r>
    <w:r>
      <w:rPr/>
      <w:fldChar w:fldCharType="end"/>
    </w:r>
  </w:p>
  <w:p>
    <w:pPr>
      <w:pStyle w:val="Footer"/>
      <w:spacing w:before="0" w:after="24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right"/>
      <w:rPr/>
    </w:pPr>
    <w:r>
      <w:rPr/>
      <w:fldChar w:fldCharType="begin"/>
    </w:r>
    <w:r>
      <w:rPr/>
      <w:instrText> PAGE </w:instrText>
    </w:r>
    <w:r>
      <w:rPr/>
      <w:fldChar w:fldCharType="separate"/>
    </w:r>
    <w:r>
      <w:rPr/>
      <w:t>3</w:t>
    </w:r>
    <w:r>
      <w:rPr/>
      <w:fldChar w:fldCharType="end"/>
    </w:r>
  </w:p>
  <w:p>
    <w:pPr>
      <w:pStyle w:val="TextBody"/>
      <w:spacing w:before="0" w:after="240"/>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right"/>
      <w:rPr/>
    </w:pPr>
    <w:r>
      <w:rPr/>
      <w:fldChar w:fldCharType="begin"/>
    </w:r>
    <w:r>
      <w:rPr/>
      <w:instrText> PAGE </w:instrText>
    </w:r>
    <w:r>
      <w:rPr/>
      <w:fldChar w:fldCharType="separate"/>
    </w:r>
    <w:r>
      <w:rPr/>
      <w:t>2</w:t>
    </w:r>
    <w:r>
      <w:rPr/>
      <w:fldChar w:fldCharType="end"/>
    </w:r>
  </w:p>
  <w:p>
    <w:pPr>
      <w:pStyle w:val="Footer"/>
      <w:spacing w:before="0" w:after="240"/>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right"/>
      <w:rPr/>
    </w:pPr>
    <w:r>
      <w:rPr/>
      <w:fldChar w:fldCharType="begin"/>
    </w:r>
    <w:r>
      <w:rPr/>
      <w:instrText> PAGE </w:instrText>
    </w:r>
    <w:r>
      <w:rPr/>
      <w:fldChar w:fldCharType="separate"/>
    </w:r>
    <w:r>
      <w:rPr/>
      <w:t>7</w:t>
    </w:r>
    <w:r>
      <w:rPr/>
      <w:fldChar w:fldCharType="end"/>
    </w:r>
  </w:p>
  <w:p>
    <w:pPr>
      <w:pStyle w:val="TextBody"/>
      <w:spacing w:before="0" w:after="240"/>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drawing>
        <wp:anchor behindDoc="1" distT="0" distB="0" distL="0" distR="0" simplePos="0" locked="0" layoutInCell="1" allowOverlap="1" relativeHeight="2">
          <wp:simplePos x="0" y="0"/>
          <wp:positionH relativeFrom="column">
            <wp:posOffset>4396740</wp:posOffset>
          </wp:positionH>
          <wp:positionV relativeFrom="paragraph">
            <wp:posOffset>-304165</wp:posOffset>
          </wp:positionV>
          <wp:extent cx="2190115" cy="68643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1"/>
                  <a:srcRect l="-5" t="-15" r="-5" b="-15"/>
                  <a:stretch>
                    <a:fillRect/>
                  </a:stretch>
                </pic:blipFill>
                <pic:spPr bwMode="auto">
                  <a:xfrm>
                    <a:off x="0" y="0"/>
                    <a:ext cx="2190115" cy="686435"/>
                  </a:xfrm>
                  <a:prstGeom prst="rect">
                    <a:avLst/>
                  </a:prstGeom>
                </pic:spPr>
              </pic:pic>
            </a:graphicData>
          </a:graphic>
        </wp:anchor>
      </w:drawing>
    </w:r>
    <w:r>
      <w:rPr/>
      <w:t>L</w:t>
    </w:r>
    <w:r>
      <w:rPr/>
      <w:t>ast reviewed: June 2026</w:t>
    </w:r>
  </w:p>
  <w:p>
    <w:pPr>
      <w:pStyle w:val="Header"/>
      <w:spacing w:before="0" w:after="24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t xml:space="preserve">Date of last review: June 2026 </w:t>
    </w:r>
  </w:p>
  <w:p>
    <w:pPr>
      <w:pStyle w:val="Header"/>
      <w:spacing w:before="0" w:after="240"/>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spacing w:before="0" w:after="240"/>
      <w:rPr/>
    </w:pPr>
    <w:r>
      <w:rPr/>
      <w:drawing>
        <wp:anchor behindDoc="1" distT="0" distB="0" distL="0" distR="0" simplePos="0" locked="0" layoutInCell="1" allowOverlap="1" relativeHeight="3">
          <wp:simplePos x="0" y="0"/>
          <wp:positionH relativeFrom="column">
            <wp:posOffset>4718050</wp:posOffset>
          </wp:positionH>
          <wp:positionV relativeFrom="paragraph">
            <wp:posOffset>-343535</wp:posOffset>
          </wp:positionV>
          <wp:extent cx="2190115" cy="686435"/>
          <wp:effectExtent l="0" t="0" r="0" b="0"/>
          <wp:wrapNone/>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1"/>
                  <a:srcRect l="-5" t="-15" r="-5" b="-15"/>
                  <a:stretch>
                    <a:fillRect/>
                  </a:stretch>
                </pic:blipFill>
                <pic:spPr bwMode="auto">
                  <a:xfrm>
                    <a:off x="0" y="0"/>
                    <a:ext cx="2190115" cy="686435"/>
                  </a:xfrm>
                  <a:prstGeom prst="rect">
                    <a:avLst/>
                  </a:prstGeom>
                </pic:spPr>
              </pic:pic>
            </a:graphicData>
          </a:graphic>
        </wp:anchor>
      </w:drawing>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t xml:space="preserve">Date of last review: June 2026 </w:t>
    </w:r>
  </w:p>
  <w:p>
    <w:pPr>
      <w:pStyle w:val="Header"/>
      <w:spacing w:before="0" w:after="240"/>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360" w:hanging="360"/>
      </w:pPr>
      <w:rPr>
        <w:rFonts w:ascii="Symbol" w:hAnsi="Symbol" w:cs="Symbol" w:hint="default"/>
        <w:szCs w:val="24"/>
        <w:rFonts w:cs="Symbol"/>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Wingdings" w:hAnsi="Wingdings" w:cs="Wingdings" w:hint="default"/>
        <w:rFonts w:cs="Wingdings"/>
      </w:rPr>
    </w:lvl>
    <w:lvl w:ilvl="3">
      <w:start w:val="1"/>
      <w:numFmt w:val="bullet"/>
      <w:lvlText w:val=""/>
      <w:lvlJc w:val="left"/>
      <w:pPr>
        <w:ind w:left="2520" w:hanging="360"/>
      </w:pPr>
      <w:rPr>
        <w:rFonts w:ascii="Symbol" w:hAnsi="Symbol" w:cs="Symbol" w:hint="default"/>
        <w:szCs w:val="24"/>
        <w:rFonts w:cs="Symbol"/>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Wingdings" w:hAnsi="Wingdings" w:cs="Wingdings" w:hint="default"/>
        <w:rFonts w:cs="Wingdings"/>
      </w:rPr>
    </w:lvl>
    <w:lvl w:ilvl="6">
      <w:start w:val="1"/>
      <w:numFmt w:val="bullet"/>
      <w:lvlText w:val=""/>
      <w:lvlJc w:val="left"/>
      <w:pPr>
        <w:ind w:left="4680" w:hanging="360"/>
      </w:pPr>
      <w:rPr>
        <w:rFonts w:ascii="Symbol" w:hAnsi="Symbol" w:cs="Symbol" w:hint="default"/>
        <w:szCs w:val="24"/>
        <w:rFonts w:cs="Symbol"/>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Wingdings" w:hAnsi="Wingdings" w:cs="Wingdings" w:hint="default"/>
        <w:rFonts w:cs="Wingdings"/>
      </w:rPr>
    </w:lvl>
  </w:abstractNum>
  <w:abstractNum w:abstractNumId="3">
    <w:lvl w:ilvl="0">
      <w:start w:val="1"/>
      <w:numFmt w:val="decimal"/>
      <w:lvlText w:val="%1."/>
      <w:lvlJc w:val="left"/>
      <w:pPr>
        <w:ind w:left="360" w:hanging="360"/>
      </w:pPr>
      <w:rPr>
        <w:szCs w:val="24"/>
        <w:rFonts w:cs="Arial"/>
        <w:color w:val="auto"/>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4">
    <w:lvl w:ilvl="0">
      <w:start w:val="1"/>
      <w:numFmt w:val="bullet"/>
      <w:lvlText w:val=""/>
      <w:lvlJc w:val="left"/>
      <w:pPr>
        <w:ind w:left="360" w:hanging="360"/>
      </w:pPr>
      <w:rPr>
        <w:rFonts w:ascii="Symbol" w:hAnsi="Symbol" w:cs="Symbol" w:hint="default"/>
        <w:rFonts w:cs="Symbol"/>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Wingdings" w:hAnsi="Wingdings" w:cs="Wingdings" w:hint="default"/>
        <w:rFonts w:cs="Wingdings"/>
      </w:rPr>
    </w:lvl>
    <w:lvl w:ilvl="3">
      <w:start w:val="1"/>
      <w:numFmt w:val="bullet"/>
      <w:lvlText w:val=""/>
      <w:lvlJc w:val="left"/>
      <w:pPr>
        <w:ind w:left="2520" w:hanging="360"/>
      </w:pPr>
      <w:rPr>
        <w:rFonts w:ascii="Symbol" w:hAnsi="Symbol" w:cs="Symbol" w:hint="default"/>
        <w:rFonts w:cs="Symbol"/>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Wingdings" w:hAnsi="Wingdings" w:cs="Wingdings" w:hint="default"/>
        <w:rFonts w:cs="Wingdings"/>
      </w:rPr>
    </w:lvl>
    <w:lvl w:ilvl="6">
      <w:start w:val="1"/>
      <w:numFmt w:val="bullet"/>
      <w:lvlText w:val=""/>
      <w:lvlJc w:val="left"/>
      <w:pPr>
        <w:ind w:left="4680" w:hanging="360"/>
      </w:pPr>
      <w:rPr>
        <w:rFonts w:ascii="Symbol" w:hAnsi="Symbol" w:cs="Symbol" w:hint="default"/>
        <w:rFonts w:cs="Symbol"/>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Wingdings" w:hAnsi="Wingdings" w:cs="Wingdings" w:hint="default"/>
        <w:rFonts w:cs="Wingdings"/>
      </w:rPr>
    </w:lvl>
  </w:abstractNum>
  <w:abstractNum w:abstractNumId="5">
    <w:lvl w:ilvl="0">
      <w:start w:val="1"/>
      <w:numFmt w:val="bullet"/>
      <w:lvlText w:val=""/>
      <w:lvlJc w:val="left"/>
      <w:pPr>
        <w:ind w:left="360" w:hanging="360"/>
      </w:pPr>
      <w:rPr>
        <w:rFonts w:ascii="Symbol" w:hAnsi="Symbol" w:cs="Symbol" w:hint="default"/>
        <w:rFonts w:cs="Symbol"/>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6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val="false"/>
      <w:suppressAutoHyphens w:val="true"/>
      <w:bidi w:val="0"/>
      <w:spacing w:lineRule="auto" w:line="360" w:before="0" w:after="240"/>
      <w:jc w:val="left"/>
    </w:pPr>
    <w:rPr>
      <w:rFonts w:ascii="Arial" w:hAnsi="Arial" w:eastAsia="Calibri" w:cs="Calibri"/>
      <w:color w:val="262626"/>
      <w:kern w:val="0"/>
      <w:sz w:val="24"/>
      <w:szCs w:val="22"/>
      <w:lang w:val="en-GB" w:eastAsia="en-US" w:bidi="ar-SA"/>
    </w:rPr>
  </w:style>
  <w:style w:type="paragraph" w:styleId="Heading1">
    <w:name w:val="Heading 1"/>
    <w:basedOn w:val="Normal"/>
    <w:next w:val="TextBody"/>
    <w:qFormat/>
    <w:pPr>
      <w:numPr>
        <w:ilvl w:val="0"/>
        <w:numId w:val="1"/>
      </w:numPr>
      <w:pBdr>
        <w:top w:val="single" w:sz="4" w:space="10" w:color="000000"/>
        <w:left w:val="single" w:sz="4" w:space="10" w:color="000000"/>
        <w:bottom w:val="single" w:sz="4" w:space="10" w:color="000000"/>
        <w:right w:val="single" w:sz="4" w:space="10" w:color="000000"/>
      </w:pBdr>
      <w:shd w:fill="004F6E" w:val="clear"/>
      <w:spacing w:lineRule="auto" w:line="240"/>
      <w:jc w:val="center"/>
      <w:outlineLvl w:val="0"/>
    </w:pPr>
    <w:rPr>
      <w:b/>
      <w:bCs/>
      <w:color w:val="FFFFFF"/>
      <w:sz w:val="44"/>
      <w:szCs w:val="40"/>
    </w:rPr>
  </w:style>
  <w:style w:type="paragraph" w:styleId="Heading2">
    <w:name w:val="Heading 2"/>
    <w:basedOn w:val="Normal"/>
    <w:next w:val="Normal"/>
    <w:qFormat/>
    <w:pPr>
      <w:numPr>
        <w:ilvl w:val="1"/>
        <w:numId w:val="1"/>
      </w:numPr>
      <w:pBdr>
        <w:top w:val="single" w:sz="4" w:space="10" w:color="000000"/>
        <w:left w:val="single" w:sz="4" w:space="10" w:color="000000"/>
        <w:bottom w:val="single" w:sz="4" w:space="10" w:color="000000"/>
        <w:right w:val="single" w:sz="4" w:space="10" w:color="000000"/>
      </w:pBdr>
      <w:shd w:fill="004F6E" w:val="clear"/>
      <w:spacing w:before="480" w:after="240"/>
      <w:outlineLvl w:val="1"/>
    </w:pPr>
    <w:rPr>
      <w:b/>
      <w:bCs/>
      <w:color w:val="FFFFFF"/>
      <w:sz w:val="36"/>
      <w:szCs w:val="32"/>
    </w:rPr>
  </w:style>
  <w:style w:type="paragraph" w:styleId="Heading3">
    <w:name w:val="Heading 3"/>
    <w:basedOn w:val="Normal"/>
    <w:next w:val="Normal"/>
    <w:qFormat/>
    <w:pPr>
      <w:numPr>
        <w:ilvl w:val="2"/>
        <w:numId w:val="1"/>
      </w:numPr>
      <w:outlineLvl w:val="2"/>
    </w:pPr>
    <w:rPr>
      <w:sz w:val="28"/>
      <w:szCs w:val="24"/>
    </w:rPr>
  </w:style>
  <w:style w:type="character" w:styleId="WW8Num1z0">
    <w:name w:val="WW8Num1z0"/>
    <w:qFormat/>
    <w:rPr>
      <w:rFonts w:ascii="Symbol" w:hAnsi="Symbol" w:cs="Symbol"/>
      <w:szCs w:val="24"/>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cs="Arial"/>
      <w:color w:val="auto"/>
      <w:szCs w:val="24"/>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DefaultParagraphFont">
    <w:name w:val="Default Paragraph Font"/>
    <w:qFormat/>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rFonts w:ascii="Calibri" w:hAnsi="Calibri" w:eastAsia="Calibri" w:cs="Calibri"/>
      <w:sz w:val="20"/>
      <w:szCs w:val="20"/>
      <w:lang w:val="en-GB"/>
    </w:rPr>
  </w:style>
  <w:style w:type="character" w:styleId="CommentSubjectChar">
    <w:name w:val="Comment Subject Char"/>
    <w:basedOn w:val="CommentTextChar"/>
    <w:qFormat/>
    <w:rPr>
      <w:rFonts w:ascii="Calibri" w:hAnsi="Calibri" w:eastAsia="Calibri" w:cs="Calibri"/>
      <w:b/>
      <w:bCs/>
      <w:sz w:val="20"/>
      <w:szCs w:val="20"/>
      <w:lang w:val="en-GB"/>
    </w:rPr>
  </w:style>
  <w:style w:type="character" w:styleId="HeaderChar">
    <w:name w:val="Header Char"/>
    <w:basedOn w:val="DefaultParagraphFont"/>
    <w:qFormat/>
    <w:rPr>
      <w:rFonts w:ascii="Calibri" w:hAnsi="Calibri" w:eastAsia="Calibri" w:cs="Calibri"/>
      <w:lang w:val="en-GB"/>
    </w:rPr>
  </w:style>
  <w:style w:type="character" w:styleId="FooterChar">
    <w:name w:val="Footer Char"/>
    <w:basedOn w:val="DefaultParagraphFont"/>
    <w:qFormat/>
    <w:rPr>
      <w:rFonts w:ascii="Calibri" w:hAnsi="Calibri" w:eastAsia="Calibri" w:cs="Calibri"/>
      <w:lang w:val="en-GB"/>
    </w:rPr>
  </w:style>
  <w:style w:type="character" w:styleId="Heading2Char">
    <w:name w:val="Heading 2 Char"/>
    <w:basedOn w:val="DefaultParagraphFont"/>
    <w:qFormat/>
    <w:rPr>
      <w:rFonts w:ascii="Arial" w:hAnsi="Arial" w:eastAsia="Calibri" w:cs="Calibri"/>
      <w:color w:val="FFFFFF"/>
      <w:sz w:val="36"/>
      <w:szCs w:val="32"/>
      <w:shd w:fill="004F6E" w:val="clear"/>
      <w:lang w:val="en-GB"/>
    </w:rPr>
  </w:style>
  <w:style w:type="character" w:styleId="Heading3Char">
    <w:name w:val="Heading 3 Char"/>
    <w:basedOn w:val="DefaultParagraphFont"/>
    <w:qFormat/>
    <w:rPr>
      <w:rFonts w:ascii="Arial" w:hAnsi="Arial" w:eastAsia="Calibri" w:cs="Calibri"/>
      <w:sz w:val="28"/>
      <w:szCs w:val="24"/>
      <w:lang w:val="en-GB"/>
    </w:rPr>
  </w:style>
  <w:style w:type="character" w:styleId="Strong">
    <w:name w:val="Strong"/>
    <w:basedOn w:val="DefaultParagraphFont"/>
    <w:qFormat/>
    <w:rPr>
      <w:b/>
      <w:bCs/>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rFonts w:eastAsia="Arial" w:cs="Arial"/>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TextBody"/>
    <w:qFormat/>
    <w:pPr>
      <w:spacing w:before="92" w:after="240"/>
      <w:ind w:left="4012" w:right="4328" w:hanging="0"/>
      <w:jc w:val="center"/>
    </w:pPr>
    <w:rPr>
      <w:rFonts w:eastAsia="Arial" w:cs="Arial"/>
      <w:b/>
      <w:bCs/>
      <w:sz w:val="28"/>
      <w:szCs w:val="28"/>
    </w:rPr>
  </w:style>
  <w:style w:type="paragraph" w:styleId="ListParagraph">
    <w:name w:val="List Paragraph"/>
    <w:basedOn w:val="Normal"/>
    <w:qFormat/>
    <w:pPr>
      <w:spacing w:before="60" w:after="240"/>
    </w:pPr>
    <w:rPr/>
  </w:style>
  <w:style w:type="paragraph" w:styleId="TableParagraph">
    <w:name w:val="Table Paragraph"/>
    <w:basedOn w:val="Normal"/>
    <w:qFormat/>
    <w:pPr>
      <w:ind w:left="107" w:right="0" w:hanging="0"/>
    </w:pPr>
    <w:rPr/>
  </w:style>
  <w:style w:type="paragraph" w:styleId="Annotationtext">
    <w:name w:val="annotation text"/>
    <w:basedOn w:val="Normal"/>
    <w:qFormat/>
    <w:pPr/>
    <w:rPr>
      <w:sz w:val="20"/>
      <w:szCs w:val="20"/>
    </w:rPr>
  </w:style>
  <w:style w:type="paragraph" w:styleId="Annotationsubject">
    <w:name w:val="annotation subject"/>
    <w:basedOn w:val="Annotationtext"/>
    <w:next w:val="Annotationtext"/>
    <w:qFormat/>
    <w:pPr/>
    <w:rPr>
      <w:b/>
      <w:bC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pPr>
    <w:rPr/>
  </w:style>
  <w:style w:type="paragraph" w:styleId="Footer">
    <w:name w:val="Footer"/>
    <w:basedOn w:val="Normal"/>
    <w:pPr>
      <w:tabs>
        <w:tab w:val="clear" w:pos="720"/>
        <w:tab w:val="center" w:pos="4513" w:leader="none"/>
        <w:tab w:val="right" w:pos="9026" w:leader="none"/>
      </w:tabs>
    </w:pPr>
    <w:rPr/>
  </w:style>
  <w:style w:type="paragraph" w:styleId="Default">
    <w:name w:val="Default"/>
    <w:qFormat/>
    <w:pPr>
      <w:widowControl w:val="false"/>
      <w:suppressAutoHyphens w:val="true"/>
      <w:bidi w:val="0"/>
      <w:spacing w:before="0" w:after="0"/>
      <w:jc w:val="left"/>
    </w:pPr>
    <w:rPr>
      <w:rFonts w:ascii="Arial" w:hAnsi="Arial" w:eastAsia="Times New Roman" w:cs="Arial"/>
      <w:color w:val="000000"/>
      <w:kern w:val="0"/>
      <w:sz w:val="24"/>
      <w:szCs w:val="24"/>
      <w:lang w:val="en-GB" w:eastAsia="en-GB" w:bidi="ar-SA"/>
    </w:rPr>
  </w:style>
  <w:style w:type="paragraph" w:styleId="NormalWeb">
    <w:name w:val="Normal (Web)"/>
    <w:basedOn w:val="Normal"/>
    <w:qFormat/>
    <w:pPr>
      <w:widowControl/>
      <w:spacing w:lineRule="auto" w:line="240" w:before="280" w:after="280"/>
    </w:pPr>
    <w:rPr>
      <w:rFonts w:ascii="Times New Roman" w:hAnsi="Times New Roman" w:eastAsia="Times New Roman" w:cs="Times New Roman"/>
      <w:color w:val="auto"/>
      <w:szCs w:val="24"/>
      <w:lang w:eastAsia="en-GB"/>
    </w:rPr>
  </w:style>
  <w:style w:type="paragraph" w:styleId="Revision">
    <w:name w:val="Revision"/>
    <w:qFormat/>
    <w:pPr>
      <w:widowControl/>
      <w:suppressAutoHyphens w:val="true"/>
      <w:bidi w:val="0"/>
      <w:spacing w:before="0" w:after="0"/>
      <w:jc w:val="left"/>
    </w:pPr>
    <w:rPr>
      <w:rFonts w:ascii="Arial" w:hAnsi="Arial" w:eastAsia="Calibri" w:cs="Calibri"/>
      <w:color w:val="262626"/>
      <w:kern w:val="0"/>
      <w:sz w:val="24"/>
      <w:szCs w:val="22"/>
      <w:lang w:val="en-GB" w:eastAsia="en-US" w:bidi="ar-SA"/>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header" Target="header4.xml"/><Relationship Id="rId9" Type="http://schemas.openxmlformats.org/officeDocument/2006/relationships/footer" Target="footer4.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2.png"/>
</Relationships>
</file>

<file path=docProps/app.xml><?xml version="1.0" encoding="utf-8"?>
<Properties xmlns="http://schemas.openxmlformats.org/officeDocument/2006/extended-properties" xmlns:vt="http://schemas.openxmlformats.org/officeDocument/2006/docPropsVTypes">
  <Template>Normal.dotm</Template>
  <TotalTime>3</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2026-06-29T09:34:00Z</dcterms:created>
  <dc:creator>Caddy-Dale, Anna (Manchester Growth Company)</dc:creator>
  <dc:description/>
  <dc:language>en-US</dc:language>
  <cp:lastModifiedBy>Scoales Sarah</cp:lastModifiedBy>
  <cp:lastPrinted>1995-11-21T17:41:00Z</cp:lastPrinted>
  <dcterms:modified xsi:type="dcterms:W3CDTF">2026-06-29T09:46:00Z</dcterms:modified>
  <cp:revision>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0x01010039F157BCC7051E4F9C468500D16E67D8</vt:lpwstr>
  </property>
  <property fmtid="{D5CDD505-2E9C-101B-9397-08002B2CF9AE}" pid="4" name="Created">
    <vt:filetime>2018-12-06T00:00:00Z</vt:filetime>
  </property>
  <property fmtid="{D5CDD505-2E9C-101B-9397-08002B2CF9AE}" pid="5" name="Creator">
    <vt:lpwstr>Microsoft® Word 2016</vt:lpwstr>
  </property>
  <property fmtid="{D5CDD505-2E9C-101B-9397-08002B2CF9AE}" pid="6" name="DocSecurity">
    <vt:i4>2</vt:i4>
  </property>
  <property fmtid="{D5CDD505-2E9C-101B-9397-08002B2CF9AE}" pid="7" name="HyperlinksChanged">
    <vt:bool>0</vt:bool>
  </property>
  <property fmtid="{D5CDD505-2E9C-101B-9397-08002B2CF9AE}" pid="8" name="LastSaved">
    <vt:filetime>2021-02-17T00:00:00Z</vt:filetime>
  </property>
  <property fmtid="{D5CDD505-2E9C-101B-9397-08002B2CF9AE}" pid="9" name="LinksUpToDate">
    <vt:bool>0</vt:bool>
  </property>
  <property fmtid="{D5CDD505-2E9C-101B-9397-08002B2CF9AE}" pid="10" name="ScaleCrop">
    <vt:bool>0</vt:bool>
  </property>
  <property fmtid="{D5CDD505-2E9C-101B-9397-08002B2CF9AE}" pid="11" name="ShareDoc">
    <vt:bool>0</vt:bool>
  </property>
</Properties>
</file>