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media/image2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Role profile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Job title</w:t>
      </w:r>
      <w:r>
        <w:rPr>
          <w:rFonts w:cs="Arial"/>
          <w:szCs w:val="24"/>
        </w:rPr>
        <w:t>: Service Improvement Business Analyst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Grade:</w:t>
      </w:r>
      <w:r>
        <w:rPr>
          <w:rFonts w:cs="Arial"/>
          <w:szCs w:val="24"/>
        </w:rPr>
        <w:t xml:space="preserve"> Grade: 8 (subject to JE)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Business area:</w:t>
      </w:r>
      <w:r>
        <w:rPr>
          <w:rFonts w:cs="Arial"/>
          <w:szCs w:val="24"/>
        </w:rPr>
        <w:t xml:space="preserve"> Corporate Strategy, Governance &amp; Performance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Reporting line:</w:t>
      </w:r>
      <w:r>
        <w:rPr>
          <w:rFonts w:cs="Arial"/>
          <w:szCs w:val="24"/>
        </w:rPr>
        <w:t xml:space="preserve"> PMO Manager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Team:</w:t>
      </w:r>
      <w:r>
        <w:rPr>
          <w:rFonts w:cs="Arial"/>
          <w:szCs w:val="24"/>
        </w:rPr>
        <w:t xml:space="preserve"> Service Excellence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Job Purpose</w:t>
      </w:r>
    </w:p>
    <w:p>
      <w:pPr>
        <w:pStyle w:val="ListParagraph"/>
        <w:numPr>
          <w:ilvl w:val="0"/>
          <w:numId w:val="3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To support the delivery of structured, proactive and evidence-led service improvement activity across GMFRS, enabling the organisation to move from reactive problem-solving to preventative, root cause-driven improvement.</w:t>
      </w:r>
    </w:p>
    <w:p>
      <w:pPr>
        <w:pStyle w:val="ListParagraph"/>
        <w:numPr>
          <w:ilvl w:val="0"/>
          <w:numId w:val="3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To undertake business analysis, process mapping, and diagnostic activity to identify inefficiencies, failure demand, and opportunities for redesign, supporting improved performance and better organisational outcomes.</w:t>
      </w:r>
    </w:p>
    <w:p>
      <w:pPr>
        <w:sectPr>
          <w:headerReference w:type="default" r:id="rId2"/>
          <w:footerReference w:type="default" r:id="rId3"/>
          <w:type w:val="nextPage"/>
          <w:pgSz w:w="11906" w:h="16850"/>
          <w:pgMar w:left="1276" w:right="1410" w:header="709" w:top="766" w:footer="0" w:bottom="1418" w:gutter="0"/>
          <w:pgNumType w:fmt="decimal"/>
          <w:formProt w:val="false"/>
          <w:textDirection w:val="lrTb"/>
          <w:docGrid w:type="default" w:linePitch="326" w:charSpace="0"/>
        </w:sectPr>
        <w:pStyle w:val="ListParagraph"/>
        <w:numPr>
          <w:ilvl w:val="0"/>
          <w:numId w:val="3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To work collaboratively across directorates to deliver consistent improvement methodologies, strengthen organisational learning, support inspection readiness, and continuous improvement.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Key working relationships</w:t>
      </w:r>
    </w:p>
    <w:p>
      <w:pPr>
        <w:pStyle w:val="ListParagraph"/>
        <w:numPr>
          <w:ilvl w:val="1"/>
          <w:numId w:val="4"/>
        </w:numPr>
        <w:rPr>
          <w:rFonts w:cs="Arial"/>
          <w:szCs w:val="24"/>
        </w:rPr>
      </w:pPr>
      <w:r>
        <w:rPr>
          <w:rFonts w:cs="Arial"/>
          <w:szCs w:val="24"/>
        </w:rPr>
        <w:t>Service Improvement Project Lead</w:t>
      </w:r>
    </w:p>
    <w:p>
      <w:pPr>
        <w:pStyle w:val="ListParagraph"/>
        <w:numPr>
          <w:ilvl w:val="1"/>
          <w:numId w:val="4"/>
        </w:numPr>
        <w:rPr>
          <w:rFonts w:cs="Arial"/>
          <w:szCs w:val="24"/>
        </w:rPr>
      </w:pPr>
      <w:r>
        <w:rPr>
          <w:rFonts w:cs="Arial"/>
          <w:szCs w:val="24"/>
        </w:rPr>
        <w:t>Head of Corporate Strategy, Governance &amp; Performance</w:t>
      </w:r>
    </w:p>
    <w:p>
      <w:pPr>
        <w:pStyle w:val="ListParagraph"/>
        <w:numPr>
          <w:ilvl w:val="1"/>
          <w:numId w:val="4"/>
        </w:numPr>
        <w:rPr>
          <w:rFonts w:cs="Arial"/>
          <w:szCs w:val="24"/>
        </w:rPr>
      </w:pPr>
      <w:r>
        <w:rPr>
          <w:rFonts w:cs="Arial"/>
          <w:szCs w:val="24"/>
        </w:rPr>
        <w:t>Corporate Risk, Resources and Planning Directorate</w:t>
      </w:r>
    </w:p>
    <w:p>
      <w:pPr>
        <w:pStyle w:val="ListParagraph"/>
        <w:numPr>
          <w:ilvl w:val="1"/>
          <w:numId w:val="4"/>
        </w:numPr>
        <w:rPr>
          <w:rFonts w:cs="Arial"/>
          <w:szCs w:val="24"/>
        </w:rPr>
      </w:pPr>
      <w:r>
        <w:rPr>
          <w:rFonts w:cs="Arial"/>
          <w:szCs w:val="24"/>
        </w:rPr>
        <w:t>GMFRS Senior Leadership Team</w:t>
      </w:r>
    </w:p>
    <w:p>
      <w:pPr>
        <w:pStyle w:val="ListParagraph"/>
        <w:numPr>
          <w:ilvl w:val="1"/>
          <w:numId w:val="4"/>
        </w:numPr>
        <w:rPr>
          <w:rFonts w:cs="Arial"/>
          <w:szCs w:val="24"/>
        </w:rPr>
      </w:pPr>
      <w:r>
        <w:rPr>
          <w:rFonts w:cs="Arial"/>
          <w:szCs w:val="24"/>
        </w:rPr>
        <w:t>Directorate Leads and operational / professional leads</w:t>
      </w:r>
    </w:p>
    <w:p>
      <w:pPr>
        <w:pStyle w:val="ListParagraph"/>
        <w:numPr>
          <w:ilvl w:val="1"/>
          <w:numId w:val="4"/>
        </w:numPr>
        <w:rPr>
          <w:rFonts w:cs="Arial"/>
          <w:szCs w:val="24"/>
        </w:rPr>
      </w:pPr>
      <w:r>
        <w:rPr>
          <w:rFonts w:cs="Arial"/>
          <w:szCs w:val="24"/>
        </w:rPr>
        <w:t>Enabling teams – Finance, Digital, People, and Procurement</w:t>
      </w:r>
    </w:p>
    <w:p>
      <w:pPr>
        <w:pStyle w:val="ListParagraph"/>
        <w:numPr>
          <w:ilvl w:val="1"/>
          <w:numId w:val="4"/>
        </w:numPr>
        <w:rPr>
          <w:rFonts w:cs="Arial"/>
          <w:szCs w:val="24"/>
        </w:rPr>
      </w:pPr>
      <w:r>
        <w:rPr>
          <w:rFonts w:cs="Arial"/>
          <w:szCs w:val="24"/>
        </w:rPr>
        <w:t>GMCA teams and wider partners where improvement activity spans organisational boundaries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Key Responsibilities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>Undertake detailed business analysis activities to understand current processes, identify inefficiencies, risks, failure demand, and root causes of performance issues.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>Apply structured improvement methodologies, including process mapping, root cause analysis, and redesign techniques, to support service improvement and implementation.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>Work with stakeholders to gather requirements, define current and future state processes, identify options, and support the development of practical, evidence-based solutions.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>Support the delivery of a prioritised pipeline of service improvement activity aligned to organisational priorities and governance arrangements.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>Produce high-quality process maps, analytical outputs, reports, papers and briefing materials to support decision-making and implementation.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>Support the identification, tracking and realisation of benefits arising from improvement activity, ensuring changes are measurable, evidenced, and sustainable.</w:t>
      </w:r>
    </w:p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w="11906" w:h="16850"/>
          <w:pgMar w:left="720" w:right="720" w:header="709" w:top="766" w:footer="0" w:bottom="720" w:gutter="0"/>
          <w:pgNumType w:fmt="decimal"/>
          <w:formProt w:val="false"/>
          <w:titlePg/>
          <w:textDirection w:val="lrTb"/>
          <w:docGrid w:type="default" w:linePitch="326" w:charSpace="0"/>
        </w:sect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>Maintain accurate records of activity, actions, decisions, risks, issues, and outputs associated with assigned improvement work.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>Contribute to the effective use of the Service’s PPM system and associated tools to plan, manage, and monitor improvement activity and outputs.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>Work collaboratively across directorates to support cross-service improvement initiatives and promote shared learning and consistency of approach.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>Provide professional advice, guidance, and constructive challenge to support effective problem definition, option development, and improvement delivery.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>Support the embedding of a culture of continuous improvement, innovation, and organisational learning across GMFRS.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Assist in preparing updates, reports and evidence for senior leadership, governance boards and inspection activity where required. 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Support knowledge transfer and capability building within directorates to help ensure improvements are embedded and sustainable beyond the life of the role. 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Maintain awareness of best practice, emerging methodologies and sector developments in service improvement, business analysis, and public sector transformation. 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Undertake such additional duties as are reasonably commensurate with level of the post. </w:t>
      </w:r>
    </w:p>
    <w:p>
      <w:pPr>
        <w:pStyle w:val="ListParagraph"/>
        <w:numPr>
          <w:ilvl w:val="1"/>
          <w:numId w:val="6"/>
        </w:numPr>
        <w:rPr>
          <w:rFonts w:cs="Arial"/>
          <w:szCs w:val="24"/>
        </w:rPr>
      </w:pPr>
      <w:r>
        <w:rPr>
          <w:rFonts w:cs="Arial"/>
          <w:szCs w:val="24"/>
        </w:rPr>
        <w:t>The post holder will carry out their duties with full regard to the organisation’s strategies and policies including Equal Opportunities and Health &amp; Safety and will demonstrate a commitment to GM Public Service principles.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General</w:t>
      </w:r>
    </w:p>
    <w:p>
      <w:pPr>
        <w:pStyle w:val="ListParagraph"/>
        <w:numPr>
          <w:ilvl w:val="0"/>
          <w:numId w:val="7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To always hold yourself and others to a high standard of professionalism, demonstrating your commitment to our values and behaviours as well as ensuring service confidentiality is maintained throughout all we do.</w:t>
      </w:r>
    </w:p>
    <w:p>
      <w:pPr>
        <w:pStyle w:val="ListParagraph"/>
        <w:numPr>
          <w:ilvl w:val="0"/>
          <w:numId w:val="7"/>
        </w:numPr>
        <w:rPr>
          <w:rFonts w:eastAsia="Arial" w:cs="Arial"/>
          <w:color w:val="auto"/>
          <w:szCs w:val="24"/>
        </w:rPr>
      </w:pPr>
      <w:r>
        <w:rPr>
          <w:rFonts w:eastAsia="Arial" w:cs="Arial"/>
          <w:color w:val="auto"/>
          <w:szCs w:val="24"/>
        </w:rPr>
        <w:t>Working with other teams internally and externally collaboration is maximised and supporting on activity where appropriate.</w:t>
      </w:r>
    </w:p>
    <w:p>
      <w:pPr>
        <w:pStyle w:val="ListParagraph"/>
        <w:numPr>
          <w:ilvl w:val="0"/>
          <w:numId w:val="7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Ensure the services delivered internally and externally are inclusive and accessible.</w:t>
      </w:r>
    </w:p>
    <w:p>
      <w:pPr>
        <w:pStyle w:val="ListParagraph"/>
        <w:numPr>
          <w:ilvl w:val="0"/>
          <w:numId w:val="7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 xml:space="preserve">To align work area to the Sustainability Strategy and ensure work practices are inclusive of this value &amp; strategic intent. </w:t>
      </w:r>
    </w:p>
    <w:p>
      <w:pPr>
        <w:pStyle w:val="Normal"/>
        <w:rPr>
          <w:rFonts w:cs="Arial"/>
          <w:b/>
          <w:b/>
          <w:color w:val="auto"/>
          <w:szCs w:val="24"/>
        </w:rPr>
      </w:pPr>
      <w:r>
        <w:rPr>
          <w:rFonts w:cs="Arial"/>
          <w:b/>
          <w:color w:val="auto"/>
          <w:szCs w:val="24"/>
        </w:rPr>
        <w:t>NB: This list of duties and responsibilities is by no means exhaustive, and the post holder may be required to undertake other relevant and appropriate duties as required.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Knowledge, Skills, and Experience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Educated to degree level or equivalent experience in a relevant discipline such as business analysis, service improvement, public administration, or a related field.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Demonstrable experience of business analysis, process mapping, and/or service improvement activity within a complex organisation.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Knowledge of improvement methodologies and tools, including root cause analysis, process redesign and benefits tracking techniques.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Experience of working with stakeholders to gather requirements and translate these into practical, evidence-based solutions.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Strong analytical and problem-solving skills, with the ability to interpret data, identify issues and develop clear recommendations.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Experience of producing high-quality analytical outputs, process documentation, reports and briefing materials.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Understanding of governance, performance, assurance, and the importance of benefits realisation in improvement activity.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Ability to manage a varied workload and contribute to multiple improvement activities in a fast-paced environment.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Strong written and verbal communication skills, including the ability to explain complex information clearly to different audiences.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Strong interpersonal skills, with the ability to build effective working relationships and challenge constructively in a collaborative and pragmatic way.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Experience of working within public sector or partnership environments is desirable; experience in a blue light service is advantageous.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Good ICT skills, including Microsoft 365 applications and experience of using systems to track and manage work activity.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Strong organisational skills, attention to detail and the ability to maintain accurate records and documentation.</w:t>
      </w:r>
    </w:p>
    <w:p>
      <w:pPr>
        <w:pStyle w:val="ListParagraph"/>
        <w:numPr>
          <w:ilvl w:val="1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Flexible and adaptable approach to working across organisational boundaries.</w:t>
      </w:r>
    </w:p>
    <w:p>
      <w:pPr>
        <w:pStyle w:val="ListParagraph"/>
        <w:ind w:left="720" w:right="0" w:hanging="0"/>
        <w:rPr>
          <w:rFonts w:cs="Arial"/>
          <w:szCs w:val="24"/>
        </w:rPr>
      </w:pPr>
      <w:r>
        <w:rPr>
          <w:rFonts w:cs="Arial"/>
          <w:szCs w:val="24"/>
        </w:rPr>
        <w:t>Any DBS requirement should be confirmed through HR advice and the formal job evaluation / recruitment process, dependent on the final scope of the role.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Corporate Duties</w:t>
      </w:r>
    </w:p>
    <w:p>
      <w:pPr>
        <w:pStyle w:val="Normal"/>
        <w:rPr/>
      </w:pPr>
      <w:r>
        <w:rPr>
          <w:rFonts w:cs="Arial"/>
          <w:i/>
          <w:iCs/>
          <w:sz w:val="22"/>
        </w:rPr>
        <w:t>Do not behave in way which discriminates against your fellow employees, or potential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employees on the grounds of their sex, sexual orientation, marital status, race, religion,</w:t>
      </w:r>
      <w:r>
        <w:rPr>
          <w:rFonts w:cs="Arial"/>
          <w:i/>
          <w:iCs/>
          <w:spacing w:val="-59"/>
          <w:sz w:val="22"/>
        </w:rPr>
        <w:t xml:space="preserve"> </w:t>
      </w:r>
      <w:r>
        <w:rPr>
          <w:rFonts w:cs="Arial"/>
          <w:i/>
          <w:iCs/>
          <w:sz w:val="22"/>
        </w:rPr>
        <w:t>creed,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colour,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nationality,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ethnic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origin,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or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disability.</w:t>
      </w:r>
    </w:p>
    <w:p>
      <w:pPr>
        <w:pStyle w:val="Normal"/>
        <w:rPr/>
      </w:pPr>
      <w:r>
        <w:rPr>
          <w:rFonts w:cs="Arial"/>
          <w:i/>
          <w:iCs/>
          <w:sz w:val="22"/>
        </w:rPr>
        <w:t>Safeguard at all times confidentiality of information relating to staff and pensioners. Refrain</w:t>
      </w:r>
      <w:r>
        <w:rPr>
          <w:rFonts w:cs="Arial"/>
          <w:i/>
          <w:iCs/>
          <w:spacing w:val="-3"/>
          <w:sz w:val="22"/>
        </w:rPr>
        <w:t xml:space="preserve"> </w:t>
      </w:r>
      <w:r>
        <w:rPr>
          <w:rFonts w:cs="Arial"/>
          <w:i/>
          <w:iCs/>
          <w:sz w:val="22"/>
        </w:rPr>
        <w:t>from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smoking</w:t>
      </w:r>
      <w:r>
        <w:rPr>
          <w:rFonts w:cs="Arial"/>
          <w:i/>
          <w:iCs/>
          <w:spacing w:val="4"/>
          <w:sz w:val="22"/>
        </w:rPr>
        <w:t xml:space="preserve"> </w:t>
      </w:r>
      <w:r>
        <w:rPr>
          <w:rFonts w:cs="Arial"/>
          <w:i/>
          <w:iCs/>
          <w:sz w:val="22"/>
        </w:rPr>
        <w:t>in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any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areas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Service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premises.</w:t>
      </w:r>
    </w:p>
    <w:p>
      <w:pPr>
        <w:pStyle w:val="Normal"/>
        <w:rPr/>
      </w:pPr>
      <w:r>
        <w:rPr>
          <w:rFonts w:cs="Arial"/>
          <w:i/>
          <w:iCs/>
          <w:sz w:val="22"/>
        </w:rPr>
        <w:t>Behave in a manner that ensures the security of property and resources.</w:t>
      </w:r>
      <w:r>
        <w:rPr>
          <w:rFonts w:cs="Arial"/>
          <w:i/>
          <w:iCs/>
          <w:spacing w:val="-59"/>
          <w:sz w:val="22"/>
        </w:rPr>
        <w:t xml:space="preserve"> </w:t>
      </w:r>
      <w:r>
        <w:rPr>
          <w:rFonts w:cs="Arial"/>
          <w:i/>
          <w:iCs/>
          <w:sz w:val="22"/>
        </w:rPr>
        <w:t>Abide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by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all relevant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Service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Policies and Procedures.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2"/>
        </w:rPr>
        <w:t>Records Management / Data Protection</w:t>
      </w:r>
      <w:r>
        <w:rPr>
          <w:rFonts w:cs="Arial"/>
          <w:i/>
          <w:iCs/>
          <w:sz w:val="22"/>
        </w:rPr>
        <w:t xml:space="preserve"> - As a GMCA employee, you have a legal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pacing w:val="-1"/>
          <w:sz w:val="22"/>
        </w:rPr>
        <w:t>responsibility</w:t>
      </w:r>
      <w:r>
        <w:rPr>
          <w:rFonts w:cs="Arial"/>
          <w:i/>
          <w:iCs/>
          <w:spacing w:val="-16"/>
          <w:sz w:val="22"/>
        </w:rPr>
        <w:t xml:space="preserve"> </w:t>
      </w:r>
      <w:r>
        <w:rPr>
          <w:rFonts w:cs="Arial"/>
          <w:i/>
          <w:iCs/>
          <w:spacing w:val="-1"/>
          <w:sz w:val="22"/>
        </w:rPr>
        <w:t>for</w:t>
      </w:r>
      <w:r>
        <w:rPr>
          <w:rFonts w:cs="Arial"/>
          <w:i/>
          <w:iCs/>
          <w:spacing w:val="-15"/>
          <w:sz w:val="22"/>
        </w:rPr>
        <w:t xml:space="preserve"> </w:t>
      </w:r>
      <w:r>
        <w:rPr>
          <w:rFonts w:cs="Arial"/>
          <w:i/>
          <w:iCs/>
          <w:spacing w:val="-1"/>
          <w:sz w:val="22"/>
        </w:rPr>
        <w:t>all</w:t>
      </w:r>
      <w:r>
        <w:rPr>
          <w:rFonts w:cs="Arial"/>
          <w:i/>
          <w:iCs/>
          <w:spacing w:val="-14"/>
          <w:sz w:val="22"/>
        </w:rPr>
        <w:t xml:space="preserve"> </w:t>
      </w:r>
      <w:r>
        <w:rPr>
          <w:rFonts w:cs="Arial"/>
          <w:i/>
          <w:iCs/>
          <w:spacing w:val="-1"/>
          <w:sz w:val="22"/>
        </w:rPr>
        <w:t>records</w:t>
      </w:r>
      <w:r>
        <w:rPr>
          <w:rFonts w:cs="Arial"/>
          <w:i/>
          <w:iCs/>
          <w:spacing w:val="-13"/>
          <w:sz w:val="22"/>
        </w:rPr>
        <w:t xml:space="preserve"> </w:t>
      </w:r>
      <w:r>
        <w:rPr>
          <w:rFonts w:cs="Arial"/>
          <w:i/>
          <w:iCs/>
          <w:sz w:val="22"/>
        </w:rPr>
        <w:t>(including</w:t>
      </w:r>
      <w:r>
        <w:rPr>
          <w:rFonts w:cs="Arial"/>
          <w:i/>
          <w:iCs/>
          <w:spacing w:val="-11"/>
          <w:sz w:val="22"/>
        </w:rPr>
        <w:t xml:space="preserve"> </w:t>
      </w:r>
      <w:r>
        <w:rPr>
          <w:rFonts w:cs="Arial"/>
          <w:i/>
          <w:iCs/>
          <w:sz w:val="22"/>
        </w:rPr>
        <w:t>employee</w:t>
      </w:r>
      <w:r>
        <w:rPr>
          <w:rFonts w:cs="Arial"/>
          <w:i/>
          <w:iCs/>
          <w:spacing w:val="-13"/>
          <w:sz w:val="22"/>
        </w:rPr>
        <w:t xml:space="preserve"> </w:t>
      </w:r>
      <w:r>
        <w:rPr>
          <w:rFonts w:cs="Arial"/>
          <w:i/>
          <w:iCs/>
          <w:sz w:val="22"/>
        </w:rPr>
        <w:t>health,</w:t>
      </w:r>
      <w:r>
        <w:rPr>
          <w:rFonts w:cs="Arial"/>
          <w:i/>
          <w:iCs/>
          <w:spacing w:val="-15"/>
          <w:sz w:val="22"/>
        </w:rPr>
        <w:t xml:space="preserve"> </w:t>
      </w:r>
      <w:r>
        <w:rPr>
          <w:rFonts w:cs="Arial"/>
          <w:i/>
          <w:iCs/>
          <w:sz w:val="22"/>
        </w:rPr>
        <w:t>financial,</w:t>
      </w:r>
      <w:r>
        <w:rPr>
          <w:rFonts w:cs="Arial"/>
          <w:i/>
          <w:iCs/>
          <w:spacing w:val="-14"/>
          <w:sz w:val="22"/>
        </w:rPr>
        <w:t xml:space="preserve"> </w:t>
      </w:r>
      <w:r>
        <w:rPr>
          <w:rFonts w:cs="Arial"/>
          <w:i/>
          <w:iCs/>
          <w:sz w:val="22"/>
        </w:rPr>
        <w:t>personal,</w:t>
      </w:r>
      <w:r>
        <w:rPr>
          <w:rFonts w:cs="Arial"/>
          <w:i/>
          <w:iCs/>
          <w:spacing w:val="-17"/>
          <w:sz w:val="22"/>
        </w:rPr>
        <w:t xml:space="preserve"> </w:t>
      </w:r>
      <w:r>
        <w:rPr>
          <w:rFonts w:cs="Arial"/>
          <w:i/>
          <w:iCs/>
          <w:sz w:val="22"/>
        </w:rPr>
        <w:t>and</w:t>
      </w:r>
      <w:r>
        <w:rPr>
          <w:rFonts w:cs="Arial"/>
          <w:i/>
          <w:iCs/>
          <w:spacing w:val="-13"/>
          <w:sz w:val="22"/>
        </w:rPr>
        <w:t xml:space="preserve"> </w:t>
      </w:r>
      <w:r>
        <w:rPr>
          <w:rFonts w:cs="Arial"/>
          <w:i/>
          <w:iCs/>
          <w:sz w:val="22"/>
        </w:rPr>
        <w:t>administrative)</w:t>
      </w:r>
      <w:r>
        <w:rPr>
          <w:rFonts w:cs="Arial"/>
          <w:i/>
          <w:iCs/>
          <w:spacing w:val="-58"/>
          <w:sz w:val="22"/>
        </w:rPr>
        <w:t xml:space="preserve"> </w:t>
      </w:r>
      <w:r>
        <w:rPr>
          <w:rFonts w:cs="Arial"/>
          <w:i/>
          <w:iCs/>
          <w:sz w:val="22"/>
        </w:rPr>
        <w:t>that you gather or use as part of your work with the Service. The records may be paper,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electronic, audio or videotapes. You must consult your manager if you have any doubt as to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correct management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-3"/>
          <w:sz w:val="22"/>
        </w:rPr>
        <w:t xml:space="preserve"> </w:t>
      </w:r>
      <w:r>
        <w:rPr>
          <w:rFonts w:cs="Arial"/>
          <w:i/>
          <w:iCs/>
          <w:sz w:val="22"/>
        </w:rPr>
        <w:t>records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with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which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you work.</w:t>
      </w:r>
    </w:p>
    <w:p>
      <w:pPr>
        <w:pStyle w:val="Normal"/>
        <w:rPr/>
      </w:pPr>
      <w:r>
        <w:rPr>
          <w:rFonts w:cs="Arial"/>
          <w:b/>
          <w:bCs/>
          <w:i/>
          <w:iCs/>
          <w:spacing w:val="-1"/>
          <w:sz w:val="22"/>
        </w:rPr>
        <w:t>Confidentiality</w:t>
      </w:r>
      <w:r>
        <w:rPr>
          <w:rFonts w:cs="Arial"/>
          <w:b/>
          <w:bCs/>
          <w:i/>
          <w:iCs/>
          <w:spacing w:val="-15"/>
          <w:sz w:val="22"/>
        </w:rPr>
        <w:t xml:space="preserve"> </w:t>
      </w:r>
      <w:r>
        <w:rPr>
          <w:rFonts w:cs="Arial"/>
          <w:b/>
          <w:bCs/>
          <w:i/>
          <w:iCs/>
          <w:sz w:val="22"/>
        </w:rPr>
        <w:t>and</w:t>
      </w:r>
      <w:r>
        <w:rPr>
          <w:rFonts w:cs="Arial"/>
          <w:b/>
          <w:bCs/>
          <w:i/>
          <w:iCs/>
          <w:spacing w:val="-12"/>
          <w:sz w:val="22"/>
        </w:rPr>
        <w:t xml:space="preserve"> </w:t>
      </w:r>
      <w:r>
        <w:rPr>
          <w:rFonts w:cs="Arial"/>
          <w:b/>
          <w:bCs/>
          <w:i/>
          <w:iCs/>
          <w:sz w:val="22"/>
        </w:rPr>
        <w:t>Information</w:t>
      </w:r>
      <w:r>
        <w:rPr>
          <w:rFonts w:cs="Arial"/>
          <w:b/>
          <w:bCs/>
          <w:i/>
          <w:iCs/>
          <w:spacing w:val="-13"/>
          <w:sz w:val="22"/>
        </w:rPr>
        <w:t xml:space="preserve"> </w:t>
      </w:r>
      <w:r>
        <w:rPr>
          <w:rFonts w:cs="Arial"/>
          <w:b/>
          <w:bCs/>
          <w:i/>
          <w:iCs/>
          <w:sz w:val="22"/>
        </w:rPr>
        <w:t>Security</w:t>
      </w:r>
      <w:r>
        <w:rPr>
          <w:rFonts w:cs="Arial"/>
          <w:i/>
          <w:iCs/>
          <w:spacing w:val="-16"/>
          <w:sz w:val="22"/>
        </w:rPr>
        <w:t xml:space="preserve"> </w:t>
      </w:r>
      <w:r>
        <w:rPr>
          <w:rFonts w:cs="Arial"/>
          <w:i/>
          <w:iCs/>
          <w:sz w:val="22"/>
        </w:rPr>
        <w:t>-</w:t>
      </w:r>
      <w:r>
        <w:rPr>
          <w:rFonts w:cs="Arial"/>
          <w:i/>
          <w:iCs/>
          <w:spacing w:val="-10"/>
          <w:sz w:val="22"/>
        </w:rPr>
        <w:t xml:space="preserve"> </w:t>
      </w:r>
      <w:r>
        <w:rPr>
          <w:rFonts w:cs="Arial"/>
          <w:i/>
          <w:iCs/>
          <w:sz w:val="22"/>
        </w:rPr>
        <w:t>As</w:t>
      </w:r>
      <w:r>
        <w:rPr>
          <w:rFonts w:cs="Arial"/>
          <w:i/>
          <w:iCs/>
          <w:spacing w:val="-11"/>
          <w:sz w:val="22"/>
        </w:rPr>
        <w:t xml:space="preserve"> </w:t>
      </w:r>
      <w:r>
        <w:rPr>
          <w:rFonts w:cs="Arial"/>
          <w:i/>
          <w:iCs/>
          <w:sz w:val="22"/>
        </w:rPr>
        <w:t>a</w:t>
      </w:r>
      <w:r>
        <w:rPr>
          <w:rFonts w:cs="Arial"/>
          <w:i/>
          <w:iCs/>
          <w:spacing w:val="-16"/>
          <w:sz w:val="22"/>
        </w:rPr>
        <w:t xml:space="preserve"> </w:t>
      </w:r>
      <w:r>
        <w:rPr>
          <w:rFonts w:cs="Arial"/>
          <w:i/>
          <w:iCs/>
          <w:sz w:val="22"/>
        </w:rPr>
        <w:t>GMCA</w:t>
      </w:r>
      <w:r>
        <w:rPr>
          <w:rFonts w:cs="Arial"/>
          <w:i/>
          <w:iCs/>
          <w:spacing w:val="-11"/>
          <w:sz w:val="22"/>
        </w:rPr>
        <w:t xml:space="preserve"> </w:t>
      </w:r>
      <w:r>
        <w:rPr>
          <w:rFonts w:cs="Arial"/>
          <w:i/>
          <w:iCs/>
          <w:sz w:val="22"/>
        </w:rPr>
        <w:t>employee</w:t>
      </w:r>
      <w:r>
        <w:rPr>
          <w:rFonts w:cs="Arial"/>
          <w:i/>
          <w:iCs/>
          <w:spacing w:val="-12"/>
          <w:sz w:val="22"/>
        </w:rPr>
        <w:t xml:space="preserve"> </w:t>
      </w:r>
      <w:r>
        <w:rPr>
          <w:rFonts w:cs="Arial"/>
          <w:i/>
          <w:iCs/>
          <w:sz w:val="22"/>
        </w:rPr>
        <w:t>you</w:t>
      </w:r>
      <w:r>
        <w:rPr>
          <w:rFonts w:cs="Arial"/>
          <w:i/>
          <w:iCs/>
          <w:spacing w:val="-12"/>
          <w:sz w:val="22"/>
        </w:rPr>
        <w:t xml:space="preserve"> </w:t>
      </w:r>
      <w:r>
        <w:rPr>
          <w:rFonts w:cs="Arial"/>
          <w:i/>
          <w:iCs/>
          <w:sz w:val="22"/>
        </w:rPr>
        <w:t>are</w:t>
      </w:r>
      <w:r>
        <w:rPr>
          <w:rFonts w:cs="Arial"/>
          <w:i/>
          <w:iCs/>
          <w:spacing w:val="-11"/>
          <w:sz w:val="22"/>
        </w:rPr>
        <w:t xml:space="preserve"> </w:t>
      </w:r>
      <w:r>
        <w:rPr>
          <w:rFonts w:cs="Arial"/>
          <w:i/>
          <w:iCs/>
          <w:sz w:val="22"/>
        </w:rPr>
        <w:t>required</w:t>
      </w:r>
      <w:r>
        <w:rPr>
          <w:rFonts w:cs="Arial"/>
          <w:i/>
          <w:iCs/>
          <w:spacing w:val="-15"/>
          <w:sz w:val="22"/>
        </w:rPr>
        <w:t xml:space="preserve"> </w:t>
      </w:r>
      <w:r>
        <w:rPr>
          <w:rFonts w:cs="Arial"/>
          <w:i/>
          <w:iCs/>
          <w:sz w:val="22"/>
        </w:rPr>
        <w:t>to</w:t>
      </w:r>
      <w:r>
        <w:rPr>
          <w:rFonts w:cs="Arial"/>
          <w:i/>
          <w:iCs/>
          <w:spacing w:val="-12"/>
          <w:sz w:val="22"/>
        </w:rPr>
        <w:t xml:space="preserve"> </w:t>
      </w:r>
      <w:r>
        <w:rPr>
          <w:rFonts w:cs="Arial"/>
          <w:i/>
          <w:iCs/>
          <w:sz w:val="22"/>
        </w:rPr>
        <w:t>uphold</w:t>
      </w:r>
      <w:r>
        <w:rPr>
          <w:rFonts w:cs="Arial"/>
          <w:i/>
          <w:iCs/>
          <w:spacing w:val="-58"/>
          <w:sz w:val="22"/>
        </w:rPr>
        <w:t xml:space="preserve"> </w:t>
      </w:r>
      <w:r>
        <w:rPr>
          <w:rFonts w:cs="Arial"/>
          <w:i/>
          <w:iCs/>
          <w:sz w:val="22"/>
        </w:rPr>
        <w:t>the confidentiality of all records held by the GMCA, whether employee records or GMCA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information.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This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duty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lasts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indefinitely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and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will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continue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after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you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leave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GMCA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employment. All employees must maintain confidentiality and abide by the Data Protection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Act.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2"/>
        </w:rPr>
        <w:t>Data</w:t>
      </w:r>
      <w:r>
        <w:rPr>
          <w:rFonts w:cs="Arial"/>
          <w:b/>
          <w:bCs/>
          <w:i/>
          <w:iCs/>
          <w:spacing w:val="1"/>
          <w:sz w:val="22"/>
        </w:rPr>
        <w:t xml:space="preserve"> </w:t>
      </w:r>
      <w:r>
        <w:rPr>
          <w:rFonts w:cs="Arial"/>
          <w:b/>
          <w:bCs/>
          <w:i/>
          <w:iCs/>
          <w:sz w:val="22"/>
        </w:rPr>
        <w:t>Quality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-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All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staff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are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personally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responsible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for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quality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data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entered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by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themselves, or on their behalf, on GMCAs computerised systems or manual records (paper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records) and must ensure that such data is entered accurately and, in a timely manner, to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ensure high</w:t>
      </w:r>
      <w:r>
        <w:rPr>
          <w:rFonts w:cs="Arial"/>
          <w:i/>
          <w:iCs/>
          <w:spacing w:val="-3"/>
          <w:sz w:val="22"/>
        </w:rPr>
        <w:t xml:space="preserve"> </w:t>
      </w:r>
      <w:r>
        <w:rPr>
          <w:rFonts w:cs="Arial"/>
          <w:i/>
          <w:iCs/>
          <w:sz w:val="22"/>
        </w:rPr>
        <w:t>standards of data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quality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in accordance with Departmental protocols. To ensure data is handled in a secure manner protecting the confidentiality of any personal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data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held in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meeting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requirements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-3"/>
          <w:sz w:val="22"/>
        </w:rPr>
        <w:t xml:space="preserve"> </w:t>
      </w:r>
      <w:r>
        <w:rPr>
          <w:rFonts w:cs="Arial"/>
          <w:i/>
          <w:iCs/>
          <w:sz w:val="22"/>
        </w:rPr>
        <w:t>Data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Protection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Act.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2"/>
        </w:rPr>
        <w:t>Health and Safety</w:t>
      </w:r>
      <w:r>
        <w:rPr>
          <w:rFonts w:cs="Arial"/>
          <w:i/>
          <w:iCs/>
          <w:sz w:val="22"/>
        </w:rPr>
        <w:t xml:space="preserve"> - All employees of GMCA have a statutory duty of care for their own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personal</w:t>
      </w:r>
      <w:r>
        <w:rPr>
          <w:rFonts w:cs="Arial"/>
          <w:i/>
          <w:iCs/>
          <w:spacing w:val="-9"/>
          <w:sz w:val="22"/>
        </w:rPr>
        <w:t xml:space="preserve"> </w:t>
      </w:r>
      <w:r>
        <w:rPr>
          <w:rFonts w:cs="Arial"/>
          <w:i/>
          <w:iCs/>
          <w:sz w:val="22"/>
        </w:rPr>
        <w:t>safety</w:t>
      </w:r>
      <w:r>
        <w:rPr>
          <w:rFonts w:cs="Arial"/>
          <w:i/>
          <w:iCs/>
          <w:spacing w:val="-9"/>
          <w:sz w:val="22"/>
        </w:rPr>
        <w:t xml:space="preserve"> </w:t>
      </w:r>
      <w:r>
        <w:rPr>
          <w:rFonts w:cs="Arial"/>
          <w:i/>
          <w:iCs/>
          <w:sz w:val="22"/>
        </w:rPr>
        <w:t>and</w:t>
      </w:r>
      <w:r>
        <w:rPr>
          <w:rFonts w:cs="Arial"/>
          <w:i/>
          <w:iCs/>
          <w:spacing w:val="-8"/>
          <w:sz w:val="22"/>
        </w:rPr>
        <w:t xml:space="preserve"> </w:t>
      </w:r>
      <w:r>
        <w:rPr>
          <w:rFonts w:cs="Arial"/>
          <w:i/>
          <w:iCs/>
          <w:sz w:val="22"/>
        </w:rPr>
        <w:t>that</w:t>
      </w:r>
      <w:r>
        <w:rPr>
          <w:rFonts w:cs="Arial"/>
          <w:i/>
          <w:iCs/>
          <w:spacing w:val="-9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-3"/>
          <w:sz w:val="22"/>
        </w:rPr>
        <w:t xml:space="preserve"> </w:t>
      </w:r>
      <w:r>
        <w:rPr>
          <w:rFonts w:cs="Arial"/>
          <w:i/>
          <w:iCs/>
          <w:sz w:val="22"/>
        </w:rPr>
        <w:t>others</w:t>
      </w:r>
      <w:r>
        <w:rPr>
          <w:rFonts w:cs="Arial"/>
          <w:i/>
          <w:iCs/>
          <w:spacing w:val="-7"/>
          <w:sz w:val="22"/>
        </w:rPr>
        <w:t xml:space="preserve"> </w:t>
      </w:r>
      <w:r>
        <w:rPr>
          <w:rFonts w:cs="Arial"/>
          <w:i/>
          <w:iCs/>
          <w:sz w:val="22"/>
        </w:rPr>
        <w:t>who</w:t>
      </w:r>
      <w:r>
        <w:rPr>
          <w:rFonts w:cs="Arial"/>
          <w:i/>
          <w:iCs/>
          <w:spacing w:val="-7"/>
          <w:sz w:val="22"/>
        </w:rPr>
        <w:t xml:space="preserve"> </w:t>
      </w:r>
      <w:r>
        <w:rPr>
          <w:rFonts w:cs="Arial"/>
          <w:i/>
          <w:iCs/>
          <w:sz w:val="22"/>
        </w:rPr>
        <w:t>may</w:t>
      </w:r>
      <w:r>
        <w:rPr>
          <w:rFonts w:cs="Arial"/>
          <w:i/>
          <w:iCs/>
          <w:spacing w:val="-10"/>
          <w:sz w:val="22"/>
        </w:rPr>
        <w:t xml:space="preserve"> </w:t>
      </w:r>
      <w:r>
        <w:rPr>
          <w:rFonts w:cs="Arial"/>
          <w:i/>
          <w:iCs/>
          <w:sz w:val="22"/>
        </w:rPr>
        <w:t>be</w:t>
      </w:r>
      <w:r>
        <w:rPr>
          <w:rFonts w:cs="Arial"/>
          <w:i/>
          <w:iCs/>
          <w:spacing w:val="-8"/>
          <w:sz w:val="22"/>
        </w:rPr>
        <w:t xml:space="preserve"> </w:t>
      </w:r>
      <w:r>
        <w:rPr>
          <w:rFonts w:cs="Arial"/>
          <w:i/>
          <w:iCs/>
          <w:sz w:val="22"/>
        </w:rPr>
        <w:t>affected</w:t>
      </w:r>
      <w:r>
        <w:rPr>
          <w:rFonts w:cs="Arial"/>
          <w:i/>
          <w:iCs/>
          <w:spacing w:val="-7"/>
          <w:sz w:val="22"/>
        </w:rPr>
        <w:t xml:space="preserve"> </w:t>
      </w:r>
      <w:r>
        <w:rPr>
          <w:rFonts w:cs="Arial"/>
          <w:i/>
          <w:iCs/>
          <w:sz w:val="22"/>
        </w:rPr>
        <w:t>by</w:t>
      </w:r>
      <w:r>
        <w:rPr>
          <w:rFonts w:cs="Arial"/>
          <w:i/>
          <w:iCs/>
          <w:spacing w:val="-10"/>
          <w:sz w:val="22"/>
        </w:rPr>
        <w:t xml:space="preserve"> </w:t>
      </w:r>
      <w:r>
        <w:rPr>
          <w:rFonts w:cs="Arial"/>
          <w:i/>
          <w:iCs/>
          <w:sz w:val="22"/>
        </w:rPr>
        <w:t>their</w:t>
      </w:r>
      <w:r>
        <w:rPr>
          <w:rFonts w:cs="Arial"/>
          <w:i/>
          <w:iCs/>
          <w:spacing w:val="-6"/>
          <w:sz w:val="22"/>
        </w:rPr>
        <w:t xml:space="preserve"> </w:t>
      </w:r>
      <w:r>
        <w:rPr>
          <w:rFonts w:cs="Arial"/>
          <w:i/>
          <w:iCs/>
          <w:sz w:val="22"/>
        </w:rPr>
        <w:t>acts</w:t>
      </w:r>
      <w:r>
        <w:rPr>
          <w:rFonts w:cs="Arial"/>
          <w:i/>
          <w:iCs/>
          <w:spacing w:val="-7"/>
          <w:sz w:val="22"/>
        </w:rPr>
        <w:t xml:space="preserve"> </w:t>
      </w:r>
      <w:r>
        <w:rPr>
          <w:rFonts w:cs="Arial"/>
          <w:i/>
          <w:iCs/>
          <w:sz w:val="22"/>
        </w:rPr>
        <w:t>or</w:t>
      </w:r>
      <w:r>
        <w:rPr>
          <w:rFonts w:cs="Arial"/>
          <w:i/>
          <w:iCs/>
          <w:spacing w:val="-6"/>
          <w:sz w:val="22"/>
        </w:rPr>
        <w:t xml:space="preserve"> </w:t>
      </w:r>
      <w:r>
        <w:rPr>
          <w:rFonts w:cs="Arial"/>
          <w:i/>
          <w:iCs/>
          <w:sz w:val="22"/>
        </w:rPr>
        <w:t>omissions.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Employees</w:t>
      </w:r>
      <w:r>
        <w:rPr>
          <w:rFonts w:cs="Arial"/>
          <w:i/>
          <w:iCs/>
          <w:spacing w:val="-59"/>
          <w:sz w:val="22"/>
        </w:rPr>
        <w:t xml:space="preserve"> </w:t>
      </w:r>
      <w:r>
        <w:rPr>
          <w:rFonts w:cs="Arial"/>
          <w:i/>
          <w:iCs/>
          <w:sz w:val="22"/>
        </w:rPr>
        <w:t>are required to co-operate with management to enable GMCA to meet its own legal duties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and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to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report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any</w:t>
      </w:r>
      <w:r>
        <w:rPr>
          <w:rFonts w:cs="Arial"/>
          <w:i/>
          <w:iCs/>
          <w:spacing w:val="-8"/>
          <w:sz w:val="22"/>
        </w:rPr>
        <w:t xml:space="preserve"> </w:t>
      </w:r>
      <w:r>
        <w:rPr>
          <w:rFonts w:cs="Arial"/>
          <w:i/>
          <w:iCs/>
          <w:sz w:val="22"/>
        </w:rPr>
        <w:t>circumstances</w:t>
      </w:r>
      <w:r>
        <w:rPr>
          <w:rFonts w:cs="Arial"/>
          <w:i/>
          <w:iCs/>
          <w:spacing w:val="-7"/>
          <w:sz w:val="22"/>
        </w:rPr>
        <w:t xml:space="preserve"> </w:t>
      </w:r>
      <w:r>
        <w:rPr>
          <w:rFonts w:cs="Arial"/>
          <w:i/>
          <w:iCs/>
          <w:sz w:val="22"/>
        </w:rPr>
        <w:t>that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may</w:t>
      </w:r>
      <w:r>
        <w:rPr>
          <w:rFonts w:cs="Arial"/>
          <w:i/>
          <w:iCs/>
          <w:spacing w:val="-8"/>
          <w:sz w:val="22"/>
        </w:rPr>
        <w:t xml:space="preserve"> </w:t>
      </w:r>
      <w:r>
        <w:rPr>
          <w:rFonts w:cs="Arial"/>
          <w:i/>
          <w:iCs/>
          <w:sz w:val="22"/>
        </w:rPr>
        <w:t>compromise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-6"/>
          <w:sz w:val="22"/>
        </w:rPr>
        <w:t xml:space="preserve"> </w:t>
      </w:r>
      <w:r>
        <w:rPr>
          <w:rFonts w:cs="Arial"/>
          <w:i/>
          <w:iCs/>
          <w:sz w:val="22"/>
        </w:rPr>
        <w:t>health,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safety,</w:t>
      </w:r>
      <w:r>
        <w:rPr>
          <w:rFonts w:cs="Arial"/>
          <w:i/>
          <w:iCs/>
          <w:spacing w:val="-7"/>
          <w:sz w:val="22"/>
        </w:rPr>
        <w:t xml:space="preserve"> </w:t>
      </w:r>
      <w:r>
        <w:rPr>
          <w:rFonts w:cs="Arial"/>
          <w:i/>
          <w:iCs/>
          <w:sz w:val="22"/>
        </w:rPr>
        <w:t>and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welfare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those</w:t>
      </w:r>
      <w:r>
        <w:rPr>
          <w:rFonts w:cs="Arial"/>
          <w:i/>
          <w:iCs/>
          <w:spacing w:val="-59"/>
          <w:sz w:val="22"/>
        </w:rPr>
        <w:t xml:space="preserve"> </w:t>
      </w:r>
      <w:r>
        <w:rPr>
          <w:rFonts w:cs="Arial"/>
          <w:i/>
          <w:iCs/>
          <w:sz w:val="22"/>
        </w:rPr>
        <w:t>affected by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the Service’s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undertakings.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2"/>
        </w:rPr>
        <w:t>Service Policies</w:t>
      </w:r>
      <w:r>
        <w:rPr>
          <w:rFonts w:cs="Arial"/>
          <w:i/>
          <w:iCs/>
          <w:sz w:val="22"/>
        </w:rPr>
        <w:t xml:space="preserve"> - All GMCA employees must observe and adhere to the provisions outlined</w:t>
      </w:r>
      <w:r>
        <w:rPr>
          <w:rFonts w:cs="Arial"/>
          <w:i/>
          <w:iCs/>
          <w:spacing w:val="-59"/>
          <w:sz w:val="22"/>
        </w:rPr>
        <w:t xml:space="preserve"> </w:t>
      </w:r>
      <w:r>
        <w:rPr>
          <w:rFonts w:cs="Arial"/>
          <w:i/>
          <w:iCs/>
          <w:sz w:val="22"/>
        </w:rPr>
        <w:t>in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these policies.</w:t>
      </w:r>
    </w:p>
    <w:p>
      <w:pPr>
        <w:pStyle w:val="Normal"/>
        <w:widowControl w:val="false"/>
        <w:suppressAutoHyphens w:val="true"/>
        <w:bidi w:val="0"/>
        <w:spacing w:lineRule="auto" w:line="360" w:before="0" w:after="240"/>
        <w:jc w:val="left"/>
        <w:rPr/>
      </w:pPr>
      <w:r>
        <w:rPr>
          <w:rFonts w:cs="Arial"/>
          <w:b/>
          <w:bCs/>
          <w:i/>
          <w:iCs/>
          <w:sz w:val="22"/>
        </w:rPr>
        <w:t>Equal Opportunities</w:t>
      </w:r>
      <w:r>
        <w:rPr>
          <w:rFonts w:cs="Arial"/>
          <w:i/>
          <w:iCs/>
          <w:sz w:val="22"/>
        </w:rPr>
        <w:t xml:space="preserve"> - GMCA provides a range of services and employment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 xml:space="preserve">opportunities for a diverse population. As a GMCA employee you are expected to treat all </w:t>
      </w:r>
      <w:r>
        <w:rPr>
          <w:rFonts w:cs="Arial"/>
          <w:i/>
          <w:iCs/>
          <w:spacing w:val="-59"/>
          <w:sz w:val="22"/>
        </w:rPr>
        <w:t xml:space="preserve"> </w:t>
      </w:r>
      <w:r>
        <w:rPr>
          <w:rFonts w:cs="Arial"/>
          <w:i/>
          <w:iCs/>
          <w:sz w:val="22"/>
        </w:rPr>
        <w:t>employees / partners / members of the public and work colleagues with dignity and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respect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irrespective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their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background.</w:t>
      </w:r>
    </w:p>
    <w:sectPr>
      <w:headerReference w:type="default" r:id="rId8"/>
      <w:footerReference w:type="default" r:id="rId9"/>
      <w:type w:val="nextPage"/>
      <w:pgSz w:w="11906" w:h="16850"/>
      <w:pgMar w:left="720" w:right="720" w:header="709" w:top="766" w:footer="0" w:bottom="720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Arial">
    <w:charset w:val="01"/>
    <w:family w:val="swiss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spacing w:before="0" w:after="24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TextBody"/>
      <w:spacing w:before="0" w:after="24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spacing w:before="0" w:after="240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TextBody"/>
      <w:spacing w:before="0" w:after="24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4396740</wp:posOffset>
          </wp:positionH>
          <wp:positionV relativeFrom="paragraph">
            <wp:posOffset>-304165</wp:posOffset>
          </wp:positionV>
          <wp:extent cx="2189480" cy="685800"/>
          <wp:effectExtent l="0" t="0" r="0" b="0"/>
          <wp:wrapNone/>
          <wp:docPr id="1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" t="-46" r="-14" b="-46"/>
                  <a:stretch>
                    <a:fillRect/>
                  </a:stretch>
                </pic:blipFill>
                <pic:spPr bwMode="auto">
                  <a:xfrm>
                    <a:off x="0" y="0"/>
                    <a:ext cx="218948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>L</w:t>
    </w:r>
    <w:r>
      <w:rPr/>
      <w:t>ast reviewed: September 2023</w:t>
    </w:r>
  </w:p>
  <w:p>
    <w:pPr>
      <w:pStyle w:val="Header"/>
      <w:spacing w:before="0" w:after="24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 xml:space="preserve">Date of last review: June 2026 </w:t>
    </w:r>
  </w:p>
  <w:p>
    <w:pPr>
      <w:pStyle w:val="Header"/>
      <w:spacing w:before="0" w:after="24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pacing w:before="0" w:after="240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4718050</wp:posOffset>
          </wp:positionH>
          <wp:positionV relativeFrom="paragraph">
            <wp:posOffset>-343535</wp:posOffset>
          </wp:positionV>
          <wp:extent cx="2189480" cy="685800"/>
          <wp:effectExtent l="0" t="0" r="0" b="0"/>
          <wp:wrapNone/>
          <wp:docPr id="2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" t="-46" r="-14" b="-46"/>
                  <a:stretch>
                    <a:fillRect/>
                  </a:stretch>
                </pic:blipFill>
                <pic:spPr bwMode="auto">
                  <a:xfrm>
                    <a:off x="0" y="0"/>
                    <a:ext cx="218948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 xml:space="preserve">Date of last review: June 2026 </w:t>
    </w:r>
  </w:p>
  <w:p>
    <w:pPr>
      <w:pStyle w:val="Header"/>
      <w:spacing w:before="0" w:after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Cs w:val="24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Cs w:val="24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Cs w:val="24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·"/>
      <w:lvlJc w:val="left"/>
      <w:pPr>
        <w:ind w:left="1080" w:hanging="360"/>
      </w:pPr>
      <w:rPr>
        <w:rFonts w:ascii="Arial" w:hAnsi="Arial" w:cs="Arial" w:hint="default"/>
        <w:rFonts w:cs="Arial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ind w:left="720" w:hanging="360"/>
      </w:pPr>
      <w:rPr/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spacing w:lineRule="auto" w:line="360" w:before="0" w:after="240"/>
      <w:jc w:val="left"/>
    </w:pPr>
    <w:rPr>
      <w:rFonts w:ascii="Arial" w:hAnsi="Arial" w:eastAsia="Calibri" w:cs="Calibri"/>
      <w:color w:val="262626"/>
      <w:kern w:val="0"/>
      <w:sz w:val="24"/>
      <w:szCs w:val="22"/>
      <w:lang w:val="en-GB" w:eastAsia="en-US" w:bidi="ar-SA"/>
    </w:rPr>
  </w:style>
  <w:style w:type="paragraph" w:styleId="Heading1">
    <w:name w:val="Heading 1"/>
    <w:basedOn w:val="Normal"/>
    <w:next w:val="TextBody"/>
    <w:qFormat/>
    <w:pPr>
      <w:numPr>
        <w:ilvl w:val="0"/>
        <w:numId w:val="1"/>
      </w:num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shd w:fill="004F6E" w:val="clear"/>
      <w:spacing w:lineRule="auto" w:line="240"/>
      <w:jc w:val="center"/>
      <w:outlineLvl w:val="0"/>
    </w:pPr>
    <w:rPr>
      <w:b/>
      <w:bCs/>
      <w:color w:val="FFFFFF"/>
      <w:sz w:val="44"/>
      <w:szCs w:val="40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shd w:fill="004F6E" w:val="clear"/>
      <w:spacing w:before="480" w:after="240"/>
      <w:outlineLvl w:val="1"/>
    </w:pPr>
    <w:rPr>
      <w:b/>
      <w:bCs/>
      <w:color w:val="FFFFFF"/>
      <w:sz w:val="36"/>
      <w:szCs w:val="32"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outlineLvl w:val="2"/>
    </w:pPr>
    <w:rPr>
      <w:sz w:val="28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  <w:szCs w:val="24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Arial" w:hAnsi="Arial" w:cs="Arial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4">
    <w:name w:val="WW8Num4z4"/>
    <w:qFormat/>
    <w:rPr>
      <w:rFonts w:ascii="Courier New" w:hAnsi="Courier New" w:cs="Courier New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4">
    <w:name w:val="WW8Num5z4"/>
    <w:qFormat/>
    <w:rPr>
      <w:rFonts w:ascii="Courier New" w:hAnsi="Courier New" w:cs="Courier New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4">
    <w:name w:val="WW8Num6z4"/>
    <w:qFormat/>
    <w:rPr>
      <w:rFonts w:ascii="Courier New" w:hAnsi="Courier New" w:cs="Courier New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/>
  </w:style>
  <w:style w:type="character" w:styleId="WW8Num7z2">
    <w:name w:val="WW8Num7z2"/>
    <w:qFormat/>
    <w:rPr>
      <w:rFonts w:ascii="Wingdings" w:hAnsi="Wingdings" w:cs="Wingdings"/>
    </w:rPr>
  </w:style>
  <w:style w:type="character" w:styleId="WW8Num7z4">
    <w:name w:val="WW8Num7z4"/>
    <w:qFormat/>
    <w:rPr>
      <w:rFonts w:ascii="Courier New" w:hAnsi="Courier New" w:cs="Courier New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DefaultParagraphFont">
    <w:name w:val="Default Paragraph Font"/>
    <w:qFormat/>
    <w:rPr/>
  </w:style>
  <w:style w:type="character" w:styleId="WW8Num3z4">
    <w:name w:val="WW8Num3z4"/>
    <w:qFormat/>
    <w:rPr>
      <w:rFonts w:ascii="Courier New" w:hAnsi="Courier New" w:cs="Courier New"/>
    </w:rPr>
  </w:style>
  <w:style w:type="character" w:styleId="WW8Num5z1">
    <w:name w:val="WW8Num5z1"/>
    <w:qFormat/>
    <w:rPr/>
  </w:style>
  <w:style w:type="character" w:styleId="WW8Num6z1">
    <w:name w:val="WW8Num6z1"/>
    <w:qFormat/>
    <w:rPr/>
  </w:style>
  <w:style w:type="character" w:styleId="WW8Num6z3">
    <w:name w:val="WW8Num6z3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3">
    <w:name w:val="WW8Num7z3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ommentTextChar">
    <w:name w:val="Comment Text Char"/>
    <w:basedOn w:val="DefaultParagraphFont"/>
    <w:qFormat/>
    <w:rPr>
      <w:rFonts w:ascii="Calibri" w:hAnsi="Calibri" w:eastAsia="Calibri" w:cs="Calibri"/>
      <w:sz w:val="20"/>
      <w:szCs w:val="20"/>
      <w:lang w:val="en-GB"/>
    </w:rPr>
  </w:style>
  <w:style w:type="character" w:styleId="CommentSubjectChar">
    <w:name w:val="Comment Subject Char"/>
    <w:basedOn w:val="CommentTextChar"/>
    <w:qFormat/>
    <w:rPr>
      <w:rFonts w:ascii="Calibri" w:hAnsi="Calibri" w:eastAsia="Calibri" w:cs="Calibri"/>
      <w:b/>
      <w:bCs/>
      <w:sz w:val="20"/>
      <w:szCs w:val="20"/>
      <w:lang w:val="en-GB"/>
    </w:rPr>
  </w:style>
  <w:style w:type="character" w:styleId="HeaderChar">
    <w:name w:val="Header Char"/>
    <w:basedOn w:val="DefaultParagraphFont"/>
    <w:qFormat/>
    <w:rPr>
      <w:rFonts w:ascii="Calibri" w:hAnsi="Calibri" w:eastAsia="Calibri" w:cs="Calibri"/>
      <w:lang w:val="en-GB"/>
    </w:rPr>
  </w:style>
  <w:style w:type="character" w:styleId="FooterChar">
    <w:name w:val="Footer Char"/>
    <w:basedOn w:val="DefaultParagraphFont"/>
    <w:qFormat/>
    <w:rPr>
      <w:rFonts w:ascii="Calibri" w:hAnsi="Calibri" w:eastAsia="Calibri" w:cs="Calibri"/>
      <w:lang w:val="en-GB"/>
    </w:rPr>
  </w:style>
  <w:style w:type="character" w:styleId="Heading2Char">
    <w:name w:val="Heading 2 Char"/>
    <w:basedOn w:val="DefaultParagraphFont"/>
    <w:qFormat/>
    <w:rPr>
      <w:rFonts w:ascii="Arial" w:hAnsi="Arial" w:eastAsia="Calibri" w:cs="Calibri"/>
      <w:color w:val="FFFFFF"/>
      <w:sz w:val="36"/>
      <w:szCs w:val="32"/>
      <w:shd w:fill="004F6E" w:val="clear"/>
      <w:lang w:val="en-GB"/>
    </w:rPr>
  </w:style>
  <w:style w:type="character" w:styleId="Heading3Char">
    <w:name w:val="Heading 3 Char"/>
    <w:basedOn w:val="DefaultParagraphFont"/>
    <w:qFormat/>
    <w:rPr>
      <w:rFonts w:ascii="Arial" w:hAnsi="Arial" w:eastAsia="Calibri" w:cs="Calibri"/>
      <w:sz w:val="28"/>
      <w:szCs w:val="24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/>
    <w:rPr>
      <w:rFonts w:eastAsia="Arial" w:cs="Arial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Title">
    <w:name w:val="Title"/>
    <w:basedOn w:val="Normal"/>
    <w:next w:val="TextBody"/>
    <w:qFormat/>
    <w:pPr>
      <w:spacing w:before="92" w:after="240"/>
      <w:ind w:left="4012" w:right="4328" w:hanging="0"/>
      <w:jc w:val="center"/>
    </w:pPr>
    <w:rPr>
      <w:rFonts w:eastAsia="Arial" w:cs="Arial"/>
      <w:b/>
      <w:bCs/>
      <w:sz w:val="28"/>
      <w:szCs w:val="28"/>
    </w:rPr>
  </w:style>
  <w:style w:type="paragraph" w:styleId="ListParagraph">
    <w:name w:val="List Paragraph"/>
    <w:basedOn w:val="Normal"/>
    <w:qFormat/>
    <w:pPr>
      <w:spacing w:before="60" w:after="240"/>
    </w:pPr>
    <w:rPr/>
  </w:style>
  <w:style w:type="paragraph" w:styleId="TableParagraph">
    <w:name w:val="Table Paragraph"/>
    <w:basedOn w:val="Normal"/>
    <w:qFormat/>
    <w:pPr>
      <w:ind w:left="107" w:right="0" w:hanging="0"/>
    </w:pPr>
    <w:rPr/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en-GB" w:eastAsia="en-GB" w:bidi="ar-SA"/>
    </w:rPr>
  </w:style>
  <w:style w:type="paragraph" w:styleId="NormalWeb">
    <w:name w:val="Normal (Web)"/>
    <w:basedOn w:val="Normal"/>
    <w:qFormat/>
    <w:pPr>
      <w:widowControl/>
      <w:spacing w:lineRule="auto" w:line="240" w:before="280" w:after="280"/>
    </w:pPr>
    <w:rPr>
      <w:rFonts w:ascii="Times New Roman" w:hAnsi="Times New Roman" w:eastAsia="Times New Roman" w:cs="Times New Roman"/>
      <w:color w:val="auto"/>
      <w:szCs w:val="24"/>
      <w:lang w:eastAsia="en-GB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Calibri"/>
      <w:color w:val="262626"/>
      <w:kern w:val="0"/>
      <w:sz w:val="24"/>
      <w:szCs w:val="22"/>
      <w:lang w:val="en-GB" w:eastAsia="en-US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