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media/image1.png" ContentType="image/png"/>
  <Override PartName="/word/media/image2.png" ContentType="image/png"/>
  <Override PartName="/word/media/image3.png" ContentType="image/pn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xml:space="preserve">: </w:t>
      </w:r>
      <w:r>
        <w:rPr>
          <w:rFonts w:cs="Arial"/>
          <w:bCs/>
          <w:iCs/>
          <w:szCs w:val="24"/>
          <w:lang w:val="en-US"/>
        </w:rPr>
        <w:t>Head of Youth Justice Coordination Hub</w:t>
      </w:r>
    </w:p>
    <w:p>
      <w:pPr>
        <w:pStyle w:val="ListParagraph"/>
        <w:numPr>
          <w:ilvl w:val="0"/>
          <w:numId w:val="2"/>
        </w:numPr>
        <w:rPr/>
      </w:pPr>
      <w:r>
        <w:rPr>
          <w:rFonts w:cs="Arial"/>
          <w:b/>
          <w:bCs/>
          <w:szCs w:val="24"/>
        </w:rPr>
        <w:t>Grade:</w:t>
      </w:r>
      <w:r>
        <w:rPr>
          <w:rFonts w:cs="Arial"/>
          <w:szCs w:val="24"/>
        </w:rPr>
        <w:t xml:space="preserve"> </w:t>
      </w:r>
      <w:r>
        <w:rPr>
          <w:rFonts w:cs="Arial"/>
          <w:bCs/>
          <w:iCs/>
          <w:szCs w:val="24"/>
          <w:lang w:val="en-US"/>
        </w:rPr>
        <w:t>11</w:t>
      </w:r>
    </w:p>
    <w:p>
      <w:pPr>
        <w:pStyle w:val="ListParagraph"/>
        <w:numPr>
          <w:ilvl w:val="0"/>
          <w:numId w:val="2"/>
        </w:numPr>
        <w:rPr/>
      </w:pPr>
      <w:r>
        <w:rPr>
          <w:rFonts w:cs="Arial"/>
          <w:b/>
          <w:bCs/>
          <w:szCs w:val="24"/>
        </w:rPr>
        <w:t>Business area:</w:t>
      </w:r>
      <w:r>
        <w:rPr>
          <w:rFonts w:cs="Arial"/>
          <w:szCs w:val="24"/>
        </w:rPr>
        <w:t xml:space="preserve"> </w:t>
      </w:r>
      <w:r>
        <w:rPr>
          <w:rFonts w:cs="Arial"/>
          <w:bCs/>
          <w:iCs/>
          <w:szCs w:val="24"/>
          <w:lang w:val="en-US"/>
        </w:rPr>
        <w:t>GM Youth Justice</w:t>
      </w:r>
    </w:p>
    <w:p>
      <w:pPr>
        <w:pStyle w:val="ListParagraph"/>
        <w:numPr>
          <w:ilvl w:val="0"/>
          <w:numId w:val="2"/>
        </w:numPr>
        <w:rPr/>
      </w:pPr>
      <w:r>
        <w:rPr>
          <w:rFonts w:cs="Arial"/>
          <w:b/>
          <w:bCs/>
          <w:szCs w:val="24"/>
        </w:rPr>
        <w:t>Reporting line:</w:t>
      </w:r>
      <w:r>
        <w:rPr>
          <w:rFonts w:cs="Arial"/>
          <w:szCs w:val="24"/>
        </w:rPr>
        <w:t xml:space="preserve"> Assistant Director</w:t>
      </w:r>
    </w:p>
    <w:p>
      <w:pPr>
        <w:pStyle w:val="ListParagraph"/>
        <w:numPr>
          <w:ilvl w:val="0"/>
          <w:numId w:val="2"/>
        </w:numPr>
        <w:rPr/>
      </w:pPr>
      <w:r>
        <w:rPr>
          <w:rFonts w:cs="Arial"/>
          <w:b/>
          <w:bCs/>
          <w:szCs w:val="24"/>
        </w:rPr>
        <w:t>Team:</w:t>
      </w:r>
      <w:r>
        <w:rPr>
          <w:rFonts w:cs="Arial"/>
          <w:szCs w:val="24"/>
        </w:rPr>
        <w:t xml:space="preserve"> </w:t>
      </w:r>
      <w:r>
        <w:rPr>
          <w:rFonts w:cs="Arial"/>
          <w:bCs/>
          <w:iCs/>
          <w:szCs w:val="24"/>
          <w:lang w:val="en-US"/>
        </w:rPr>
        <w:t>Safer and Stronger Communities</w:t>
      </w:r>
    </w:p>
    <w:p>
      <w:pPr>
        <w:pStyle w:val="Heading2"/>
        <w:shd w:fill="004F6E" w:val="clear"/>
        <w:rPr>
          <w:rFonts w:cs="Arial"/>
          <w:sz w:val="24"/>
          <w:szCs w:val="24"/>
        </w:rPr>
      </w:pPr>
      <w:r>
        <w:rPr>
          <w:rFonts w:cs="Arial"/>
          <w:sz w:val="24"/>
          <w:szCs w:val="24"/>
        </w:rPr>
        <w:t>Job Purpose</w:t>
      </w:r>
    </w:p>
    <w:p>
      <w:pPr>
        <w:pStyle w:val="Normal"/>
        <w:rPr>
          <w:rFonts w:cs="Arial"/>
          <w:color w:val="000000"/>
          <w:szCs w:val="24"/>
        </w:rPr>
      </w:pPr>
      <w:r>
        <w:rPr>
          <w:rFonts w:cs="Arial"/>
          <w:color w:val="000000"/>
          <w:szCs w:val="24"/>
        </w:rPr>
        <w:t>The position will hold a significant responsibility for the development of the Greater Manchester Youth Justice Transformation Programme. The position will also have a key role in any future Youth Justice Devolution deals in relation to delivery, reporting progress and articulating success.</w:t>
      </w:r>
    </w:p>
    <w:p>
      <w:pPr>
        <w:pStyle w:val="Normal"/>
        <w:rPr>
          <w:rFonts w:cs="Arial"/>
          <w:color w:val="000000"/>
          <w:szCs w:val="24"/>
        </w:rPr>
      </w:pPr>
      <w:r>
        <w:rPr>
          <w:rFonts w:cs="Arial"/>
          <w:color w:val="000000"/>
          <w:szCs w:val="24"/>
        </w:rPr>
        <w:t xml:space="preserve">The post holder will be accountable to the GM Lead for Youth Justice (Deputy CeX /a Director of Children’s Services) and responsible for the development and implementation of the GM Youth Justice Transformation programme, as part of a further devolution agreement between MoJ and Greater Manchester. This will require the implementation of a GM Youth Justice Coordination Hub (based on the GM Complex Safeguarding model) as set out in the GM YJ Framework.  </w:t>
      </w:r>
    </w:p>
    <w:p>
      <w:pPr>
        <w:sectPr>
          <w:headerReference w:type="default" r:id="rId2"/>
          <w:footerReference w:type="default" r:id="rId3"/>
          <w:type w:val="nextPage"/>
          <w:pgSz w:w="11906" w:h="16838"/>
          <w:pgMar w:left="1276" w:right="1410" w:header="709" w:top="766" w:footer="0" w:bottom="1418" w:gutter="0"/>
          <w:pgNumType w:fmt="decimal"/>
          <w:formProt w:val="false"/>
          <w:textDirection w:val="lrTb"/>
          <w:docGrid w:type="default" w:linePitch="326" w:charSpace="0"/>
        </w:sectPr>
        <w:pStyle w:val="Normal"/>
        <w:rPr>
          <w:rFonts w:cs="Arial"/>
          <w:color w:val="000000"/>
          <w:szCs w:val="24"/>
        </w:rPr>
      </w:pPr>
      <w:r>
        <w:rPr>
          <w:rFonts w:cs="Arial"/>
          <w:color w:val="000000"/>
          <w:szCs w:val="24"/>
        </w:rPr>
        <w:t xml:space="preserve">This area of work is of significant interest regionally and nationally. The post holder will be required to work flexibly, efficiently and creatively in developing this challenging and innovative programme designed to transform the approach to the youth justice system across Greater Manchester and improve outcomes for children over the next few years. </w:t>
      </w:r>
    </w:p>
    <w:p>
      <w:pPr>
        <w:pStyle w:val="Heading2"/>
        <w:shd w:fill="004F6E" w:val="clear"/>
        <w:rPr>
          <w:rFonts w:cs="Arial"/>
          <w:sz w:val="24"/>
          <w:szCs w:val="24"/>
        </w:rPr>
      </w:pPr>
      <w:r>
        <w:rPr>
          <w:rFonts w:cs="Arial"/>
          <w:sz w:val="24"/>
          <w:szCs w:val="24"/>
        </w:rPr>
        <w:t>Key working relationships</w:t>
      </w:r>
    </w:p>
    <w:p>
      <w:pPr>
        <w:pStyle w:val="ListParagraph"/>
        <w:numPr>
          <w:ilvl w:val="0"/>
          <w:numId w:val="3"/>
        </w:numPr>
        <w:spacing w:lineRule="auto" w:line="240"/>
        <w:ind w:left="714" w:right="0" w:hanging="357"/>
        <w:rPr>
          <w:rFonts w:cs="Arial"/>
          <w:szCs w:val="24"/>
        </w:rPr>
      </w:pPr>
      <w:r>
        <w:rPr>
          <w:rFonts w:cs="Arial"/>
          <w:szCs w:val="24"/>
        </w:rPr>
        <w:t>GM Local Authorities – supporting strategic engagement and Youth Justice Devolution.</w:t>
      </w:r>
    </w:p>
    <w:p>
      <w:pPr>
        <w:pStyle w:val="ListParagraph"/>
        <w:numPr>
          <w:ilvl w:val="0"/>
          <w:numId w:val="3"/>
        </w:numPr>
        <w:spacing w:lineRule="auto" w:line="240"/>
        <w:ind w:left="714" w:right="0" w:hanging="357"/>
        <w:rPr>
          <w:rFonts w:cs="Arial"/>
          <w:szCs w:val="24"/>
        </w:rPr>
      </w:pPr>
      <w:r>
        <w:rPr>
          <w:rFonts w:cs="Arial"/>
          <w:szCs w:val="24"/>
        </w:rPr>
        <w:t>Deputy Mayor for Safer and Stronger Communities – informing political oversight and programme direction.</w:t>
      </w:r>
    </w:p>
    <w:p>
      <w:pPr>
        <w:pStyle w:val="ListParagraph"/>
        <w:numPr>
          <w:ilvl w:val="0"/>
          <w:numId w:val="3"/>
        </w:numPr>
        <w:spacing w:lineRule="auto" w:line="240"/>
        <w:ind w:left="714" w:right="0" w:hanging="357"/>
        <w:rPr>
          <w:rFonts w:cs="Arial"/>
          <w:szCs w:val="24"/>
        </w:rPr>
      </w:pPr>
      <w:r>
        <w:rPr>
          <w:rFonts w:cs="Arial"/>
          <w:szCs w:val="24"/>
        </w:rPr>
        <w:t>Greater Manchester Police – aligning youth justice, prevention and community safety priorities.</w:t>
      </w:r>
    </w:p>
    <w:p>
      <w:pPr>
        <w:pStyle w:val="ListParagraph"/>
        <w:numPr>
          <w:ilvl w:val="0"/>
          <w:numId w:val="3"/>
        </w:numPr>
        <w:spacing w:lineRule="auto" w:line="240"/>
        <w:ind w:left="714" w:right="0" w:hanging="357"/>
        <w:rPr>
          <w:rFonts w:cs="Arial"/>
          <w:szCs w:val="24"/>
        </w:rPr>
      </w:pPr>
      <w:r>
        <w:rPr>
          <w:rFonts w:cs="Arial"/>
          <w:szCs w:val="24"/>
        </w:rPr>
        <w:t>Violence Reduction Unit and Programme Challenger – linking with violence reduction and exploitation agendas.</w:t>
      </w:r>
    </w:p>
    <w:p>
      <w:pPr>
        <w:pStyle w:val="ListParagraph"/>
        <w:numPr>
          <w:ilvl w:val="0"/>
          <w:numId w:val="3"/>
        </w:numPr>
        <w:spacing w:lineRule="auto" w:line="240"/>
        <w:ind w:left="714" w:right="0" w:hanging="357"/>
        <w:rPr>
          <w:rFonts w:cs="Arial"/>
          <w:szCs w:val="24"/>
        </w:rPr>
      </w:pPr>
      <w:r>
        <w:rPr>
          <w:rFonts w:cs="Arial"/>
          <w:szCs w:val="24"/>
        </w:rPr>
        <w:t>Schools and education leads – supporting prevention, inclusion and early intervention.</w:t>
      </w:r>
    </w:p>
    <w:p>
      <w:pPr>
        <w:pStyle w:val="ListParagraph"/>
        <w:numPr>
          <w:ilvl w:val="0"/>
          <w:numId w:val="3"/>
        </w:numPr>
        <w:spacing w:lineRule="auto" w:line="240"/>
        <w:ind w:left="714" w:right="0" w:hanging="357"/>
        <w:rPr>
          <w:rFonts w:cs="Arial"/>
          <w:szCs w:val="24"/>
        </w:rPr>
      </w:pPr>
      <w:r>
        <w:rPr>
          <w:rFonts w:cs="Arial"/>
          <w:szCs w:val="24"/>
        </w:rPr>
        <w:t>GM Integrated Care Partnership – improving health and wellbeing outcomes for children and young people.</w:t>
      </w:r>
    </w:p>
    <w:p>
      <w:pPr>
        <w:pStyle w:val="ListParagraph"/>
        <w:numPr>
          <w:ilvl w:val="0"/>
          <w:numId w:val="3"/>
        </w:numPr>
        <w:spacing w:lineRule="auto" w:line="240"/>
        <w:ind w:left="714" w:right="0" w:hanging="357"/>
        <w:rPr>
          <w:rFonts w:cs="Arial"/>
          <w:szCs w:val="24"/>
        </w:rPr>
      </w:pPr>
      <w:r>
        <w:rPr>
          <w:rFonts w:cs="Arial"/>
          <w:szCs w:val="24"/>
        </w:rPr>
        <w:t>CSPs and locality boards – connecting programme activity with local priorities and governance.</w:t>
      </w:r>
    </w:p>
    <w:p>
      <w:pPr>
        <w:pStyle w:val="ListParagraph"/>
        <w:numPr>
          <w:ilvl w:val="0"/>
          <w:numId w:val="3"/>
        </w:numPr>
        <w:spacing w:lineRule="auto" w:line="240"/>
        <w:ind w:left="714" w:right="0" w:hanging="357"/>
        <w:rPr>
          <w:rFonts w:cs="Arial"/>
          <w:szCs w:val="24"/>
        </w:rPr>
      </w:pPr>
      <w:r>
        <w:rPr>
          <w:rFonts w:cs="Arial"/>
          <w:szCs w:val="24"/>
        </w:rPr>
        <w:t>VCFSE sector partners – engaging community and specialist support providers.</w:t>
      </w:r>
    </w:p>
    <w:p>
      <w:pPr>
        <w:pStyle w:val="ListParagraph"/>
        <w:numPr>
          <w:ilvl w:val="0"/>
          <w:numId w:val="3"/>
        </w:numPr>
        <w:spacing w:lineRule="auto" w:line="240"/>
        <w:ind w:left="714" w:right="0" w:hanging="357"/>
        <w:rPr>
          <w:rFonts w:cs="Arial"/>
          <w:szCs w:val="24"/>
        </w:rPr>
      </w:pPr>
      <w:r>
        <w:rPr>
          <w:rFonts w:cs="Arial"/>
          <w:szCs w:val="24"/>
        </w:rPr>
        <w:t>Central Government – supporting policy alignment, reporting and future devolution discussions.</w:t>
      </w:r>
    </w:p>
    <w:p>
      <w:pPr>
        <w:pStyle w:val="ListParagraph"/>
        <w:ind w:left="720" w:right="0" w:hanging="633"/>
        <w:rPr>
          <w:rFonts w:cs="Arial"/>
          <w:color w:val="FF0000"/>
          <w:szCs w:val="24"/>
        </w:rPr>
      </w:pPr>
      <w:r>
        <w:rPr>
          <w:rFonts w:cs="Arial"/>
          <w:color w:val="FF0000"/>
          <w:szCs w:val="24"/>
        </w:rPr>
      </w:r>
    </w:p>
    <w:p>
      <w:pPr>
        <w:pStyle w:val="Heading2"/>
        <w:shd w:fill="004F6E" w:val="clear"/>
        <w:rPr>
          <w:rFonts w:cs="Arial"/>
          <w:sz w:val="24"/>
          <w:szCs w:val="24"/>
        </w:rPr>
      </w:pPr>
      <w:r>
        <w:rPr>
          <w:rFonts w:cs="Arial"/>
          <w:sz w:val="24"/>
          <w:szCs w:val="24"/>
        </w:rPr>
        <w:t>Key Responsibilities</w:t>
      </w:r>
    </w:p>
    <w:p>
      <w:pPr>
        <w:pStyle w:val="ListParagraph"/>
        <w:numPr>
          <w:ilvl w:val="0"/>
          <w:numId w:val="4"/>
        </w:numPr>
        <w:ind w:left="993" w:right="0" w:hanging="633"/>
        <w:rPr>
          <w:rFonts w:cs="Arial"/>
          <w:color w:val="000000"/>
          <w:szCs w:val="24"/>
          <w:lang w:val="en-US"/>
        </w:rPr>
      </w:pPr>
      <w:r>
        <w:rPr>
          <w:rFonts w:cs="Arial"/>
          <w:color w:val="000000"/>
          <w:szCs w:val="24"/>
          <w:lang w:val="en-US"/>
        </w:rPr>
        <w:t>Lead on the development and implementation of the new GM Youth Justice Transformation Hub and the delivery of the YJ framework for Greater Manchester.</w:t>
      </w:r>
    </w:p>
    <w:p>
      <w:pPr>
        <w:pStyle w:val="ListParagraph"/>
        <w:numPr>
          <w:ilvl w:val="0"/>
          <w:numId w:val="4"/>
        </w:numPr>
        <w:ind w:left="993" w:right="0" w:hanging="633"/>
        <w:rPr>
          <w:rFonts w:cs="Arial"/>
          <w:color w:val="000000"/>
          <w:szCs w:val="24"/>
          <w:lang w:val="en-US"/>
        </w:rPr>
      </w:pPr>
      <w:r>
        <w:rPr>
          <w:rFonts w:cs="Arial"/>
          <w:color w:val="000000"/>
          <w:szCs w:val="24"/>
          <w:lang w:val="en-US"/>
        </w:rPr>
        <w:t>Provide consultation and support to Local Authorities and partnerships regionally and nationally to develop responses to Youth Justice concerns.</w:t>
      </w:r>
    </w:p>
    <w:p>
      <w:pPr>
        <w:pStyle w:val="ListParagraph"/>
        <w:numPr>
          <w:ilvl w:val="0"/>
          <w:numId w:val="4"/>
        </w:numPr>
        <w:ind w:left="993" w:right="0" w:hanging="633"/>
        <w:rPr>
          <w:rFonts w:cs="Arial"/>
          <w:color w:val="000000"/>
          <w:szCs w:val="24"/>
          <w:lang w:val="en-US"/>
        </w:rPr>
      </w:pPr>
      <w:r>
        <w:rPr>
          <w:rFonts w:cs="Arial"/>
          <w:color w:val="000000"/>
          <w:szCs w:val="24"/>
          <w:lang w:val="en-US"/>
        </w:rPr>
        <w:t xml:space="preserve">Support the establishment and continuous development of Youth Justice Centres of Excellence in each of the GM local authorities to promote learning, best practice and the provision of excellent youth justice services across the region. </w:t>
      </w:r>
    </w:p>
    <w:p>
      <w:pPr>
        <w:sectPr>
          <w:headerReference w:type="default" r:id="rId4"/>
          <w:footerReference w:type="default" r:id="rId5"/>
          <w:type w:val="nextPage"/>
          <w:pgSz w:w="11906" w:h="16838"/>
          <w:pgMar w:left="720" w:right="720" w:header="709" w:top="766" w:footer="0" w:bottom="720" w:gutter="0"/>
          <w:pgNumType w:fmt="decimal"/>
          <w:formProt w:val="false"/>
          <w:textDirection w:val="lrTb"/>
          <w:docGrid w:type="default" w:linePitch="326" w:charSpace="0"/>
        </w:sectPr>
        <w:pStyle w:val="ListParagraph"/>
        <w:numPr>
          <w:ilvl w:val="0"/>
          <w:numId w:val="4"/>
        </w:numPr>
        <w:ind w:left="993" w:right="0" w:hanging="633"/>
        <w:rPr>
          <w:rFonts w:cs="Arial"/>
          <w:color w:val="000000"/>
          <w:szCs w:val="24"/>
          <w:lang w:val="en-US"/>
        </w:rPr>
      </w:pPr>
      <w:r>
        <w:rPr>
          <w:rFonts w:cs="Arial"/>
          <w:color w:val="000000"/>
          <w:szCs w:val="24"/>
          <w:lang w:val="en-US"/>
        </w:rPr>
        <w:t>Support the Youth Justice transformation programme for Greater Manchester through collaboration with the other thematic leads and programme management.</w:t>
      </w:r>
    </w:p>
    <w:p>
      <w:pPr>
        <w:pStyle w:val="ListParagraph"/>
        <w:numPr>
          <w:ilvl w:val="0"/>
          <w:numId w:val="4"/>
        </w:numPr>
        <w:ind w:left="993" w:right="0" w:hanging="633"/>
        <w:rPr>
          <w:rFonts w:cs="Arial"/>
          <w:color w:val="000000"/>
          <w:szCs w:val="24"/>
          <w:lang w:val="en-US"/>
        </w:rPr>
      </w:pPr>
      <w:r>
        <w:rPr>
          <w:rFonts w:cs="Arial"/>
          <w:color w:val="000000"/>
          <w:szCs w:val="24"/>
          <w:lang w:val="en-US"/>
        </w:rPr>
        <w:t xml:space="preserve">Review the latest evidence and promote the implementation of evidence-based interventions across youth justice services. </w:t>
      </w:r>
    </w:p>
    <w:p>
      <w:pPr>
        <w:pStyle w:val="ListParagraph"/>
        <w:numPr>
          <w:ilvl w:val="0"/>
          <w:numId w:val="4"/>
        </w:numPr>
        <w:ind w:left="993" w:right="0" w:hanging="633"/>
        <w:rPr>
          <w:rFonts w:cs="Arial"/>
          <w:color w:val="000000"/>
          <w:szCs w:val="24"/>
          <w:lang w:val="en-US"/>
        </w:rPr>
      </w:pPr>
      <w:r>
        <w:rPr>
          <w:rFonts w:cs="Arial"/>
          <w:color w:val="000000"/>
          <w:szCs w:val="24"/>
          <w:lang w:val="en-US"/>
        </w:rPr>
        <w:t>Manage the day-to-day operations of the Youth Justice Coordination hub, including line management of senior officers within the team.</w:t>
      </w:r>
    </w:p>
    <w:p>
      <w:pPr>
        <w:pStyle w:val="ListParagraph"/>
        <w:numPr>
          <w:ilvl w:val="0"/>
          <w:numId w:val="4"/>
        </w:numPr>
        <w:ind w:left="993" w:right="0" w:hanging="633"/>
        <w:rPr>
          <w:rFonts w:cs="Arial"/>
          <w:color w:val="000000"/>
          <w:szCs w:val="24"/>
          <w:lang w:val="en-US"/>
        </w:rPr>
      </w:pPr>
      <w:r>
        <w:rPr>
          <w:rFonts w:cs="Arial"/>
          <w:color w:val="000000"/>
          <w:szCs w:val="24"/>
          <w:lang w:val="en-US"/>
        </w:rPr>
        <w:t>Ensure effective management of a wide range of resources, including HR, financial budgets, information, knowledge and intelligence, to deliver an effective response to need.</w:t>
      </w:r>
    </w:p>
    <w:p>
      <w:pPr>
        <w:pStyle w:val="ListParagraph"/>
        <w:numPr>
          <w:ilvl w:val="0"/>
          <w:numId w:val="4"/>
        </w:numPr>
        <w:ind w:left="993" w:right="0" w:hanging="633"/>
        <w:rPr>
          <w:rFonts w:cs="Arial"/>
          <w:color w:val="000000"/>
          <w:szCs w:val="24"/>
          <w:lang w:val="en-US"/>
        </w:rPr>
      </w:pPr>
      <w:r>
        <w:rPr>
          <w:rFonts w:cs="Arial"/>
          <w:color w:val="000000"/>
          <w:szCs w:val="24"/>
          <w:lang w:val="en-US"/>
        </w:rPr>
        <w:t>Build effective and sustainable partnerships with all relevant organisations.</w:t>
      </w:r>
    </w:p>
    <w:p>
      <w:pPr>
        <w:pStyle w:val="ListParagraph"/>
        <w:numPr>
          <w:ilvl w:val="0"/>
          <w:numId w:val="4"/>
        </w:numPr>
        <w:ind w:left="993" w:right="0" w:hanging="633"/>
        <w:rPr>
          <w:rFonts w:cs="Arial"/>
          <w:color w:val="000000"/>
          <w:szCs w:val="24"/>
          <w:lang w:val="en-US"/>
        </w:rPr>
      </w:pPr>
      <w:r>
        <w:rPr>
          <w:rFonts w:cs="Arial"/>
          <w:color w:val="000000"/>
          <w:szCs w:val="24"/>
          <w:lang w:val="en-US"/>
        </w:rPr>
        <w:t>Successfully manage challenges and problems that will inevitably arise as a result of bringing together a large number of councils and partners from a range of professional disciplines</w:t>
      </w:r>
    </w:p>
    <w:p>
      <w:pPr>
        <w:pStyle w:val="ListParagraph"/>
        <w:numPr>
          <w:ilvl w:val="0"/>
          <w:numId w:val="4"/>
        </w:numPr>
        <w:ind w:left="993" w:right="0" w:hanging="633"/>
        <w:rPr>
          <w:rFonts w:cs="Arial"/>
          <w:color w:val="000000"/>
          <w:szCs w:val="24"/>
          <w:lang w:val="en-US"/>
        </w:rPr>
      </w:pPr>
      <w:r>
        <w:rPr>
          <w:rFonts w:cs="Arial"/>
          <w:color w:val="000000"/>
          <w:szCs w:val="24"/>
          <w:lang w:val="en-US"/>
        </w:rPr>
        <w:t>Demonstrate a commitment to evidence-based practice and ongoing learning through review and evaluation.</w:t>
      </w:r>
    </w:p>
    <w:p>
      <w:pPr>
        <w:pStyle w:val="ListParagraph"/>
        <w:numPr>
          <w:ilvl w:val="0"/>
          <w:numId w:val="4"/>
        </w:numPr>
        <w:ind w:left="993" w:right="0" w:hanging="633"/>
        <w:rPr>
          <w:rFonts w:cs="Arial"/>
          <w:color w:val="000000"/>
          <w:szCs w:val="24"/>
          <w:lang w:val="en-US"/>
        </w:rPr>
      </w:pPr>
      <w:r>
        <w:rPr>
          <w:rFonts w:cs="Arial"/>
          <w:color w:val="000000"/>
          <w:szCs w:val="24"/>
          <w:lang w:val="en-US"/>
        </w:rPr>
        <w:t xml:space="preserve">Develop and implement a robust governance framework for Youth Justice at a GM level. </w:t>
      </w:r>
    </w:p>
    <w:p>
      <w:pPr>
        <w:pStyle w:val="ListParagraph"/>
        <w:numPr>
          <w:ilvl w:val="0"/>
          <w:numId w:val="4"/>
        </w:numPr>
        <w:ind w:left="993" w:right="0" w:hanging="633"/>
        <w:rPr>
          <w:rFonts w:cs="Arial"/>
          <w:color w:val="000000"/>
          <w:szCs w:val="24"/>
          <w:lang w:val="en-US"/>
        </w:rPr>
      </w:pPr>
      <w:r>
        <w:rPr>
          <w:rFonts w:cs="Arial"/>
          <w:color w:val="000000"/>
          <w:szCs w:val="24"/>
          <w:lang w:val="en-US"/>
        </w:rPr>
        <w:t>Ensure the Youth Justice Coordination hub has an effective data collection and performance and outcomes framework in place, which are reported on and shared effectively with those who need it in a timely and efficient manner.</w:t>
      </w:r>
    </w:p>
    <w:p>
      <w:pPr>
        <w:pStyle w:val="ListParagraph"/>
        <w:numPr>
          <w:ilvl w:val="0"/>
          <w:numId w:val="4"/>
        </w:numPr>
        <w:ind w:left="993" w:right="0" w:hanging="633"/>
        <w:rPr>
          <w:rFonts w:cs="Arial"/>
          <w:color w:val="000000"/>
          <w:szCs w:val="24"/>
          <w:lang w:val="en-US"/>
        </w:rPr>
      </w:pPr>
      <w:r>
        <w:rPr>
          <w:rFonts w:cs="Arial"/>
          <w:color w:val="000000"/>
          <w:szCs w:val="24"/>
          <w:lang w:val="en-US"/>
        </w:rPr>
        <w:t xml:space="preserve">Report on progress and performance with partners and commissioners, including with relevant strategic boards and partnership forums and with relevant central Government departments. </w:t>
      </w:r>
    </w:p>
    <w:p>
      <w:pPr>
        <w:pStyle w:val="ListParagraph"/>
        <w:numPr>
          <w:ilvl w:val="0"/>
          <w:numId w:val="4"/>
        </w:numPr>
        <w:ind w:left="993" w:right="0" w:hanging="633"/>
        <w:rPr>
          <w:rFonts w:cs="Arial"/>
          <w:color w:val="000000"/>
          <w:szCs w:val="24"/>
          <w:lang w:val="en-US"/>
        </w:rPr>
      </w:pPr>
      <w:r>
        <w:rPr>
          <w:rFonts w:cs="Arial"/>
          <w:color w:val="000000"/>
          <w:szCs w:val="24"/>
          <w:lang w:val="en-US"/>
        </w:rPr>
        <w:t>Implement a workforce development strategy for youth justice and oversee its implementation.</w:t>
      </w:r>
    </w:p>
    <w:p>
      <w:pPr>
        <w:pStyle w:val="ListParagraph"/>
        <w:numPr>
          <w:ilvl w:val="0"/>
          <w:numId w:val="4"/>
        </w:numPr>
        <w:ind w:left="993" w:right="0" w:hanging="633"/>
        <w:rPr>
          <w:rFonts w:cs="Arial"/>
          <w:color w:val="000000"/>
          <w:szCs w:val="24"/>
          <w:lang w:val="en-US"/>
        </w:rPr>
      </w:pPr>
      <w:r>
        <w:rPr>
          <w:rFonts w:cs="Arial"/>
          <w:color w:val="000000"/>
          <w:szCs w:val="24"/>
          <w:lang w:val="en-US"/>
        </w:rPr>
        <w:t>Set high quality standards for practice with and for all partners across Greater Manchester in relation to Youth Justice.</w:t>
      </w:r>
    </w:p>
    <w:p>
      <w:pPr>
        <w:pStyle w:val="ListParagraph"/>
        <w:numPr>
          <w:ilvl w:val="0"/>
          <w:numId w:val="4"/>
        </w:numPr>
        <w:ind w:left="993" w:right="0" w:hanging="633"/>
        <w:rPr>
          <w:rFonts w:cs="Arial"/>
          <w:color w:val="000000"/>
          <w:szCs w:val="24"/>
          <w:lang w:val="en-US"/>
        </w:rPr>
      </w:pPr>
      <w:r>
        <w:rPr>
          <w:rFonts w:cs="Arial"/>
          <w:color w:val="000000"/>
          <w:szCs w:val="24"/>
          <w:lang w:val="en-US"/>
        </w:rPr>
        <w:t xml:space="preserve">Develop and implement a peer review process to support and challenge Youth Justice services to achieve excellent inspection reports.  </w:t>
      </w:r>
    </w:p>
    <w:p>
      <w:pPr>
        <w:pStyle w:val="Heading2"/>
        <w:shd w:fill="004F6E" w:val="clear"/>
        <w:rPr>
          <w:rFonts w:cs="Arial"/>
          <w:sz w:val="24"/>
          <w:szCs w:val="24"/>
        </w:rPr>
      </w:pPr>
      <w:r>
        <w:rPr>
          <w:rFonts w:cs="Arial"/>
          <w:sz w:val="24"/>
          <w:szCs w:val="24"/>
        </w:rPr>
        <w:t>General</w:t>
      </w:r>
    </w:p>
    <w:p>
      <w:pPr>
        <w:pStyle w:val="ListParagraph"/>
        <w:numPr>
          <w:ilvl w:val="0"/>
          <w:numId w:val="4"/>
        </w:numPr>
        <w:ind w:left="993" w:right="0" w:hanging="633"/>
        <w:rPr>
          <w:rFonts w:cs="Arial"/>
          <w:color w:val="000000"/>
          <w:szCs w:val="24"/>
        </w:rPr>
      </w:pPr>
      <w:r>
        <w:rPr>
          <w:rFonts w:cs="Arial"/>
          <w:color w:val="000000"/>
          <w:szCs w:val="24"/>
        </w:rPr>
        <w:t>Demonstrate a commitment to innovation and learning as a means to improving youth justice practice across Greater Manchester and nationally.</w:t>
      </w:r>
    </w:p>
    <w:p>
      <w:pPr>
        <w:pStyle w:val="ListParagraph"/>
        <w:numPr>
          <w:ilvl w:val="0"/>
          <w:numId w:val="4"/>
        </w:numPr>
        <w:ind w:left="993" w:right="0" w:hanging="633"/>
        <w:rPr>
          <w:rFonts w:cs="Arial"/>
          <w:color w:val="000000"/>
          <w:szCs w:val="24"/>
        </w:rPr>
      </w:pPr>
      <w:r>
        <w:rPr>
          <w:rFonts w:cs="Arial"/>
          <w:color w:val="000000"/>
          <w:szCs w:val="24"/>
        </w:rPr>
        <w:t>Engage with all relevant government departments and inspection regimes in relation to our understanding of Youth Justice and the emerging evidence in relation to effective practice to tackle these problems.</w:t>
      </w:r>
    </w:p>
    <w:p>
      <w:pPr>
        <w:pStyle w:val="ListParagraph"/>
        <w:numPr>
          <w:ilvl w:val="0"/>
          <w:numId w:val="4"/>
        </w:numPr>
        <w:ind w:left="993" w:right="0" w:hanging="633"/>
        <w:rPr>
          <w:rFonts w:cs="Arial"/>
          <w:color w:val="000000"/>
          <w:szCs w:val="24"/>
        </w:rPr>
      </w:pPr>
      <w:r>
        <w:rPr>
          <w:rFonts w:cs="Arial"/>
          <w:color w:val="000000"/>
          <w:szCs w:val="24"/>
        </w:rPr>
        <w:t>Identify opportunities for efficiencies and quality improvements in relation to Youth Justice and related programmes.</w:t>
      </w:r>
    </w:p>
    <w:p>
      <w:pPr>
        <w:pStyle w:val="ListParagraph"/>
        <w:numPr>
          <w:ilvl w:val="0"/>
          <w:numId w:val="4"/>
        </w:numPr>
        <w:ind w:left="993" w:right="0" w:hanging="633"/>
        <w:rPr>
          <w:rFonts w:cs="Arial"/>
          <w:color w:val="000000"/>
          <w:szCs w:val="24"/>
        </w:rPr>
      </w:pPr>
      <w:r>
        <w:rPr>
          <w:rFonts w:cs="Arial"/>
          <w:color w:val="000000"/>
          <w:szCs w:val="24"/>
        </w:rPr>
        <w:t xml:space="preserve">Examine and report on opportunities for alternative delivery models for Youth Justice. </w:t>
      </w:r>
    </w:p>
    <w:p>
      <w:pPr>
        <w:pStyle w:val="ListParagraph"/>
        <w:numPr>
          <w:ilvl w:val="0"/>
          <w:numId w:val="4"/>
        </w:numPr>
        <w:ind w:left="993" w:right="0" w:hanging="633"/>
        <w:rPr>
          <w:rFonts w:cs="Arial"/>
          <w:color w:val="000000"/>
          <w:szCs w:val="24"/>
        </w:rPr>
      </w:pPr>
      <w:r>
        <w:rPr>
          <w:rFonts w:cs="Arial"/>
          <w:color w:val="000000"/>
          <w:szCs w:val="24"/>
        </w:rPr>
        <w:t xml:space="preserve">Represent the DCS’s and the Deputy Mayor’s Office for Safer and Stronger Communities at relevant strategic boards to share learning and improve practice in Youth Justice.  </w:t>
      </w:r>
    </w:p>
    <w:p>
      <w:pPr>
        <w:pStyle w:val="ListParagraph"/>
        <w:numPr>
          <w:ilvl w:val="0"/>
          <w:numId w:val="4"/>
        </w:numPr>
        <w:ind w:left="993" w:right="0" w:hanging="633"/>
        <w:rPr>
          <w:rFonts w:cs="Arial"/>
          <w:color w:val="000000"/>
          <w:szCs w:val="24"/>
        </w:rPr>
      </w:pPr>
      <w:r>
        <w:rPr>
          <w:rFonts w:cs="Arial"/>
          <w:color w:val="000000"/>
          <w:szCs w:val="24"/>
        </w:rPr>
        <w:t>Represent GM on relevant national and regional forums to develop best practice models, research and evidence in relation to Youth Justice and associated workstreams</w:t>
      </w:r>
    </w:p>
    <w:p>
      <w:pPr>
        <w:pStyle w:val="ListParagraph"/>
        <w:numPr>
          <w:ilvl w:val="0"/>
          <w:numId w:val="4"/>
        </w:numPr>
        <w:ind w:left="993" w:right="0" w:hanging="633"/>
        <w:rPr>
          <w:rFonts w:cs="Arial"/>
          <w:color w:val="000000"/>
          <w:szCs w:val="24"/>
        </w:rPr>
      </w:pPr>
      <w:r>
        <w:rPr>
          <w:rFonts w:cs="Arial"/>
          <w:color w:val="000000"/>
          <w:szCs w:val="24"/>
        </w:rPr>
        <w:t>To hold yourself and others to a high standard of professionalism at all times, demonstrating your commitment to our values and behaviours as well as ensuring service confidentiality is maintained throughout all we do.</w:t>
      </w:r>
    </w:p>
    <w:p>
      <w:pPr>
        <w:pStyle w:val="ListParagraph"/>
        <w:numPr>
          <w:ilvl w:val="0"/>
          <w:numId w:val="4"/>
        </w:numPr>
        <w:ind w:left="993" w:right="0" w:hanging="633"/>
        <w:rPr>
          <w:rFonts w:cs="Arial"/>
          <w:color w:val="000000"/>
          <w:szCs w:val="24"/>
        </w:rPr>
      </w:pPr>
      <w:r>
        <w:rPr>
          <w:rFonts w:cs="Arial"/>
          <w:color w:val="000000"/>
          <w:szCs w:val="24"/>
        </w:rPr>
        <w:t xml:space="preserve">Ensure the services delivered internally and externally are inclusive and accessible, integrated with the service values &amp; strategic intent. </w:t>
      </w:r>
    </w:p>
    <w:p>
      <w:pPr>
        <w:pStyle w:val="ListParagraph"/>
        <w:numPr>
          <w:ilvl w:val="0"/>
          <w:numId w:val="4"/>
        </w:numPr>
        <w:ind w:left="993" w:right="0" w:hanging="633"/>
        <w:rPr>
          <w:rFonts w:cs="Arial"/>
          <w:color w:val="000000"/>
          <w:szCs w:val="24"/>
        </w:rPr>
      </w:pPr>
      <w:r>
        <w:rPr>
          <w:rFonts w:cs="Arial"/>
          <w:color w:val="000000"/>
          <w:szCs w:val="24"/>
        </w:rPr>
        <w:t>To align work area to the Sustainability Strategy and ensure work practices are inclusive of this.</w:t>
      </w:r>
    </w:p>
    <w:p>
      <w:pPr>
        <w:pStyle w:val="Normal"/>
        <w:rPr>
          <w:rFonts w:cs="Arial"/>
          <w:color w:val="FF0000"/>
          <w:szCs w:val="24"/>
        </w:rPr>
      </w:pPr>
      <w:r>
        <w:rPr>
          <w:rFonts w:cs="Arial"/>
          <w:color w:val="FF0000"/>
          <w:szCs w:val="24"/>
        </w:rPr>
      </w:r>
    </w:p>
    <w:p>
      <w:pPr>
        <w:pStyle w:val="Normal"/>
        <w:rPr>
          <w:b/>
          <w:b/>
          <w:color w:val="auto"/>
          <w:szCs w:val="24"/>
        </w:rPr>
      </w:pPr>
      <w:r>
        <w:rPr>
          <w:b/>
          <w:color w:val="auto"/>
          <w:szCs w:val="24"/>
        </w:rPr>
        <w:t>Please include:</w:t>
      </w:r>
    </w:p>
    <w:p>
      <w:pPr>
        <w:pStyle w:val="ListParagraph"/>
        <w:numPr>
          <w:ilvl w:val="0"/>
          <w:numId w:val="4"/>
        </w:numPr>
        <w:ind w:left="993" w:right="0" w:hanging="633"/>
        <w:rPr>
          <w:rFonts w:cs="Arial"/>
          <w:color w:val="auto"/>
        </w:rPr>
      </w:pPr>
      <w:r>
        <w:rPr>
          <w:rFonts w:cs="Arial"/>
          <w:color w:val="auto"/>
        </w:rPr>
        <w:t>To 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4"/>
        </w:numPr>
        <w:ind w:left="993" w:right="0" w:hanging="633"/>
        <w:rPr>
          <w:rFonts w:eastAsia="Arial" w:cs="Arial"/>
          <w:color w:val="auto"/>
          <w:szCs w:val="24"/>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4"/>
        </w:numPr>
        <w:ind w:left="993" w:right="0" w:hanging="633"/>
        <w:rPr>
          <w:color w:val="auto"/>
        </w:rPr>
      </w:pPr>
      <w:r>
        <w:rPr>
          <w:color w:val="auto"/>
        </w:rPr>
        <w:t>Ensure the services delivered internally and externally are inclusive and accessible.</w:t>
      </w:r>
    </w:p>
    <w:p>
      <w:pPr>
        <w:pStyle w:val="ListParagraph"/>
        <w:numPr>
          <w:ilvl w:val="0"/>
          <w:numId w:val="4"/>
        </w:numPr>
        <w:ind w:left="993" w:right="0" w:hanging="633"/>
        <w:rPr>
          <w:rFonts w:cs="Arial"/>
          <w:color w:val="auto"/>
        </w:rPr>
      </w:pPr>
      <w:r>
        <w:rPr>
          <w:rFonts w:cs="Arial"/>
          <w:color w:val="auto"/>
        </w:rPr>
        <w:t xml:space="preserve">To align work area to the Sustainability Strategy and ensure work practices are inclusive of this value &amp; strategic intent. </w:t>
      </w:r>
    </w:p>
    <w:p>
      <w:pPr>
        <w:pStyle w:val="Normal"/>
        <w:rPr>
          <w:rFonts w:cs="Arial"/>
          <w:b/>
          <w:b/>
          <w:color w:val="auto"/>
        </w:rPr>
      </w:pPr>
      <w:r>
        <w:rPr>
          <w:rFonts w:cs="Arial"/>
          <w:b/>
          <w:color w:val="auto"/>
        </w:rPr>
        <w:t>NB: This list of duties and responsibilities is by no means exhaustive, and the post holder may be required to undertake other relevant and appropriate duties as required.</w:t>
      </w:r>
    </w:p>
    <w:p>
      <w:pPr>
        <w:pStyle w:val="Normal"/>
        <w:rPr>
          <w:rFonts w:cs="Arial"/>
          <w:b/>
          <w:b/>
          <w:color w:val="auto"/>
        </w:rPr>
      </w:pPr>
      <w:r>
        <w:rPr>
          <w:rFonts w:cs="Arial"/>
          <w:b/>
          <w:color w:val="auto"/>
        </w:rPr>
        <w:t>FOR ROLES EXEMPT FROM THE REHABILITATION OF OFFENDERS ACT:</w:t>
      </w:r>
    </w:p>
    <w:p>
      <w:pPr>
        <w:pStyle w:val="Normal"/>
        <w:rPr>
          <w:rFonts w:cs="Arial"/>
          <w:b/>
          <w:b/>
          <w:color w:val="auto"/>
        </w:rPr>
      </w:pPr>
      <w:r>
        <w:rPr>
          <w:rFonts w:cs="Arial"/>
          <w:b/>
          <w:color w:val="auto"/>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Heading2"/>
        <w:shd w:fill="004F6E" w:val="clear"/>
        <w:rPr>
          <w:rFonts w:cs="Arial"/>
          <w:sz w:val="24"/>
          <w:szCs w:val="24"/>
        </w:rPr>
      </w:pPr>
      <w:r>
        <w:rPr>
          <w:rFonts w:cs="Arial"/>
          <w:sz w:val="24"/>
          <w:szCs w:val="24"/>
        </w:rPr>
        <w:t>Knowledge, Skills, and Experience</w:t>
      </w:r>
    </w:p>
    <w:p>
      <w:pPr>
        <w:pStyle w:val="Normal"/>
        <w:spacing w:before="240" w:after="240"/>
        <w:rPr>
          <w:rFonts w:cs="Arial"/>
          <w:b/>
          <w:b/>
        </w:rPr>
      </w:pPr>
      <w:r>
        <w:rPr>
          <w:rFonts w:cs="Arial"/>
          <w:b/>
        </w:rPr>
        <w:t xml:space="preserve">Knowledge &amp; Experience </w:t>
      </w:r>
    </w:p>
    <w:p>
      <w:pPr>
        <w:pStyle w:val="ListParagraph"/>
        <w:numPr>
          <w:ilvl w:val="0"/>
          <w:numId w:val="6"/>
        </w:numPr>
        <w:spacing w:lineRule="auto" w:line="240" w:before="240" w:after="0"/>
        <w:rPr>
          <w:color w:val="auto"/>
          <w:szCs w:val="24"/>
        </w:rPr>
      </w:pPr>
      <w:r>
        <w:rPr>
          <w:color w:val="auto"/>
          <w:szCs w:val="24"/>
        </w:rPr>
        <w:t>Educated to degree level</w:t>
      </w:r>
    </w:p>
    <w:p>
      <w:pPr>
        <w:pStyle w:val="ListParagraph"/>
        <w:numPr>
          <w:ilvl w:val="0"/>
          <w:numId w:val="6"/>
        </w:numPr>
        <w:spacing w:lineRule="auto" w:line="240" w:before="240" w:after="0"/>
        <w:rPr>
          <w:color w:val="auto"/>
          <w:szCs w:val="24"/>
        </w:rPr>
      </w:pPr>
      <w:r>
        <w:rPr>
          <w:color w:val="auto"/>
          <w:szCs w:val="24"/>
        </w:rPr>
        <w:t>Significant experience of working in aspects of youth justice at a senior level</w:t>
      </w:r>
    </w:p>
    <w:p>
      <w:pPr>
        <w:pStyle w:val="ListParagraph"/>
        <w:numPr>
          <w:ilvl w:val="0"/>
          <w:numId w:val="6"/>
        </w:numPr>
        <w:spacing w:lineRule="auto" w:line="240" w:before="240" w:after="0"/>
        <w:rPr>
          <w:color w:val="auto"/>
          <w:szCs w:val="24"/>
        </w:rPr>
      </w:pPr>
      <w:r>
        <w:rPr>
          <w:color w:val="auto"/>
          <w:szCs w:val="24"/>
        </w:rPr>
        <w:t>Management experience in a safeguarding focused team, managing professionals from a range of different backgrounds. A managerial qualification is desirable but not essential.</w:t>
      </w:r>
    </w:p>
    <w:p>
      <w:pPr>
        <w:pStyle w:val="ListParagraph"/>
        <w:numPr>
          <w:ilvl w:val="0"/>
          <w:numId w:val="6"/>
        </w:numPr>
        <w:spacing w:lineRule="auto" w:line="240" w:before="240" w:after="0"/>
        <w:rPr>
          <w:color w:val="auto"/>
          <w:szCs w:val="24"/>
        </w:rPr>
      </w:pPr>
      <w:r>
        <w:rPr>
          <w:color w:val="auto"/>
          <w:szCs w:val="24"/>
        </w:rPr>
        <w:t>Demonstratable experience of working successfully across a range of public sector organisations, managing performance and quality to deliver improved results</w:t>
      </w:r>
    </w:p>
    <w:p>
      <w:pPr>
        <w:pStyle w:val="ListParagraph"/>
        <w:numPr>
          <w:ilvl w:val="0"/>
          <w:numId w:val="6"/>
        </w:numPr>
        <w:spacing w:lineRule="auto" w:line="240" w:before="240" w:after="0"/>
        <w:rPr>
          <w:color w:val="auto"/>
          <w:szCs w:val="24"/>
        </w:rPr>
      </w:pPr>
      <w:r>
        <w:rPr>
          <w:color w:val="auto"/>
          <w:szCs w:val="24"/>
        </w:rPr>
        <w:t>Experience of preparing and managing successful funding bids and business cases to acquire large scale funding within tight timescales.</w:t>
      </w:r>
    </w:p>
    <w:p>
      <w:pPr>
        <w:pStyle w:val="ListParagraph"/>
        <w:numPr>
          <w:ilvl w:val="0"/>
          <w:numId w:val="6"/>
        </w:numPr>
        <w:spacing w:lineRule="auto" w:line="240" w:before="240" w:after="0"/>
        <w:rPr>
          <w:color w:val="auto"/>
          <w:szCs w:val="24"/>
        </w:rPr>
      </w:pPr>
      <w:r>
        <w:rPr>
          <w:color w:val="auto"/>
          <w:szCs w:val="24"/>
        </w:rPr>
        <w:t xml:space="preserve">Ability to manage change, developing and delivering innovative ways of working to transform practice. </w:t>
      </w:r>
    </w:p>
    <w:p>
      <w:pPr>
        <w:pStyle w:val="ListParagraph"/>
        <w:numPr>
          <w:ilvl w:val="0"/>
          <w:numId w:val="6"/>
        </w:numPr>
        <w:spacing w:lineRule="auto" w:line="240" w:before="240" w:after="0"/>
        <w:rPr>
          <w:color w:val="auto"/>
          <w:szCs w:val="24"/>
        </w:rPr>
      </w:pPr>
      <w:r>
        <w:rPr>
          <w:color w:val="auto"/>
          <w:szCs w:val="24"/>
        </w:rPr>
        <w:t>Demonstratable experience of working with government departments and inspection bodies to share learning and influence policy in this or related fields.</w:t>
      </w:r>
    </w:p>
    <w:p>
      <w:pPr>
        <w:pStyle w:val="ListParagraph"/>
        <w:numPr>
          <w:ilvl w:val="0"/>
          <w:numId w:val="6"/>
        </w:numPr>
        <w:spacing w:lineRule="auto" w:line="240" w:before="240" w:after="0"/>
        <w:rPr>
          <w:color w:val="auto"/>
          <w:szCs w:val="24"/>
        </w:rPr>
      </w:pPr>
      <w:r>
        <w:rPr>
          <w:color w:val="auto"/>
          <w:szCs w:val="24"/>
        </w:rPr>
        <w:t>Proven history of reporting to senior, multi-agency boards.</w:t>
        <w:br/>
      </w:r>
    </w:p>
    <w:p>
      <w:pPr>
        <w:pStyle w:val="Body"/>
        <w:rPr>
          <w:b/>
          <w:b/>
          <w:color w:val="auto"/>
          <w:szCs w:val="24"/>
          <w:lang w:val="en-US"/>
        </w:rPr>
      </w:pPr>
      <w:r>
        <w:rPr>
          <w:b/>
          <w:color w:val="auto"/>
          <w:szCs w:val="24"/>
          <w:lang w:val="en-US"/>
        </w:rPr>
        <w:t xml:space="preserve">Skills &amp; Behaviours </w:t>
      </w:r>
    </w:p>
    <w:p>
      <w:pPr>
        <w:pStyle w:val="ListParagraph"/>
        <w:numPr>
          <w:ilvl w:val="0"/>
          <w:numId w:val="6"/>
        </w:numPr>
        <w:spacing w:lineRule="auto" w:line="240" w:before="240" w:after="0"/>
        <w:rPr>
          <w:color w:val="auto"/>
          <w:szCs w:val="24"/>
        </w:rPr>
      </w:pPr>
      <w:r>
        <w:rPr>
          <w:color w:val="auto"/>
          <w:szCs w:val="24"/>
        </w:rPr>
        <w:t>Demonstratable strong communication, presentation and interpersonal skills.</w:t>
      </w:r>
    </w:p>
    <w:p>
      <w:pPr>
        <w:pStyle w:val="ListParagraph"/>
        <w:numPr>
          <w:ilvl w:val="0"/>
          <w:numId w:val="6"/>
        </w:numPr>
        <w:spacing w:lineRule="auto" w:line="240" w:before="240" w:after="0"/>
        <w:rPr>
          <w:color w:val="auto"/>
          <w:szCs w:val="24"/>
        </w:rPr>
      </w:pPr>
      <w:r>
        <w:rPr>
          <w:color w:val="auto"/>
          <w:szCs w:val="24"/>
        </w:rPr>
        <w:t>Proven ability to use data and performance information to successfully achieve results and drive change.</w:t>
      </w:r>
    </w:p>
    <w:p>
      <w:pPr>
        <w:pStyle w:val="ListParagraph"/>
        <w:numPr>
          <w:ilvl w:val="0"/>
          <w:numId w:val="6"/>
        </w:numPr>
        <w:spacing w:lineRule="auto" w:line="240" w:before="240" w:after="0"/>
        <w:rPr>
          <w:color w:val="auto"/>
          <w:szCs w:val="24"/>
        </w:rPr>
      </w:pPr>
      <w:r>
        <w:rPr>
          <w:color w:val="auto"/>
          <w:szCs w:val="24"/>
        </w:rPr>
        <w:t>Experience in bid development and report writing.</w:t>
      </w:r>
    </w:p>
    <w:p>
      <w:pPr>
        <w:pStyle w:val="ListParagraph"/>
        <w:numPr>
          <w:ilvl w:val="0"/>
          <w:numId w:val="6"/>
        </w:numPr>
        <w:spacing w:lineRule="auto" w:line="240" w:before="240" w:after="0"/>
        <w:rPr>
          <w:color w:val="auto"/>
          <w:szCs w:val="24"/>
        </w:rPr>
      </w:pPr>
      <w:r>
        <w:rPr>
          <w:color w:val="auto"/>
          <w:szCs w:val="24"/>
        </w:rPr>
        <w:t>Good level of financial management skills.</w:t>
      </w:r>
    </w:p>
    <w:p>
      <w:pPr>
        <w:pStyle w:val="ListParagraph"/>
        <w:numPr>
          <w:ilvl w:val="0"/>
          <w:numId w:val="6"/>
        </w:numPr>
        <w:spacing w:lineRule="auto" w:line="240" w:before="240" w:after="0"/>
        <w:rPr>
          <w:color w:val="auto"/>
          <w:szCs w:val="24"/>
        </w:rPr>
      </w:pPr>
      <w:r>
        <w:rPr>
          <w:color w:val="auto"/>
          <w:szCs w:val="24"/>
        </w:rPr>
        <w:t xml:space="preserve">Demonstratable media management skills. </w:t>
      </w:r>
    </w:p>
    <w:p>
      <w:pPr>
        <w:pStyle w:val="Default"/>
        <w:rPr/>
      </w:pPr>
      <w:r>
        <w:rPr/>
      </w:r>
    </w:p>
    <w:p>
      <w:pPr>
        <w:pStyle w:val="Default"/>
        <w:rPr/>
      </w:pPr>
      <w:r>
        <w:rPr/>
      </w:r>
    </w:p>
    <w:p>
      <w:pPr>
        <w:pStyle w:val="Default"/>
        <w:rPr/>
      </w:pPr>
      <w:r>
        <w:rPr/>
      </w:r>
    </w:p>
    <w:p>
      <w:pPr>
        <w:pStyle w:val="Normal"/>
        <w:spacing w:before="240" w:after="240"/>
        <w:rPr>
          <w:rFonts w:cs="Arial"/>
          <w:color w:val="FF0000"/>
          <w:sz w:val="22"/>
        </w:rPr>
      </w:pPr>
      <w:r>
        <w:rPr>
          <w:rFonts w:cs="Arial"/>
          <w:color w:val="FF0000"/>
          <w:sz w:val="22"/>
        </w:rPr>
      </w:r>
    </w:p>
    <w:p>
      <w:pPr>
        <w:pStyle w:val="Normal"/>
        <w:spacing w:before="240" w:after="240"/>
        <w:rPr>
          <w:rFonts w:cs="Arial"/>
          <w:b/>
          <w:b/>
          <w:color w:val="000000"/>
          <w:sz w:val="22"/>
        </w:rPr>
      </w:pPr>
      <w:r>
        <w:rPr>
          <w:rFonts w:cs="Arial"/>
          <w:b/>
          <w:color w:val="000000"/>
          <w:sz w:val="22"/>
        </w:rPr>
        <w:t>FOR POLITICALLY RESTRICTED POSTS:</w:t>
      </w:r>
    </w:p>
    <w:p>
      <w:pPr>
        <w:pStyle w:val="Normal"/>
        <w:jc w:val="both"/>
        <w:rPr>
          <w:rFonts w:cs="Arial"/>
          <w:color w:val="000000"/>
          <w:sz w:val="22"/>
        </w:rPr>
      </w:pPr>
      <w:r>
        <w:rPr>
          <w:rFonts w:cs="Arial"/>
          <w:color w:val="000000"/>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5"/>
        </w:numPr>
        <w:spacing w:lineRule="auto" w:line="252" w:before="0" w:after="160"/>
        <w:contextualSpacing/>
        <w:jc w:val="both"/>
        <w:rPr>
          <w:color w:val="000000"/>
        </w:rPr>
      </w:pPr>
      <w:r>
        <w:rPr>
          <w:color w:val="000000"/>
        </w:rPr>
        <w:t>the post is that of a Chief Officer or Deputy Chief Officer or</w:t>
      </w:r>
    </w:p>
    <w:p>
      <w:pPr>
        <w:pStyle w:val="ListParagraph"/>
        <w:widowControl/>
        <w:numPr>
          <w:ilvl w:val="0"/>
          <w:numId w:val="5"/>
        </w:numPr>
        <w:spacing w:lineRule="auto" w:line="252" w:before="0" w:after="160"/>
        <w:contextualSpacing/>
        <w:jc w:val="both"/>
        <w:rPr>
          <w:color w:val="000000"/>
        </w:rPr>
      </w:pPr>
      <w:r>
        <w:rPr>
          <w:color w:val="000000"/>
        </w:rPr>
        <w:t>the post has delegated powers to discharge the functions of the Authority; or</w:t>
      </w:r>
    </w:p>
    <w:p>
      <w:pPr>
        <w:pStyle w:val="ListParagraph"/>
        <w:widowControl/>
        <w:numPr>
          <w:ilvl w:val="0"/>
          <w:numId w:val="5"/>
        </w:numPr>
        <w:spacing w:lineRule="auto" w:line="252" w:before="0" w:after="160"/>
        <w:contextualSpacing/>
        <w:jc w:val="both"/>
        <w:rPr>
          <w:color w:val="000000"/>
        </w:rPr>
      </w:pPr>
      <w:r>
        <w:rPr>
          <w:color w:val="000000"/>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000000"/>
          <w:sz w:val="22"/>
        </w:rPr>
      </w:pPr>
      <w:r>
        <w:rPr>
          <w:rFonts w:cs="Arial"/>
          <w:color w:val="000000"/>
          <w:sz w:val="22"/>
        </w:rPr>
        <w:t>The post holder has a right to appeal to the GMCA Chief Executive against the classification of their post as politically restricted.</w:t>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suppressAutoHyphens w:val="tru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6"/>
      <w:footerReference w:type="default" r:id="rId7"/>
      <w:type w:val="nextPage"/>
      <w:pgSz w:w="11906" w:h="16838"/>
      <w:pgMar w:left="720" w:right="720" w:header="709" w:top="766" w:footer="0" w:bottom="72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Symbol">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1</w:t>
    </w:r>
    <w:r>
      <w:rPr/>
      <w:fldChar w:fldCharType="end"/>
    </w:r>
  </w:p>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2</w:t>
    </w:r>
    <w:r>
      <w:rPr/>
      <w:fldChar w:fldCharType="end"/>
    </w:r>
  </w:p>
  <w:p>
    <w:pPr>
      <w:pStyle w:val="Footer"/>
      <w:spacing w:before="0" w:after="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7</w:t>
    </w:r>
    <w:r>
      <w:rPr/>
      <w:fldChar w:fldCharType="end"/>
    </w:r>
  </w:p>
  <w:p>
    <w:pPr>
      <w:pStyle w:val="TextBody"/>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drawing>
        <wp:anchor behindDoc="1" distT="0" distB="0" distL="114935" distR="114935" simplePos="0" locked="0" layoutInCell="1" allowOverlap="1" relativeHeight="7">
          <wp:simplePos x="0" y="0"/>
          <wp:positionH relativeFrom="column">
            <wp:posOffset>4396740</wp:posOffset>
          </wp:positionH>
          <wp:positionV relativeFrom="paragraph">
            <wp:posOffset>-303530</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L</w:t>
    </w:r>
    <w:r>
      <w:rPr/>
      <w:t>ast reviewed: &lt;enter date&gt;</w:t>
    </w:r>
  </w:p>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114935" distR="114935" simplePos="0" locked="0" layoutInCell="1" allowOverlap="1" relativeHeight="8">
          <wp:simplePos x="0" y="0"/>
          <wp:positionH relativeFrom="column">
            <wp:posOffset>4718050</wp:posOffset>
          </wp:positionH>
          <wp:positionV relativeFrom="paragraph">
            <wp:posOffset>-342900</wp:posOffset>
          </wp:positionV>
          <wp:extent cx="2190115" cy="68643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114935" distR="114935" simplePos="0" locked="0" layoutInCell="1" allowOverlap="1" relativeHeight="6">
          <wp:simplePos x="0" y="0"/>
          <wp:positionH relativeFrom="column">
            <wp:posOffset>3558540</wp:posOffset>
          </wp:positionH>
          <wp:positionV relativeFrom="paragraph">
            <wp:posOffset>635</wp:posOffset>
          </wp:positionV>
          <wp:extent cx="2190115" cy="686435"/>
          <wp:effectExtent l="0" t="0" r="0" b="0"/>
          <wp:wrapSquare wrapText="bothSides"/>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p>
    <w:pPr>
      <w:pStyle w:val="Header"/>
      <w:rPr/>
    </w:pPr>
    <w:r>
      <w:rPr/>
      <w:t xml:space="preserve">Date of last review: September 2023 </w:t>
    </w:r>
  </w:p>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pStyle w:val="Heading3"/>
      <w:numFmt w:val="none"/>
      <w:suff w:val="nothing"/>
      <w:lvlText w:val=""/>
      <w:lvlJc w:val="left"/>
      <w:pPr>
        <w:ind w:left="0" w:hanging="0"/>
      </w:pPr>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lang w:val="en-U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lang w:val="en-U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lang w:val="en-U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szCs w:val="24"/>
      <w:lang w:val="en-US"/>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Arial" w:hAnsi="Arial" w:cs="Aria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DefaultParagraphFont">
    <w:name w:val="Default Paragraph Font"/>
    <w:qFormat/>
    <w:rPr/>
  </w:style>
  <w:style w:type="character" w:styleId="WW8Num4z3">
    <w:name w:val="WW8Num4z3"/>
    <w:qFormat/>
    <w:rPr>
      <w:rFonts w:ascii="Symbol" w:hAnsi="Symbol" w:cs="Symbol"/>
    </w:rPr>
  </w:style>
  <w:style w:type="character" w:styleId="Annotationreference">
    <w:name w:val="annotation reference"/>
    <w:qFormat/>
    <w:rPr>
      <w:sz w:val="16"/>
      <w:szCs w:val="16"/>
    </w:rPr>
  </w:style>
  <w:style w:type="character" w:styleId="CommentTextChar">
    <w:name w:val="Comment Text Char"/>
    <w:qFormat/>
    <w:rPr>
      <w:rFonts w:ascii="Calibri" w:hAnsi="Calibri" w:eastAsia="Calibri" w:cs="Calibri"/>
      <w:sz w:val="20"/>
      <w:szCs w:val="20"/>
      <w:lang w:val="en-GB"/>
    </w:rPr>
  </w:style>
  <w:style w:type="character" w:styleId="CommentSubjectChar">
    <w:name w:val="Comment Subject Char"/>
    <w:qFormat/>
    <w:rPr>
      <w:rFonts w:ascii="Calibri" w:hAnsi="Calibri" w:eastAsia="Calibri" w:cs="Calibri"/>
      <w:b/>
      <w:bCs/>
      <w:sz w:val="20"/>
      <w:szCs w:val="20"/>
      <w:lang w:val="en-GB"/>
    </w:rPr>
  </w:style>
  <w:style w:type="character" w:styleId="HeaderChar">
    <w:name w:val="Header Char"/>
    <w:qFormat/>
    <w:rPr>
      <w:rFonts w:ascii="Calibri" w:hAnsi="Calibri" w:eastAsia="Calibri" w:cs="Calibri"/>
      <w:lang w:val="en-GB"/>
    </w:rPr>
  </w:style>
  <w:style w:type="character" w:styleId="FooterChar">
    <w:name w:val="Footer Char"/>
    <w:qFormat/>
    <w:rPr>
      <w:rFonts w:ascii="Calibri" w:hAnsi="Calibri" w:eastAsia="Calibri" w:cs="Calibri"/>
      <w:lang w:val="en-GB"/>
    </w:rPr>
  </w:style>
  <w:style w:type="character" w:styleId="Heading2Char">
    <w:name w:val="Heading 2 Char"/>
    <w:qFormat/>
    <w:rPr>
      <w:rFonts w:ascii="Arial" w:hAnsi="Arial" w:eastAsia="Calibri" w:cs="Calibri"/>
      <w:color w:val="FFFFFF"/>
      <w:sz w:val="36"/>
      <w:szCs w:val="32"/>
      <w:shd w:fill="004F6E" w:val="clear"/>
      <w:lang w:val="en-GB"/>
    </w:rPr>
  </w:style>
  <w:style w:type="character" w:styleId="Heading3Char">
    <w:name w:val="Heading 3 Char"/>
    <w:qFormat/>
    <w:rPr>
      <w:rFonts w:ascii="Arial" w:hAnsi="Arial" w:eastAsia="Calibri" w:cs="Calibri"/>
      <w:sz w:val="28"/>
      <w:szCs w:val="24"/>
      <w:lang w:val="en-GB"/>
    </w:rPr>
  </w:style>
  <w:style w:type="character" w:styleId="Strong">
    <w:name w:val="Strong"/>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Cs w:val="24"/>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ind w:left="993" w:right="0" w:hanging="633"/>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Body">
    <w:name w:val="Body"/>
    <w:qFormat/>
    <w:pPr>
      <w:widowControl/>
      <w:suppressAutoHyphens w:val="true"/>
      <w:bidi w:val="0"/>
      <w:spacing w:before="0" w:after="0"/>
      <w:jc w:val="left"/>
    </w:pPr>
    <w:rPr>
      <w:rFonts w:ascii="Arial" w:hAnsi="Arial" w:eastAsia="Arial" w:cs="Arial"/>
      <w:color w:val="000000"/>
      <w:kern w:val="0"/>
      <w:sz w:val="24"/>
      <w:szCs w:val="22"/>
      <w:u w:val="none" w:color="000000"/>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3.png"/>
</Relationships>
</file>

<file path=docProps/app.xml><?xml version="1.0" encoding="utf-8"?>
<Properties xmlns="http://schemas.openxmlformats.org/officeDocument/2006/extended-properties" xmlns:vt="http://schemas.openxmlformats.org/officeDocument/2006/docPropsVTypes">
  <Template>Normal.dotm</Template>
  <TotalTime>34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