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Technical Data Lead – SAVVI and Open Referral UK</w:t>
      </w:r>
    </w:p>
    <w:p>
      <w:pPr>
        <w:pStyle w:val="ListParagraph"/>
        <w:numPr>
          <w:ilvl w:val="0"/>
          <w:numId w:val="2"/>
        </w:numPr>
        <w:rPr/>
      </w:pPr>
      <w:r>
        <w:rPr>
          <w:b/>
          <w:bCs/>
        </w:rPr>
        <w:t>Grade:</w:t>
      </w:r>
      <w:r>
        <w:rPr/>
        <w:t xml:space="preserve"> Grade 10, subject to job evaluation</w:t>
      </w:r>
    </w:p>
    <w:p>
      <w:pPr>
        <w:pStyle w:val="ListParagraph"/>
        <w:numPr>
          <w:ilvl w:val="0"/>
          <w:numId w:val="2"/>
        </w:numPr>
        <w:rPr/>
      </w:pPr>
      <w:r>
        <w:rPr>
          <w:b/>
        </w:rPr>
        <w:t>Business area:</w:t>
      </w:r>
      <w:r>
        <w:rPr/>
        <w:t xml:space="preserve"> Digital Services</w:t>
      </w:r>
    </w:p>
    <w:p>
      <w:pPr>
        <w:pStyle w:val="ListParagraph"/>
        <w:numPr>
          <w:ilvl w:val="0"/>
          <w:numId w:val="2"/>
        </w:numPr>
        <w:rPr/>
      </w:pPr>
      <w:r>
        <w:rPr>
          <w:b/>
          <w:bCs/>
        </w:rPr>
        <w:t>Job title</w:t>
      </w:r>
      <w:r>
        <w:rPr/>
        <w:t>: Technical Data Lead – SAVVI and Open Referral UK</w:t>
      </w:r>
    </w:p>
    <w:p>
      <w:pPr>
        <w:pStyle w:val="ListParagraph"/>
        <w:numPr>
          <w:ilvl w:val="0"/>
          <w:numId w:val="2"/>
        </w:numPr>
        <w:rPr/>
      </w:pPr>
      <w:r>
        <w:rPr>
          <w:b/>
        </w:rPr>
        <w:t>Reporting line:</w:t>
      </w:r>
      <w:r>
        <w:rPr/>
        <w:t xml:space="preserve"> To be confirmed</w:t>
      </w:r>
    </w:p>
    <w:p>
      <w:pPr>
        <w:pStyle w:val="ListParagraph"/>
        <w:numPr>
          <w:ilvl w:val="0"/>
          <w:numId w:val="2"/>
        </w:numPr>
        <w:rPr/>
      </w:pPr>
      <w:r>
        <w:rPr>
          <w:b/>
          <w:bCs/>
        </w:rPr>
        <w:t>Team:</w:t>
      </w:r>
      <w:r>
        <w:rPr/>
        <w:t xml:space="preserve"> SAVVI Office / SAVVI subject matter expert team</w:t>
      </w:r>
    </w:p>
    <w:p>
      <w:pPr>
        <w:pStyle w:val="Heading2"/>
        <w:shd w:fill="004F6E" w:val="clear"/>
        <w:rPr>
          <w:rFonts w:cs="Arial"/>
          <w:sz w:val="24"/>
          <w:szCs w:val="24"/>
        </w:rPr>
      </w:pPr>
      <w:r>
        <w:rPr>
          <w:rFonts w:cs="Arial"/>
          <w:sz w:val="24"/>
          <w:szCs w:val="24"/>
        </w:rPr>
        <w:t>Job Purpose</w:t>
      </w:r>
    </w:p>
    <w:p>
      <w:pPr>
        <w:pStyle w:val="Normal"/>
        <w:rPr/>
      </w:pPr>
      <w:r>
        <w:rPr/>
        <w:t>Help build the technical foundations for prevention-led public services in Greater Manchester. Greater Manchester Combined Authority is establishing a dedicated SAVVI Office to support the adoption of the Scalable Approach to Vulnerability via Interoperability and Open Referral UK across Greater Manchester. This role will provide technical data leadership to help partners use data safely, consistently and ethically to identify vulnerability earlier, connect people and households with the right support, and reduce the risk of people reaching crisis point.</w:t>
      </w:r>
    </w:p>
    <w:p>
      <w:pPr>
        <w:pStyle w:val="Normal"/>
        <w:rPr/>
      </w:pPr>
      <w:r>
        <w:rPr/>
        <w:t>The post holder will set the technical direction for SAVVI-related data design, standards and interoperability, ensuring that data is managed properly and meets organisational, partner and service needs. Working within Digital Services and in close collaboration with Information and Data Governance, the wider SAVVI team and local, regional and national partners, the role will help build sustainable regional capability, accelerate prevention-focused use cases and share learning locally, regionally and nationally.</w:t>
      </w:r>
    </w:p>
    <w:p>
      <w:pPr>
        <w:pStyle w:val="Normal"/>
        <w:rPr/>
      </w:pPr>
      <w:r>
        <w:rPr/>
      </w:r>
    </w:p>
    <w:p>
      <w:pPr>
        <w:pStyle w:val="Normal"/>
        <w:rPr>
          <w:kern w:val="2"/>
          <w:szCs w:val="24"/>
          <w:lang w:eastAsia="en-GB"/>
        </w:rPr>
      </w:pPr>
      <w:r>
        <w:rPr>
          <w:kern w:val="2"/>
          <w:szCs w:val="24"/>
          <w:lang w:eastAsia="en-GB"/>
        </w:rPr>
      </w:r>
    </w:p>
    <w:p>
      <w:pPr>
        <w:pStyle w:val="Heading2"/>
        <w:shd w:fill="004F6E" w:val="clear"/>
        <w:rPr>
          <w:rFonts w:cs="Arial"/>
          <w:sz w:val="24"/>
          <w:szCs w:val="24"/>
        </w:rPr>
      </w:pPr>
      <w:r>
        <w:rPr>
          <w:rFonts w:cs="Arial"/>
          <w:sz w:val="24"/>
          <w:szCs w:val="24"/>
        </w:rPr>
        <w:t>Key working relationships</w:t>
      </w:r>
    </w:p>
    <w:p>
      <w:pPr>
        <w:pStyle w:val="ListParagraph"/>
        <w:numPr>
          <w:ilvl w:val="0"/>
          <w:numId w:val="3"/>
        </w:numPr>
        <w:rPr/>
      </w:pPr>
      <w:r>
        <w:rPr/>
        <w:t>Senior Information and Data Governance Lead, Transformation Coach and the wider SAVVI subject matter expert team.</w:t>
      </w:r>
    </w:p>
    <w:p>
      <w:pPr>
        <w:pStyle w:val="ListParagraph"/>
        <w:widowControl/>
        <w:numPr>
          <w:ilvl w:val="0"/>
          <w:numId w:val="3"/>
        </w:numPr>
        <w:rPr/>
      </w:pPr>
      <w:r>
        <w:rPr/>
        <w:t>Local authorities, GMCA, TfGM, digital, data, legal, information security and service delivery colleagues.</w:t>
      </w:r>
    </w:p>
    <w:p>
      <w:pPr>
        <w:pStyle w:val="ListParagraph"/>
        <w:widowControl/>
        <w:numPr>
          <w:ilvl w:val="0"/>
          <w:numId w:val="3"/>
        </w:numPr>
        <w:rPr/>
      </w:pPr>
      <w:r>
        <w:rPr/>
        <w:t>National SAVVI, Open Referral UK and iStandUK partners, suppliers and standards stakeholders.</w:t>
      </w:r>
    </w:p>
    <w:p>
      <w:pPr>
        <w:pStyle w:val="Heading2"/>
        <w:shd w:fill="004F6E" w:val="clear"/>
        <w:rPr>
          <w:rFonts w:cs="Arial"/>
          <w:sz w:val="24"/>
          <w:szCs w:val="24"/>
        </w:rPr>
      </w:pPr>
      <w:r>
        <w:rPr>
          <w:rFonts w:cs="Arial"/>
          <w:sz w:val="24"/>
          <w:szCs w:val="24"/>
        </w:rPr>
        <w:t>Key Responsibilities</w:t>
      </w:r>
    </w:p>
    <w:p>
      <w:pPr>
        <w:pStyle w:val="ListParagraph"/>
        <w:numPr>
          <w:ilvl w:val="0"/>
          <w:numId w:val="4"/>
        </w:numPr>
        <w:ind w:left="993" w:right="0" w:hanging="633"/>
        <w:rPr/>
      </w:pPr>
      <w:r>
        <w:rPr/>
        <w:t>Provide technical data leadership for SAVVI implementation across Greater Manchester.</w:t>
      </w:r>
    </w:p>
    <w:p>
      <w:pPr>
        <w:pStyle w:val="ListParagraph"/>
        <w:numPr>
          <w:ilvl w:val="0"/>
          <w:numId w:val="4"/>
        </w:numPr>
        <w:ind w:left="993" w:right="0" w:hanging="633"/>
        <w:rPr/>
      </w:pPr>
      <w:r>
        <w:rPr/>
        <w:t>Shape and support the technical data architecture for SAVVI-related delivery, including data models, schemas, APIs, metadata, integration patterns and secure data exchange approaches.</w:t>
      </w:r>
    </w:p>
    <w:p>
      <w:pPr>
        <w:pStyle w:val="ListParagraph"/>
        <w:numPr>
          <w:ilvl w:val="0"/>
          <w:numId w:val="4"/>
        </w:numPr>
        <w:ind w:left="993" w:right="0" w:hanging="633"/>
        <w:rPr/>
      </w:pPr>
      <w:r>
        <w:rPr/>
        <w:t>Help partners implement SAVVI standards and templates in real-world service settings.</w:t>
      </w:r>
    </w:p>
    <w:p>
      <w:pPr>
        <w:pStyle w:val="ListParagraph"/>
        <w:numPr>
          <w:ilvl w:val="0"/>
          <w:numId w:val="4"/>
        </w:numPr>
        <w:ind w:left="993" w:right="0" w:hanging="633"/>
        <w:rPr/>
      </w:pPr>
      <w:r>
        <w:rPr/>
        <w:t>Support the integration of data from multiple systems and organisations, ensuring alignment, interoperability, data quality and appropriate reuse of existing data and systems.</w:t>
      </w:r>
    </w:p>
    <w:p>
      <w:pPr>
        <w:pStyle w:val="ListParagraph"/>
        <w:numPr>
          <w:ilvl w:val="0"/>
          <w:numId w:val="4"/>
        </w:numPr>
        <w:ind w:left="993" w:right="0" w:hanging="633"/>
        <w:rPr/>
      </w:pPr>
      <w:r>
        <w:rPr/>
        <w:t>Work with technical architects, data teams, service managers and partners to ensure systems are designed in line with enterprise data architecture, information governance requirements and SAVVI principles.</w:t>
      </w:r>
    </w:p>
    <w:p>
      <w:pPr>
        <w:pStyle w:val="ListParagraph"/>
        <w:numPr>
          <w:ilvl w:val="0"/>
          <w:numId w:val="4"/>
        </w:numPr>
        <w:ind w:left="993" w:right="0" w:hanging="633"/>
        <w:rPr/>
      </w:pPr>
      <w:r>
        <w:rPr/>
        <w:t>Advise on secure, ethical and privacy-by-design approaches to data exchange, working closely with information governance, legal and security colleagues.</w:t>
      </w:r>
    </w:p>
    <w:p>
      <w:pPr>
        <w:pStyle w:val="ListParagraph"/>
        <w:numPr>
          <w:ilvl w:val="0"/>
          <w:numId w:val="4"/>
        </w:numPr>
        <w:ind w:left="993" w:right="0" w:hanging="633"/>
        <w:rPr/>
      </w:pPr>
      <w:r>
        <w:rPr/>
        <w:t>Translate complex technical concepts into clear, accessible language for senior leaders, service managers, technical colleagues and frontline staff.</w:t>
      </w:r>
    </w:p>
    <w:p>
      <w:pPr>
        <w:pStyle w:val="ListParagraph"/>
        <w:numPr>
          <w:ilvl w:val="0"/>
          <w:numId w:val="4"/>
        </w:numPr>
        <w:ind w:left="993" w:right="0" w:hanging="633"/>
        <w:rPr/>
      </w:pPr>
      <w:r>
        <w:rPr/>
        <w:t>Create and maintain data dictionaries, metadata, implementation guidance and supporting documentation that enable partners to understand, use and maintain SAVVI-aligned data consistently.</w:t>
      </w:r>
    </w:p>
    <w:p>
      <w:pPr>
        <w:pStyle w:val="ListParagraph"/>
        <w:numPr>
          <w:ilvl w:val="0"/>
          <w:numId w:val="4"/>
        </w:numPr>
        <w:ind w:left="993" w:right="0" w:hanging="633"/>
        <w:rPr/>
      </w:pPr>
      <w:r>
        <w:rPr/>
        <w:t>Identify common technical barriers across projects and contribute to the continued development of SAVVI standards, tools, templates and playbook material.</w:t>
      </w:r>
    </w:p>
    <w:p>
      <w:pPr>
        <w:pStyle w:val="ListParagraph"/>
        <w:numPr>
          <w:ilvl w:val="0"/>
          <w:numId w:val="4"/>
        </w:numPr>
        <w:ind w:left="993" w:right="0" w:hanging="633"/>
        <w:rPr/>
      </w:pPr>
      <w:r>
        <w:rPr/>
        <w:t>Build strong relationships with partners, suppliers and national standards stakeholders, representing GMCA appropriately in relevant groups and forums.</w:t>
      </w:r>
    </w:p>
    <w:p>
      <w:pPr>
        <w:pStyle w:val="Normal"/>
        <w:ind w:left="360" w:right="0" w:hanging="0"/>
        <w:rPr>
          <w:rFonts w:eastAsia="Arial" w:cs="Arial"/>
          <w:szCs w:val="24"/>
        </w:rPr>
      </w:pPr>
      <w:r>
        <w:rPr>
          <w:rFonts w:eastAsia="Arial" w:cs="Arial"/>
          <w:szCs w:val="24"/>
        </w:rPr>
        <w:t xml:space="preserve"> </w:t>
      </w:r>
    </w:p>
    <w:p>
      <w:pPr>
        <w:pStyle w:val="Heading2"/>
        <w:shd w:fill="004F6E" w:val="clear"/>
        <w:rPr>
          <w:rFonts w:cs="Arial"/>
          <w:sz w:val="24"/>
          <w:szCs w:val="24"/>
        </w:rPr>
      </w:pPr>
      <w:r>
        <w:rPr>
          <w:rFonts w:cs="Arial"/>
          <w:sz w:val="24"/>
          <w:szCs w:val="24"/>
        </w:rPr>
        <w:t>General</w:t>
      </w:r>
    </w:p>
    <w:p>
      <w:pPr>
        <w:pStyle w:val="ListParagraph"/>
        <w:numPr>
          <w:ilvl w:val="0"/>
          <w:numId w:val="4"/>
        </w:numPr>
        <w:ind w:left="993" w:right="0" w:hanging="633"/>
        <w:rPr/>
      </w:pPr>
      <w:r>
        <w:rPr/>
        <w:t>Contribute to the wider development of prevention-led, data-enabled public services across Greater Manchester.</w:t>
      </w:r>
    </w:p>
    <w:p>
      <w:pPr>
        <w:pStyle w:val="ListParagraph"/>
        <w:numPr>
          <w:ilvl w:val="0"/>
          <w:numId w:val="4"/>
        </w:numPr>
        <w:ind w:left="993" w:right="0" w:hanging="633"/>
        <w:rPr/>
      </w:pPr>
      <w:r>
        <w:rPr/>
        <w:t>Work collaboratively across internal teams and external partnerships to maximise alignment, learning and effective delivery.</w:t>
      </w:r>
    </w:p>
    <w:p>
      <w:pPr>
        <w:pStyle w:val="ListParagraph"/>
        <w:numPr>
          <w:ilvl w:val="0"/>
          <w:numId w:val="4"/>
        </w:numPr>
        <w:ind w:left="993" w:right="0" w:hanging="633"/>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ListParagraph"/>
        <w:numPr>
          <w:ilvl w:val="0"/>
          <w:numId w:val="4"/>
        </w:numPr>
        <w:ind w:left="993" w:right="0" w:hanging="633"/>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4"/>
        </w:numPr>
        <w:ind w:left="993" w:right="0" w:hanging="633"/>
        <w:rPr>
          <w:color w:val="auto"/>
        </w:rPr>
      </w:pPr>
      <w:r>
        <w:rPr>
          <w:color w:val="auto"/>
        </w:rPr>
        <w:t xml:space="preserve">Ensure the services delivered internally and externally are inclusive and accessible, integrated with the service </w:t>
      </w:r>
    </w:p>
    <w:p>
      <w:pPr>
        <w:pStyle w:val="ListParagraph"/>
        <w:numPr>
          <w:ilvl w:val="0"/>
          <w:numId w:val="4"/>
        </w:numPr>
        <w:ind w:left="993" w:right="0" w:hanging="633"/>
        <w:rPr>
          <w:rFonts w:cs="Arial"/>
          <w:color w:val="auto"/>
        </w:rPr>
      </w:pPr>
      <w:r>
        <w:rPr>
          <w:rFonts w:cs="Arial"/>
          <w:color w:val="auto"/>
        </w:rPr>
        <w:t xml:space="preserve">To align work area to the Sustainability Strategy and ensure work practices are inclusive of this values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Heading3"/>
        <w:ind w:left="720" w:right="0" w:hanging="360"/>
        <w:rPr/>
      </w:pPr>
      <w:r>
        <w:rPr>
          <w:rFonts w:cs="Symbol" w:ascii="Symbol" w:hAnsi="Symbol"/>
          <w:sz w:val="24"/>
        </w:rPr>
        <w:t>·</w:t>
      </w:r>
      <w:r>
        <w:rPr>
          <w:rFonts w:cs="Times New Roman" w:ascii="Times New Roman" w:hAnsi="Times New Roman"/>
          <w:sz w:val="14"/>
          <w:szCs w:val="14"/>
        </w:rPr>
        <w:t xml:space="preserve">       </w:t>
      </w:r>
      <w:r>
        <w:rPr>
          <w:sz w:val="24"/>
        </w:rPr>
        <w:t>Experience in data architecture, data engineering, technical data leadership or a related discipline.</w:t>
      </w:r>
    </w:p>
    <w:p>
      <w:pPr>
        <w:pStyle w:val="Heading3"/>
        <w:ind w:left="720" w:right="0" w:hanging="360"/>
        <w:rPr/>
      </w:pPr>
      <w:r>
        <w:rPr>
          <w:rFonts w:cs="Symbol" w:ascii="Symbol" w:hAnsi="Symbol"/>
          <w:sz w:val="24"/>
        </w:rPr>
        <w:t>·</w:t>
      </w:r>
      <w:r>
        <w:rPr>
          <w:rFonts w:cs="Times New Roman" w:ascii="Times New Roman" w:hAnsi="Times New Roman"/>
          <w:sz w:val="14"/>
          <w:szCs w:val="14"/>
        </w:rPr>
        <w:t xml:space="preserve">       </w:t>
      </w:r>
      <w:r>
        <w:rPr>
          <w:sz w:val="24"/>
        </w:rPr>
        <w:t>Strong understanding of structured data, APIs, schemas, data modelling, metadata, integration and system interoperability.</w:t>
      </w:r>
    </w:p>
    <w:p>
      <w:pPr>
        <w:pStyle w:val="Heading3"/>
        <w:ind w:left="720" w:right="0" w:hanging="360"/>
        <w:rPr/>
      </w:pPr>
      <w:r>
        <w:rPr>
          <w:rFonts w:cs="Symbol" w:ascii="Symbol" w:hAnsi="Symbol"/>
          <w:sz w:val="24"/>
        </w:rPr>
        <w:t>·</w:t>
      </w:r>
      <w:r>
        <w:rPr>
          <w:rFonts w:cs="Times New Roman" w:ascii="Times New Roman" w:hAnsi="Times New Roman"/>
          <w:sz w:val="14"/>
          <w:szCs w:val="14"/>
        </w:rPr>
        <w:t xml:space="preserve">       </w:t>
      </w:r>
      <w:r>
        <w:rPr>
          <w:sz w:val="24"/>
        </w:rPr>
        <w:t>Ability to apply technical data expertise in complex public sector or partnership environments.</w:t>
      </w:r>
    </w:p>
    <w:p>
      <w:pPr>
        <w:pStyle w:val="Heading3"/>
        <w:ind w:left="720" w:right="0" w:hanging="360"/>
        <w:rPr/>
      </w:pPr>
      <w:r>
        <w:rPr>
          <w:rFonts w:cs="Symbol" w:ascii="Symbol" w:hAnsi="Symbol"/>
          <w:sz w:val="24"/>
        </w:rPr>
        <w:t>·</w:t>
      </w:r>
      <w:r>
        <w:rPr>
          <w:rFonts w:cs="Times New Roman" w:ascii="Times New Roman" w:hAnsi="Times New Roman"/>
          <w:sz w:val="14"/>
          <w:szCs w:val="14"/>
        </w:rPr>
        <w:t xml:space="preserve">       </w:t>
      </w:r>
      <w:r>
        <w:rPr>
          <w:sz w:val="24"/>
        </w:rPr>
        <w:t>Knowledge of secure, ethical and privacy-by-design approaches to data exchange, with awareness of information governance, legal and security considerations.</w:t>
      </w:r>
    </w:p>
    <w:p>
      <w:pPr>
        <w:pStyle w:val="Heading3"/>
        <w:ind w:left="720" w:right="0" w:hanging="360"/>
        <w:rPr/>
      </w:pPr>
      <w:r>
        <w:rPr>
          <w:rFonts w:cs="Symbol" w:ascii="Symbol" w:hAnsi="Symbol"/>
          <w:sz w:val="24"/>
        </w:rPr>
        <w:t>·</w:t>
      </w:r>
      <w:r>
        <w:rPr>
          <w:rFonts w:cs="Times New Roman" w:ascii="Times New Roman" w:hAnsi="Times New Roman"/>
          <w:sz w:val="14"/>
          <w:szCs w:val="14"/>
        </w:rPr>
        <w:t xml:space="preserve">       </w:t>
      </w:r>
      <w:r>
        <w:rPr>
          <w:sz w:val="24"/>
        </w:rPr>
        <w:t>Experience creating and maintaining data dictionaries, metadata, implementation guidance and technical documentation.</w:t>
      </w:r>
    </w:p>
    <w:p>
      <w:pPr>
        <w:pStyle w:val="Heading3"/>
        <w:rPr>
          <w:rFonts w:cs="Arial"/>
          <w:sz w:val="24"/>
        </w:rPr>
      </w:pPr>
      <w:r>
        <w:rPr>
          <w:rFonts w:cs="Arial"/>
          <w:sz w:val="24"/>
        </w:rPr>
        <w:t>Desirable</w:t>
      </w:r>
    </w:p>
    <w:p>
      <w:pPr>
        <w:pStyle w:val="Default"/>
        <w:widowControl/>
        <w:numPr>
          <w:ilvl w:val="0"/>
          <w:numId w:val="6"/>
        </w:numPr>
        <w:rPr/>
      </w:pPr>
      <w:r>
        <w:rPr/>
        <w:t>Prior knowledge or experience of SAVVI practices is desirable but not essential; training will be provided.</w:t>
      </w:r>
    </w:p>
    <w:p>
      <w:pPr>
        <w:pStyle w:val="Default"/>
        <w:rPr/>
      </w:pPr>
      <w:r>
        <w:rPr/>
      </w:r>
    </w:p>
    <w:p>
      <w:pPr>
        <w:pStyle w:val="Default"/>
        <w:rPr/>
      </w:pPr>
      <w:r>
        <w:rPr/>
      </w:r>
    </w:p>
    <w:p>
      <w:pPr>
        <w:pStyle w:val="Default"/>
        <w:rPr/>
      </w:pPr>
      <w:r>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numPr>
          <w:ilvl w:val="0"/>
          <w:numId w:val="5"/>
        </w:numPr>
        <w:rPr/>
      </w:pPr>
      <w:r>
        <w:rPr/>
        <w:t>Confident communicator able to translate complex technical concepts into clear, accessible language for senior leaders, service managers, technical colleagues and frontline staff.</w:t>
      </w:r>
    </w:p>
    <w:p>
      <w:pPr>
        <w:pStyle w:val="ListParagraph"/>
        <w:numPr>
          <w:ilvl w:val="0"/>
          <w:numId w:val="5"/>
        </w:numPr>
        <w:rPr/>
      </w:pPr>
      <w:r>
        <w:rPr/>
        <w:t>Collaborative and able to work across organisational boundaries, balancing technical design with practical delivery, governance, security and public service outcomes.</w:t>
      </w:r>
    </w:p>
    <w:p>
      <w:pPr>
        <w:pStyle w:val="ListParagraph"/>
        <w:numPr>
          <w:ilvl w:val="0"/>
          <w:numId w:val="5"/>
        </w:numPr>
        <w:rPr/>
      </w:pPr>
      <w:r>
        <w:rPr/>
        <w:t>Problem-solving mindset with the ability to challenge constructively, act as a critical friend and help partners develop secure, ethical, interoperable and fit-for-purpose solutions.</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1276" w:right="1410" w:header="709"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Symbo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i w:val="false"/>
        <w:iCs w:val="fals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i w:val="false"/>
        <w:iCs w:val="fals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i w:val="false"/>
      <w:iCs w:val="false"/>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i w:val="false"/>
      <w:iCs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