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
        <w:ind w:left="0" w:right="-761" w:hanging="709"/>
        <w:jc w:val="center"/>
        <w:rPr>
          <w:rFonts w:eastAsia="Calibri"/>
          <w:b/>
          <w:b/>
          <w:bCs/>
          <w:iCs/>
        </w:rPr>
      </w:pPr>
      <w:r>
        <w:rPr/>
        <w:drawing>
          <wp:inline distT="0" distB="0" distL="0" distR="0">
            <wp:extent cx="6330315" cy="53467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54" r="-5" b="-54"/>
                    <a:stretch>
                      <a:fillRect/>
                    </a:stretch>
                  </pic:blipFill>
                  <pic:spPr bwMode="auto">
                    <a:xfrm>
                      <a:off x="0" y="0"/>
                      <a:ext cx="6330315" cy="534670"/>
                    </a:xfrm>
                    <a:prstGeom prst="rect">
                      <a:avLst/>
                    </a:prstGeom>
                  </pic:spPr>
                </pic:pic>
              </a:graphicData>
            </a:graphic>
          </wp:inline>
        </w:drawing>
      </w:r>
    </w:p>
    <w:p>
      <w:pPr>
        <w:pStyle w:val="Body"/>
        <w:ind w:left="0" w:right="261" w:hanging="0"/>
        <w:jc w:val="center"/>
        <w:rPr>
          <w:rFonts w:eastAsia="Calibri"/>
          <w:b/>
          <w:b/>
          <w:bCs/>
          <w:iCs/>
        </w:rPr>
      </w:pPr>
      <w:r>
        <w:rPr>
          <w:rFonts w:eastAsia="Calibri"/>
          <w:b/>
          <w:bCs/>
          <w:iCs/>
        </w:rPr>
      </w:r>
    </w:p>
    <w:p>
      <w:pPr>
        <w:pStyle w:val="Body"/>
        <w:ind w:left="0" w:right="261" w:hanging="0"/>
        <w:jc w:val="center"/>
        <w:rPr>
          <w:b/>
          <w:b/>
          <w:sz w:val="36"/>
          <w:szCs w:val="36"/>
        </w:rPr>
      </w:pPr>
      <w:r>
        <w:rPr>
          <w:b/>
          <w:sz w:val="36"/>
          <w:szCs w:val="36"/>
        </w:rPr>
        <w:t xml:space="preserve">Training, Exercise and MTA Associate Trainer </w:t>
      </w:r>
    </w:p>
    <w:p>
      <w:pPr>
        <w:pStyle w:val="Body"/>
        <w:ind w:left="0" w:right="261" w:hanging="0"/>
        <w:jc w:val="center"/>
        <w:rPr>
          <w:b/>
          <w:b/>
          <w:bCs/>
          <w:iCs/>
          <w:sz w:val="28"/>
          <w:szCs w:val="28"/>
        </w:rPr>
      </w:pPr>
      <w:r>
        <w:rPr>
          <w:b/>
          <w:bCs/>
          <w:iCs/>
          <w:sz w:val="28"/>
          <w:szCs w:val="28"/>
        </w:rPr>
        <w:t>Greater Manchester Combined Authority</w:t>
      </w:r>
    </w:p>
    <w:p>
      <w:pPr>
        <w:pStyle w:val="Body"/>
        <w:ind w:left="0" w:right="261" w:hanging="0"/>
        <w:rPr>
          <w:b/>
          <w:b/>
          <w:bCs/>
          <w:iCs/>
          <w:sz w:val="28"/>
          <w:szCs w:val="28"/>
        </w:rPr>
      </w:pPr>
      <w:r>
        <w:rPr>
          <w:b/>
          <w:bCs/>
          <w:iCs/>
          <w:sz w:val="28"/>
          <w:szCs w:val="28"/>
        </w:rPr>
      </w:r>
    </w:p>
    <w:p>
      <w:pPr>
        <w:pStyle w:val="Body"/>
        <w:ind w:left="0" w:right="261" w:hanging="0"/>
        <w:jc w:val="center"/>
        <w:rPr>
          <w:b/>
          <w:b/>
          <w:bCs/>
          <w:iCs/>
          <w:sz w:val="28"/>
          <w:szCs w:val="28"/>
        </w:rPr>
      </w:pPr>
      <w:r>
        <w:rPr>
          <w:b/>
          <w:bCs/>
          <w:iCs/>
          <w:sz w:val="28"/>
          <w:szCs w:val="28"/>
        </w:rPr>
        <w:t>Role Profile</w:t>
      </w:r>
    </w:p>
    <w:p>
      <w:pPr>
        <w:pStyle w:val="Body"/>
        <w:ind w:left="0" w:right="261" w:hanging="0"/>
        <w:jc w:val="both"/>
        <w:rPr>
          <w:rFonts w:eastAsia="Calibri"/>
          <w:b/>
          <w:b/>
          <w:bCs/>
          <w:iCs/>
        </w:rPr>
      </w:pPr>
      <w:r>
        <w:rPr>
          <w:rFonts w:eastAsia="Calibri"/>
          <w:b/>
          <w:bCs/>
          <w:iCs/>
        </w:rPr>
      </w:r>
    </w:p>
    <w:p>
      <w:pPr>
        <w:pStyle w:val="Body"/>
        <w:ind w:left="0" w:right="261" w:hanging="0"/>
        <w:jc w:val="both"/>
        <w:rPr>
          <w:rFonts w:eastAsia="Calibri"/>
          <w:b/>
          <w:b/>
          <w:bCs/>
          <w:iCs/>
        </w:rPr>
      </w:pPr>
      <w:r>
        <w:rPr>
          <w:rFonts w:eastAsia="Calibri"/>
          <w:b/>
          <w:bCs/>
          <w:iCs/>
        </w:rPr>
      </w:r>
    </w:p>
    <w:tbl>
      <w:tblPr>
        <w:tblW w:w="10357" w:type="dxa"/>
        <w:jc w:val="left"/>
        <w:tblInd w:w="-606" w:type="dxa"/>
        <w:tblCellMar>
          <w:top w:w="0" w:type="dxa"/>
          <w:left w:w="108" w:type="dxa"/>
          <w:bottom w:w="0" w:type="dxa"/>
          <w:right w:w="108" w:type="dxa"/>
        </w:tblCellMar>
      </w:tblPr>
      <w:tblGrid>
        <w:gridCol w:w="2127"/>
        <w:gridCol w:w="3092"/>
        <w:gridCol w:w="2309"/>
        <w:gridCol w:w="2829"/>
      </w:tblGrid>
      <w:tr>
        <w:trPr/>
        <w:tc>
          <w:tcPr>
            <w:tcW w:w="2127"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rPr>
            </w:pPr>
            <w:r>
              <w:rPr>
                <w:rFonts w:eastAsia="Calibri"/>
                <w:b/>
                <w:bCs/>
                <w:iCs/>
                <w:color w:val="auto"/>
              </w:rPr>
              <w:t>Job Title:</w:t>
            </w:r>
          </w:p>
        </w:tc>
        <w:tc>
          <w:tcPr>
            <w:tcW w:w="3092"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Cs/>
                <w:iCs/>
                <w:color w:val="auto"/>
              </w:rPr>
            </w:pPr>
            <w:r>
              <w:rPr>
                <w:rFonts w:eastAsia="Calibri"/>
                <w:bCs/>
                <w:iCs/>
                <w:color w:val="auto"/>
              </w:rPr>
              <w:t xml:space="preserve">Training, Exercise and MTA Associate Trainer </w:t>
            </w:r>
          </w:p>
        </w:tc>
        <w:tc>
          <w:tcPr>
            <w:tcW w:w="2309"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rPr>
            </w:pPr>
            <w:r>
              <w:rPr>
                <w:rFonts w:eastAsia="Calibri"/>
                <w:b/>
                <w:bCs/>
                <w:iCs/>
                <w:color w:val="auto"/>
              </w:rPr>
              <w:t>Date:</w:t>
            </w:r>
          </w:p>
        </w:tc>
        <w:tc>
          <w:tcPr>
            <w:tcW w:w="282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rFonts w:eastAsia="Calibri"/>
                <w:bCs/>
                <w:iCs/>
                <w:color w:val="auto"/>
              </w:rPr>
            </w:pPr>
            <w:r>
              <w:rPr>
                <w:rFonts w:eastAsia="Calibri"/>
                <w:bCs/>
                <w:iCs/>
                <w:color w:val="auto"/>
              </w:rPr>
              <w:t>July 2026</w:t>
            </w:r>
          </w:p>
        </w:tc>
      </w:tr>
      <w:tr>
        <w:trPr/>
        <w:tc>
          <w:tcPr>
            <w:tcW w:w="2127"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rPr>
            </w:pPr>
            <w:r>
              <w:rPr>
                <w:rFonts w:eastAsia="Calibri"/>
                <w:b/>
                <w:bCs/>
                <w:iCs/>
                <w:color w:val="auto"/>
              </w:rPr>
              <w:t>Reporting Line:</w:t>
            </w:r>
          </w:p>
        </w:tc>
        <w:tc>
          <w:tcPr>
            <w:tcW w:w="3092"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Cs/>
                <w:iCs/>
                <w:color w:val="auto"/>
              </w:rPr>
            </w:pPr>
            <w:r>
              <w:rPr>
                <w:rFonts w:eastAsia="Calibri"/>
                <w:bCs/>
                <w:iCs/>
                <w:color w:val="auto"/>
              </w:rPr>
              <w:t xml:space="preserve">Training, Exercise and MTA officer </w:t>
            </w:r>
          </w:p>
        </w:tc>
        <w:tc>
          <w:tcPr>
            <w:tcW w:w="2309"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rPr>
            </w:pPr>
            <w:r>
              <w:rPr>
                <w:rFonts w:eastAsia="Calibri"/>
                <w:b/>
                <w:bCs/>
                <w:iCs/>
                <w:color w:val="auto"/>
              </w:rPr>
              <w:t>Salary:</w:t>
            </w:r>
          </w:p>
        </w:tc>
        <w:tc>
          <w:tcPr>
            <w:tcW w:w="282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rFonts w:eastAsia="Calibri"/>
                <w:bCs/>
                <w:iCs/>
                <w:color w:val="auto"/>
              </w:rPr>
            </w:pPr>
            <w:r>
              <w:rPr>
                <w:rFonts w:eastAsia="Calibri"/>
                <w:bCs/>
                <w:iCs/>
                <w:color w:val="auto"/>
              </w:rPr>
              <w:t>Grade 5</w:t>
            </w:r>
          </w:p>
        </w:tc>
      </w:tr>
      <w:tr>
        <w:trPr/>
        <w:tc>
          <w:tcPr>
            <w:tcW w:w="2127"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rPr>
            </w:pPr>
            <w:r>
              <w:rPr>
                <w:rFonts w:eastAsia="Calibri"/>
                <w:b/>
                <w:bCs/>
                <w:iCs/>
                <w:color w:val="auto"/>
              </w:rPr>
              <w:t>Team:</w:t>
            </w:r>
          </w:p>
        </w:tc>
        <w:tc>
          <w:tcPr>
            <w:tcW w:w="3092"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Cs/>
                <w:iCs/>
                <w:color w:val="auto"/>
              </w:rPr>
            </w:pPr>
            <w:r>
              <w:rPr>
                <w:rFonts w:eastAsia="Calibri"/>
                <w:bCs/>
                <w:iCs/>
                <w:color w:val="auto"/>
              </w:rPr>
              <w:t>Training Delivery Team</w:t>
            </w:r>
          </w:p>
        </w:tc>
        <w:tc>
          <w:tcPr>
            <w:tcW w:w="2309"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color w:val="auto"/>
              </w:rPr>
            </w:pPr>
            <w:r>
              <w:rPr>
                <w:rFonts w:eastAsia="Calibri"/>
                <w:b/>
                <w:bCs/>
                <w:iCs/>
                <w:color w:val="auto"/>
              </w:rPr>
              <w:t>Business Area:</w:t>
            </w:r>
          </w:p>
        </w:tc>
        <w:tc>
          <w:tcPr>
            <w:tcW w:w="282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rFonts w:eastAsia="Calibri"/>
                <w:bCs/>
                <w:iCs/>
                <w:color w:val="auto"/>
              </w:rPr>
            </w:pPr>
            <w:r>
              <w:rPr>
                <w:rFonts w:eastAsia="Calibri"/>
                <w:bCs/>
                <w:iCs/>
                <w:color w:val="auto"/>
              </w:rPr>
              <w:t>Service Delivery Support</w:t>
            </w:r>
          </w:p>
        </w:tc>
      </w:tr>
    </w:tbl>
    <w:p>
      <w:pPr>
        <w:pStyle w:val="Body"/>
        <w:ind w:left="0" w:right="261" w:hanging="0"/>
        <w:jc w:val="both"/>
        <w:rPr>
          <w:rFonts w:eastAsia="Calibri"/>
          <w:b/>
          <w:b/>
          <w:bCs/>
          <w:iCs/>
        </w:rPr>
      </w:pPr>
      <w:r>
        <w:rPr>
          <w:rFonts w:eastAsia="Calibri"/>
          <w:b/>
          <w:bCs/>
          <w:iCs/>
        </w:rPr>
      </w:r>
    </w:p>
    <w:tbl>
      <w:tblPr>
        <w:tblW w:w="10371" w:type="dxa"/>
        <w:jc w:val="center"/>
        <w:tblInd w:w="0" w:type="dxa"/>
        <w:tblCellMar>
          <w:top w:w="80" w:type="dxa"/>
          <w:left w:w="80" w:type="dxa"/>
          <w:bottom w:w="80" w:type="dxa"/>
          <w:right w:w="80" w:type="dxa"/>
        </w:tblCellMar>
      </w:tblPr>
      <w:tblGrid>
        <w:gridCol w:w="10371"/>
      </w:tblGrid>
      <w:tr>
        <w:trPr>
          <w:trHeight w:val="180" w:hRule="atLeast"/>
        </w:trPr>
        <w:tc>
          <w:tcPr>
            <w:tcW w:w="10371" w:type="dxa"/>
            <w:tcBorders>
              <w:top w:val="single" w:sz="6" w:space="0" w:color="000000"/>
              <w:left w:val="single" w:sz="6" w:space="0" w:color="0000FF"/>
              <w:right w:val="single" w:sz="6" w:space="0" w:color="0000FF"/>
            </w:tcBorders>
            <w:shd w:fill="000000" w:val="clear"/>
            <w:vAlign w:val="center"/>
          </w:tcPr>
          <w:p>
            <w:pPr>
              <w:pStyle w:val="Heading3"/>
              <w:ind w:left="0" w:right="261" w:hanging="0"/>
              <w:rPr>
                <w:rFonts w:eastAsia="Calibri"/>
                <w:sz w:val="22"/>
                <w:szCs w:val="22"/>
                <w:lang w:val="en-GB"/>
              </w:rPr>
            </w:pPr>
            <w:r>
              <w:rPr>
                <w:rFonts w:eastAsia="Calibri"/>
                <w:sz w:val="22"/>
                <w:szCs w:val="22"/>
                <w:lang w:val="en-GB"/>
              </w:rPr>
              <w:t>JOB PURPOSE</w:t>
            </w:r>
          </w:p>
        </w:tc>
      </w:tr>
      <w:tr>
        <w:trPr>
          <w:trHeight w:val="793" w:hRule="atLeast"/>
        </w:trPr>
        <w:tc>
          <w:tcPr>
            <w:tcW w:w="10371" w:type="dxa"/>
            <w:tcBorders>
              <w:left w:val="single" w:sz="6" w:space="0" w:color="000000"/>
              <w:bottom w:val="single" w:sz="4" w:space="0" w:color="000000"/>
              <w:right w:val="single" w:sz="6" w:space="0" w:color="000000"/>
            </w:tcBorders>
            <w:shd w:fill="auto" w:val="clear"/>
            <w:vAlign w:val="center"/>
          </w:tcPr>
          <w:p>
            <w:pPr>
              <w:pStyle w:val="Normal"/>
              <w:jc w:val="both"/>
              <w:rPr>
                <w:rFonts w:ascii="Arial" w:hAnsi="Arial" w:cs="Arial"/>
                <w:sz w:val="22"/>
              </w:rPr>
            </w:pPr>
            <w:r>
              <w:rPr>
                <w:rFonts w:cs="Arial" w:ascii="Arial" w:hAnsi="Arial"/>
                <w:sz w:val="22"/>
              </w:rPr>
              <w:t>The purpose of this role is to support the delivery of the Operational Training and Exercising Strategy through the provision of operational assurance, exercising and specialist training activities. The role is responsible for conducting on-station Maintenance of Competence (MoC) assurance visits, providing objective feedback and support to ensure operational personnel maintain the knowledge, skills and behaviors required to perform safely and effectively at operational incidents.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The postholder will support the delivery of Service exercises that test operational preparedness, validate policies and procedures, and contribute to organisational learning and continuous improvement across all fire and rescue core themes. The role will also deliver Marauding Terrorist Attack (MTA) training, supporting the development and maintenance of multi-agency operational response capability and preparedness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The postholder will contribute to the quality assurance, evaluation and continuous improvement of training, assurance and exercising activities, ensuring alignment with organisational priorities, operational risk and national guidance.</w:t>
            </w:r>
          </w:p>
        </w:tc>
      </w:tr>
    </w:tbl>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tbl>
      <w:tblPr>
        <w:tblW w:w="10366" w:type="dxa"/>
        <w:jc w:val="center"/>
        <w:tblInd w:w="0" w:type="dxa"/>
        <w:tblCellMar>
          <w:top w:w="80" w:type="dxa"/>
          <w:left w:w="80" w:type="dxa"/>
          <w:bottom w:w="80" w:type="dxa"/>
          <w:right w:w="80" w:type="dxa"/>
        </w:tblCellMar>
      </w:tblPr>
      <w:tblGrid>
        <w:gridCol w:w="10366"/>
      </w:tblGrid>
      <w:tr>
        <w:trPr>
          <w:trHeight w:val="180" w:hRule="atLeast"/>
        </w:trPr>
        <w:tc>
          <w:tcPr>
            <w:tcW w:w="10366" w:type="dxa"/>
            <w:tcBorders>
              <w:top w:val="single" w:sz="4" w:space="0" w:color="000000"/>
              <w:left w:val="single" w:sz="4" w:space="0" w:color="000000"/>
              <w:bottom w:val="single" w:sz="4" w:space="0" w:color="000000"/>
              <w:right w:val="single" w:sz="4" w:space="0" w:color="000000"/>
            </w:tcBorders>
            <w:shd w:fill="000000" w:val="clear"/>
            <w:vAlign w:val="center"/>
          </w:tcPr>
          <w:p>
            <w:pPr>
              <w:pStyle w:val="Body"/>
              <w:pBdr/>
              <w:ind w:left="0" w:right="261" w:hanging="0"/>
              <w:rPr>
                <w:b/>
                <w:b/>
                <w:bCs/>
                <w:color w:val="FFFFFF"/>
                <w:u w:val="none" w:color="FFFFFF"/>
              </w:rPr>
            </w:pPr>
            <w:r>
              <w:rPr>
                <w:b/>
                <w:bCs/>
                <w:color w:val="FFFFFF"/>
                <w:u w:val="none" w:color="FFFFFF"/>
              </w:rPr>
              <w:t>KEY RELATIONSHIPS</w:t>
            </w:r>
          </w:p>
        </w:tc>
      </w:tr>
      <w:tr>
        <w:trPr>
          <w:trHeight w:val="1201" w:hRule="atLeast"/>
        </w:trPr>
        <w:tc>
          <w:tcPr>
            <w:tcW w:w="10366" w:type="dxa"/>
            <w:tcBorders>
              <w:top w:val="single" w:sz="4" w:space="0" w:color="000000"/>
              <w:left w:val="single" w:sz="4" w:space="0" w:color="000000"/>
              <w:bottom w:val="single" w:sz="4" w:space="0" w:color="000000"/>
              <w:right w:val="single" w:sz="4" w:space="0" w:color="000000"/>
            </w:tcBorders>
            <w:shd w:fill="auto" w:val="clear"/>
            <w:tcMar>
              <w:left w:w="363" w:type="dxa"/>
            </w:tcMar>
            <w:vAlign w:val="center"/>
          </w:tcPr>
          <w:p>
            <w:pPr>
              <w:pStyle w:val="Normal"/>
              <w:pBdr/>
              <w:ind w:left="0" w:right="261" w:hanging="0"/>
              <w:rPr>
                <w:lang w:val="en-GB"/>
              </w:rPr>
            </w:pPr>
            <w:r>
              <w:rPr>
                <w:lang w:val="en-GB"/>
              </w:rPr>
              <w:t>Key Relationships</w:t>
            </w:r>
          </w:p>
          <w:p>
            <w:pPr>
              <w:pStyle w:val="Normal"/>
              <w:pBdr/>
              <w:ind w:left="0" w:right="261" w:hanging="0"/>
              <w:rPr>
                <w:lang w:val="en-GB"/>
              </w:rPr>
            </w:pPr>
            <w:r>
              <w:rPr>
                <w:lang w:val="en-GB"/>
              </w:rPr>
            </w:r>
          </w:p>
          <w:p>
            <w:pPr>
              <w:pStyle w:val="ListParagraph"/>
              <w:numPr>
                <w:ilvl w:val="0"/>
                <w:numId w:val="2"/>
              </w:numPr>
              <w:pBdr/>
              <w:ind w:left="458" w:right="261" w:hanging="360"/>
              <w:rPr>
                <w:lang w:val="en-GB"/>
              </w:rPr>
            </w:pPr>
            <w:r>
              <w:rPr>
                <w:lang w:val="en-GB"/>
              </w:rPr>
              <w:t>Operational Training Delivery Manager</w:t>
            </w:r>
          </w:p>
          <w:p>
            <w:pPr>
              <w:pStyle w:val="ListParagraph"/>
              <w:numPr>
                <w:ilvl w:val="0"/>
                <w:numId w:val="2"/>
              </w:numPr>
              <w:pBdr/>
              <w:ind w:left="458" w:right="261" w:hanging="360"/>
              <w:rPr>
                <w:lang w:val="en-GB"/>
              </w:rPr>
            </w:pPr>
            <w:r>
              <w:rPr>
                <w:lang w:val="en-GB"/>
              </w:rPr>
              <w:t>Incident command Training Lead</w:t>
            </w:r>
          </w:p>
          <w:p>
            <w:pPr>
              <w:pStyle w:val="ListParagraph"/>
              <w:numPr>
                <w:ilvl w:val="0"/>
                <w:numId w:val="2"/>
              </w:numPr>
              <w:pBdr/>
              <w:ind w:left="458" w:right="261" w:hanging="360"/>
              <w:rPr>
                <w:lang w:val="en-GB"/>
              </w:rPr>
            </w:pPr>
            <w:r>
              <w:rPr>
                <w:lang w:val="en-GB"/>
              </w:rPr>
              <w:t>Training Delivery Manager</w:t>
            </w:r>
          </w:p>
          <w:p>
            <w:pPr>
              <w:pStyle w:val="ListParagraph"/>
              <w:numPr>
                <w:ilvl w:val="0"/>
                <w:numId w:val="2"/>
              </w:numPr>
              <w:pBdr/>
              <w:ind w:left="458" w:right="261" w:hanging="360"/>
              <w:rPr>
                <w:lang w:val="en-GB"/>
              </w:rPr>
            </w:pPr>
            <w:r>
              <w:rPr>
                <w:lang w:val="en-GB"/>
              </w:rPr>
              <w:t>Learning Resource &amp; Operational Information manager (OIT) – policy and guidance in regard to subject area.</w:t>
            </w:r>
          </w:p>
          <w:p>
            <w:pPr>
              <w:pStyle w:val="ListParagraph"/>
              <w:numPr>
                <w:ilvl w:val="0"/>
                <w:numId w:val="2"/>
              </w:numPr>
              <w:pBdr/>
              <w:ind w:left="458" w:right="261" w:hanging="360"/>
              <w:rPr>
                <w:lang w:val="en-GB"/>
              </w:rPr>
            </w:pPr>
            <w:r>
              <w:rPr>
                <w:lang w:val="en-GB"/>
              </w:rPr>
              <w:t>Educational &amp; Professional Development Manager</w:t>
            </w:r>
          </w:p>
          <w:p>
            <w:pPr>
              <w:pStyle w:val="ListParagraph"/>
              <w:numPr>
                <w:ilvl w:val="0"/>
                <w:numId w:val="2"/>
              </w:numPr>
              <w:pBdr/>
              <w:ind w:left="458" w:right="261" w:hanging="360"/>
              <w:rPr>
                <w:lang w:val="en-GB"/>
              </w:rPr>
            </w:pPr>
            <w:r>
              <w:rPr>
                <w:lang w:val="en-GB"/>
              </w:rPr>
              <w:t>Training Leads across the Training function</w:t>
            </w:r>
          </w:p>
          <w:p>
            <w:pPr>
              <w:pStyle w:val="ListParagraph"/>
              <w:numPr>
                <w:ilvl w:val="0"/>
                <w:numId w:val="2"/>
              </w:numPr>
              <w:pBdr/>
              <w:ind w:left="458" w:right="261" w:hanging="360"/>
              <w:rPr>
                <w:lang w:val="en-GB"/>
              </w:rPr>
            </w:pPr>
            <w:r>
              <w:rPr>
                <w:lang w:val="en-GB"/>
              </w:rPr>
              <w:t>All Training Officers</w:t>
            </w:r>
          </w:p>
          <w:p>
            <w:pPr>
              <w:pStyle w:val="ListParagraph"/>
              <w:numPr>
                <w:ilvl w:val="0"/>
                <w:numId w:val="2"/>
              </w:numPr>
              <w:pBdr/>
              <w:ind w:left="458" w:right="261" w:hanging="360"/>
              <w:rPr>
                <w:lang w:val="en-GB"/>
              </w:rPr>
            </w:pPr>
            <w:r>
              <w:rPr>
                <w:lang w:val="en-GB"/>
              </w:rPr>
              <w:t>Workplace development team Leader</w:t>
            </w:r>
          </w:p>
          <w:p>
            <w:pPr>
              <w:pStyle w:val="ListParagraph"/>
              <w:numPr>
                <w:ilvl w:val="0"/>
                <w:numId w:val="2"/>
              </w:numPr>
              <w:pBdr/>
              <w:ind w:left="458" w:right="261" w:hanging="360"/>
              <w:rPr>
                <w:lang w:val="en-GB"/>
              </w:rPr>
            </w:pPr>
            <w:r>
              <w:rPr>
                <w:lang w:val="en-GB"/>
              </w:rPr>
              <w:t xml:space="preserve">Training Reference Holders </w:t>
            </w:r>
          </w:p>
          <w:p>
            <w:pPr>
              <w:pStyle w:val="ListParagraph"/>
              <w:numPr>
                <w:ilvl w:val="0"/>
                <w:numId w:val="2"/>
              </w:numPr>
              <w:pBdr/>
              <w:ind w:left="458" w:right="261" w:hanging="360"/>
              <w:rPr>
                <w:lang w:val="en-GB"/>
              </w:rPr>
            </w:pPr>
            <w:r>
              <w:rPr>
                <w:lang w:val="en-GB"/>
              </w:rPr>
              <w:t>Firefighters</w:t>
            </w:r>
          </w:p>
          <w:p>
            <w:pPr>
              <w:pStyle w:val="ListParagraph"/>
              <w:numPr>
                <w:ilvl w:val="0"/>
                <w:numId w:val="2"/>
              </w:numPr>
              <w:pBdr/>
              <w:ind w:left="458" w:right="261" w:hanging="360"/>
              <w:rPr>
                <w:lang w:val="en-GB"/>
              </w:rPr>
            </w:pPr>
            <w:r>
              <w:rPr>
                <w:lang w:val="en-GB"/>
              </w:rPr>
              <w:t>Crew Managers</w:t>
            </w:r>
          </w:p>
          <w:p>
            <w:pPr>
              <w:pStyle w:val="ListParagraph"/>
              <w:numPr>
                <w:ilvl w:val="0"/>
                <w:numId w:val="2"/>
              </w:numPr>
              <w:pBdr/>
              <w:ind w:left="458" w:right="261" w:hanging="360"/>
              <w:rPr>
                <w:lang w:val="en-GB"/>
              </w:rPr>
            </w:pPr>
            <w:r>
              <w:rPr>
                <w:lang w:val="en-GB"/>
              </w:rPr>
              <w:t xml:space="preserve">Watch managers   </w:t>
            </w:r>
          </w:p>
          <w:p>
            <w:pPr>
              <w:pStyle w:val="ListParagraph"/>
              <w:pBdr/>
              <w:ind w:left="360" w:right="261" w:hanging="0"/>
              <w:rPr>
                <w:lang w:val="en-GB"/>
              </w:rPr>
            </w:pPr>
            <w:r>
              <w:rPr>
                <w:lang w:val="en-GB"/>
              </w:rPr>
            </w:r>
          </w:p>
        </w:tc>
      </w:tr>
    </w:tbl>
    <w:p>
      <w:pPr>
        <w:pStyle w:val="Body"/>
        <w:ind w:left="0" w:right="261" w:hanging="0"/>
        <w:rPr>
          <w:rFonts w:eastAsia="Calibri"/>
          <w:b/>
          <w:b/>
          <w:bCs/>
          <w:iCs/>
        </w:rPr>
      </w:pPr>
      <w:r>
        <w:rPr>
          <w:rFonts w:eastAsia="Calibri"/>
          <w:b/>
          <w:bCs/>
          <w:iCs/>
        </w:rPr>
      </w:r>
    </w:p>
    <w:p>
      <w:pPr>
        <w:pStyle w:val="Body"/>
        <w:ind w:left="0" w:right="261" w:hanging="0"/>
        <w:rPr>
          <w:rFonts w:eastAsia="Calibri"/>
          <w:b/>
          <w:b/>
          <w:bCs/>
          <w:iCs/>
        </w:rPr>
      </w:pPr>
      <w:r>
        <w:rPr>
          <w:rFonts w:eastAsia="Calibri"/>
          <w:b/>
          <w:bCs/>
          <w:iCs/>
        </w:rPr>
      </w:r>
    </w:p>
    <w:tbl>
      <w:tblPr>
        <w:tblW w:w="10401" w:type="dxa"/>
        <w:jc w:val="center"/>
        <w:tblInd w:w="0" w:type="dxa"/>
        <w:tblCellMar>
          <w:top w:w="80" w:type="dxa"/>
          <w:left w:w="80" w:type="dxa"/>
          <w:bottom w:w="80" w:type="dxa"/>
          <w:right w:w="80" w:type="dxa"/>
        </w:tblCellMar>
      </w:tblPr>
      <w:tblGrid>
        <w:gridCol w:w="10401"/>
      </w:tblGrid>
      <w:tr>
        <w:trPr>
          <w:trHeight w:val="479" w:hRule="atLeast"/>
        </w:trPr>
        <w:tc>
          <w:tcPr>
            <w:tcW w:w="10401" w:type="dxa"/>
            <w:tcBorders>
              <w:top w:val="single" w:sz="6" w:space="0" w:color="000000"/>
              <w:left w:val="single" w:sz="6" w:space="0" w:color="000000"/>
              <w:right w:val="single" w:sz="6" w:space="0" w:color="000000"/>
            </w:tcBorders>
            <w:shd w:fill="000000" w:val="clear"/>
            <w:vAlign w:val="center"/>
          </w:tcPr>
          <w:p>
            <w:pPr>
              <w:pStyle w:val="Body"/>
              <w:ind w:left="0" w:right="261" w:hanging="0"/>
              <w:rPr>
                <w:rFonts w:eastAsia="Calibri"/>
                <w:b/>
                <w:b/>
                <w:bCs/>
                <w:color w:val="FFFFFF"/>
                <w:u w:val="none" w:color="FFFFFF"/>
              </w:rPr>
            </w:pPr>
            <w:r>
              <w:rPr>
                <w:rFonts w:eastAsia="Calibri"/>
                <w:b/>
                <w:bCs/>
                <w:color w:val="FFFFFF"/>
                <w:u w:val="none" w:color="FFFFFF"/>
              </w:rPr>
              <w:t xml:space="preserve">KEY RESPONSIBILITIES </w:t>
            </w:r>
          </w:p>
        </w:tc>
      </w:tr>
      <w:tr>
        <w:trPr>
          <w:trHeight w:val="739" w:hRule="atLeast"/>
        </w:trPr>
        <w:tc>
          <w:tcPr>
            <w:tcW w:w="10401" w:type="dxa"/>
            <w:tcBorders>
              <w:left w:val="single" w:sz="4" w:space="0" w:color="000000"/>
              <w:right w:val="single" w:sz="6" w:space="0" w:color="000000"/>
            </w:tcBorders>
            <w:shd w:fill="auto" w:val="clear"/>
            <w:vAlign w:val="center"/>
          </w:tcPr>
          <w:p>
            <w:pPr>
              <w:pStyle w:val="Normal"/>
              <w:numPr>
                <w:ilvl w:val="0"/>
                <w:numId w:val="3"/>
              </w:numPr>
              <w:pBdr/>
              <w:jc w:val="both"/>
              <w:rPr>
                <w:rFonts w:ascii="Arial" w:hAnsi="Arial" w:cs="Arial"/>
                <w:sz w:val="22"/>
              </w:rPr>
            </w:pPr>
            <w:r>
              <w:rPr>
                <w:rFonts w:cs="Arial" w:ascii="Arial" w:hAnsi="Arial"/>
                <w:sz w:val="22"/>
              </w:rPr>
              <w:t>Maintain high levels of technical knowledge, skills and understanding in the subject matter areas to be assured and exercised</w:t>
            </w:r>
          </w:p>
          <w:p>
            <w:pPr>
              <w:pStyle w:val="Normal"/>
              <w:pBdr/>
              <w:ind w:left="1069" w:right="0" w:hanging="0"/>
              <w:jc w:val="both"/>
              <w:rPr>
                <w:rFonts w:ascii="Arial" w:hAnsi="Arial" w:cs="Arial"/>
                <w:sz w:val="22"/>
              </w:rPr>
            </w:pPr>
            <w:r>
              <w:rPr>
                <w:rFonts w:cs="Arial" w:ascii="Arial" w:hAnsi="Arial"/>
                <w:sz w:val="22"/>
              </w:rPr>
            </w:r>
          </w:p>
          <w:p>
            <w:pPr>
              <w:pStyle w:val="ListParagraph"/>
              <w:numPr>
                <w:ilvl w:val="0"/>
                <w:numId w:val="3"/>
              </w:numPr>
              <w:rPr/>
            </w:pPr>
            <w:r>
              <w:rPr/>
              <w:t>Travel across Greater Manchester to complete on-station assurance visits.</w:t>
            </w:r>
          </w:p>
          <w:p>
            <w:pPr>
              <w:pStyle w:val="ListParagraph"/>
              <w:ind w:left="1069" w:right="0" w:hanging="0"/>
              <w:rPr>
                <w:rFonts w:eastAsia="Arial Unicode MS"/>
              </w:rPr>
            </w:pPr>
            <w:r>
              <w:rPr>
                <w:rFonts w:eastAsia="Arial Unicode MS"/>
              </w:rPr>
            </w:r>
          </w:p>
          <w:p>
            <w:pPr>
              <w:pStyle w:val="ListParagraph"/>
              <w:numPr>
                <w:ilvl w:val="0"/>
                <w:numId w:val="3"/>
              </w:numPr>
              <w:rPr/>
            </w:pPr>
            <w:r>
              <w:rPr/>
              <w:t>Obtain and Maintain skills and knowledge across core service themes.</w:t>
            </w:r>
          </w:p>
          <w:p>
            <w:pPr>
              <w:pStyle w:val="Normal"/>
              <w:jc w:val="both"/>
              <w:rPr>
                <w:rFonts w:ascii="Arial" w:hAnsi="Arial" w:cs="Arial"/>
                <w:sz w:val="22"/>
              </w:rPr>
            </w:pPr>
            <w:r>
              <w:rPr>
                <w:rFonts w:cs="Arial" w:ascii="Arial" w:hAnsi="Arial"/>
                <w:sz w:val="22"/>
              </w:rPr>
            </w:r>
          </w:p>
          <w:p>
            <w:pPr>
              <w:pStyle w:val="Normal"/>
              <w:numPr>
                <w:ilvl w:val="0"/>
                <w:numId w:val="3"/>
              </w:numPr>
              <w:pBdr/>
              <w:jc w:val="both"/>
              <w:rPr>
                <w:rFonts w:ascii="Arial" w:hAnsi="Arial" w:cs="Arial"/>
                <w:sz w:val="22"/>
              </w:rPr>
            </w:pPr>
            <w:r>
              <w:rPr>
                <w:rFonts w:cs="Arial" w:ascii="Arial" w:hAnsi="Arial"/>
                <w:sz w:val="22"/>
              </w:rPr>
              <w:t>Maintain high levels of competence in training delivery methods, through CPD events and standardisation sessions.</w:t>
            </w:r>
          </w:p>
          <w:p>
            <w:pPr>
              <w:pStyle w:val="Normal"/>
              <w:jc w:val="both"/>
              <w:rPr>
                <w:rFonts w:ascii="Arial" w:hAnsi="Arial" w:cs="Arial"/>
                <w:sz w:val="22"/>
              </w:rPr>
            </w:pPr>
            <w:r>
              <w:rPr>
                <w:rFonts w:cs="Arial" w:ascii="Arial" w:hAnsi="Arial"/>
                <w:sz w:val="22"/>
              </w:rPr>
            </w:r>
          </w:p>
          <w:p>
            <w:pPr>
              <w:pStyle w:val="Normal"/>
              <w:numPr>
                <w:ilvl w:val="0"/>
                <w:numId w:val="3"/>
              </w:numPr>
              <w:pBdr/>
              <w:jc w:val="both"/>
              <w:rPr>
                <w:rFonts w:ascii="Arial" w:hAnsi="Arial" w:cs="Arial"/>
                <w:sz w:val="22"/>
              </w:rPr>
            </w:pPr>
            <w:r>
              <w:rPr>
                <w:rFonts w:cs="Arial" w:ascii="Arial" w:hAnsi="Arial"/>
                <w:sz w:val="22"/>
              </w:rPr>
              <w:t>Complete risk assessment of training venues and delivery methods prior to commencement of training programs</w:t>
            </w:r>
          </w:p>
          <w:p>
            <w:pPr>
              <w:pStyle w:val="Normal"/>
              <w:jc w:val="both"/>
              <w:rPr>
                <w:rFonts w:ascii="Arial" w:hAnsi="Arial" w:cs="Arial"/>
                <w:sz w:val="22"/>
              </w:rPr>
            </w:pPr>
            <w:r>
              <w:rPr>
                <w:rFonts w:cs="Arial" w:ascii="Arial" w:hAnsi="Arial"/>
                <w:sz w:val="22"/>
              </w:rPr>
            </w:r>
          </w:p>
          <w:p>
            <w:pPr>
              <w:pStyle w:val="Normal"/>
              <w:numPr>
                <w:ilvl w:val="0"/>
                <w:numId w:val="3"/>
              </w:numPr>
              <w:pBdr/>
              <w:jc w:val="both"/>
              <w:rPr>
                <w:rFonts w:ascii="Arial" w:hAnsi="Arial" w:cs="Arial"/>
                <w:sz w:val="22"/>
              </w:rPr>
            </w:pPr>
            <w:r>
              <w:rPr>
                <w:rFonts w:cs="Arial" w:ascii="Arial" w:hAnsi="Arial"/>
                <w:sz w:val="22"/>
              </w:rPr>
              <w:t>Provide objective assurance for operational staff</w:t>
            </w:r>
          </w:p>
          <w:p>
            <w:pPr>
              <w:pStyle w:val="ListParagraph"/>
              <w:rPr/>
            </w:pPr>
            <w:r>
              <w:rPr/>
            </w:r>
          </w:p>
          <w:p>
            <w:pPr>
              <w:pStyle w:val="ListParagraph"/>
              <w:numPr>
                <w:ilvl w:val="0"/>
                <w:numId w:val="3"/>
              </w:numPr>
              <w:rPr>
                <w:color w:val="auto"/>
              </w:rPr>
            </w:pPr>
            <w:r>
              <w:rPr>
                <w:color w:val="auto"/>
              </w:rPr>
              <w:t>Ensure evaluation of training and development activity in terms of effectiveness to provide quality assurance information and completion of appropriate audits.</w:t>
            </w:r>
          </w:p>
          <w:p>
            <w:pPr>
              <w:pStyle w:val="Normal"/>
              <w:jc w:val="both"/>
              <w:rPr>
                <w:rFonts w:ascii="Arial" w:hAnsi="Arial" w:cs="Arial"/>
                <w:sz w:val="22"/>
              </w:rPr>
            </w:pPr>
            <w:r>
              <w:rPr>
                <w:rFonts w:cs="Arial" w:ascii="Arial" w:hAnsi="Arial"/>
                <w:sz w:val="22"/>
              </w:rPr>
            </w:r>
          </w:p>
          <w:p>
            <w:pPr>
              <w:pStyle w:val="Normal"/>
              <w:numPr>
                <w:ilvl w:val="0"/>
                <w:numId w:val="3"/>
              </w:numPr>
              <w:pBdr/>
              <w:jc w:val="both"/>
              <w:rPr>
                <w:rFonts w:ascii="Arial" w:hAnsi="Arial" w:cs="Arial"/>
                <w:sz w:val="22"/>
              </w:rPr>
            </w:pPr>
            <w:r>
              <w:rPr>
                <w:rFonts w:cs="Arial" w:ascii="Arial" w:hAnsi="Arial"/>
                <w:sz w:val="22"/>
              </w:rPr>
              <w:t xml:space="preserve">Identify development requirements for operational staff </w:t>
            </w:r>
          </w:p>
          <w:p>
            <w:pPr>
              <w:pStyle w:val="Normal"/>
              <w:jc w:val="both"/>
              <w:rPr>
                <w:rFonts w:ascii="Arial" w:hAnsi="Arial" w:cs="Arial"/>
                <w:sz w:val="22"/>
              </w:rPr>
            </w:pPr>
            <w:r>
              <w:rPr>
                <w:rFonts w:cs="Arial" w:ascii="Arial" w:hAnsi="Arial"/>
                <w:sz w:val="22"/>
              </w:rPr>
            </w:r>
          </w:p>
          <w:p>
            <w:pPr>
              <w:pStyle w:val="Normal"/>
              <w:numPr>
                <w:ilvl w:val="0"/>
                <w:numId w:val="3"/>
              </w:numPr>
              <w:pBdr/>
              <w:jc w:val="both"/>
              <w:rPr/>
            </w:pPr>
            <w:r>
              <w:rPr>
                <w:rFonts w:cs="Arial" w:ascii="Arial" w:hAnsi="Arial"/>
                <w:sz w:val="22"/>
              </w:rPr>
              <w:t>Deliver training and development programs to other students as required</w:t>
            </w:r>
            <w:r>
              <w:rPr/>
              <w:t xml:space="preserve"> </w:t>
            </w:r>
          </w:p>
          <w:p>
            <w:pPr>
              <w:pStyle w:val="Normal"/>
              <w:rPr/>
            </w:pPr>
            <w:r>
              <w:rPr/>
            </w:r>
          </w:p>
          <w:p>
            <w:pPr>
              <w:pStyle w:val="Normal"/>
              <w:numPr>
                <w:ilvl w:val="0"/>
                <w:numId w:val="3"/>
              </w:numPr>
              <w:pBdr/>
              <w:jc w:val="both"/>
              <w:rPr>
                <w:rFonts w:ascii="Arial" w:hAnsi="Arial" w:cs="Arial"/>
                <w:sz w:val="22"/>
              </w:rPr>
            </w:pPr>
            <w:r>
              <w:rPr>
                <w:rFonts w:cs="Arial" w:ascii="Arial" w:hAnsi="Arial"/>
                <w:sz w:val="22"/>
              </w:rPr>
              <w:t xml:space="preserve">Support watch officers in the creation development plans where required. </w:t>
            </w:r>
          </w:p>
          <w:p>
            <w:pPr>
              <w:pStyle w:val="Normal"/>
              <w:pBdr/>
              <w:ind w:left="1069" w:right="0" w:hanging="0"/>
              <w:jc w:val="both"/>
              <w:rPr/>
            </w:pPr>
            <w:r>
              <w:rPr/>
            </w:r>
          </w:p>
          <w:p>
            <w:pPr>
              <w:pStyle w:val="Normal"/>
              <w:numPr>
                <w:ilvl w:val="0"/>
                <w:numId w:val="3"/>
              </w:numPr>
              <w:pBdr/>
              <w:jc w:val="both"/>
              <w:rPr/>
            </w:pPr>
            <w:r>
              <w:rPr>
                <w:rFonts w:eastAsia="Arial" w:cs="Arial" w:ascii="Arial" w:hAnsi="Arial"/>
                <w:sz w:val="22"/>
              </w:rPr>
              <w:t xml:space="preserve"> </w:t>
            </w:r>
            <w:r>
              <w:rPr>
                <w:rFonts w:cs="Arial" w:ascii="Arial" w:hAnsi="Arial"/>
                <w:sz w:val="22"/>
              </w:rPr>
              <w:t xml:space="preserve">To contribute to the wider departmental duties including facilitating assurance, exercise development, contributing to the growth and development of the strategy and reflecting on own practice to review and implement ways in which the learning experience could be improved. </w:t>
            </w:r>
          </w:p>
          <w:p>
            <w:pPr>
              <w:pStyle w:val="Normal"/>
              <w:rPr/>
            </w:pPr>
            <w:r>
              <w:rPr/>
            </w:r>
          </w:p>
          <w:p>
            <w:pPr>
              <w:pStyle w:val="Normal"/>
              <w:pBdr/>
              <w:ind w:left="720" w:right="0" w:firstLine="60"/>
              <w:jc w:val="both"/>
              <w:rPr>
                <w:rFonts w:ascii="Arial" w:hAnsi="Arial" w:cs="Arial"/>
                <w:sz w:val="22"/>
              </w:rPr>
            </w:pPr>
            <w:r>
              <w:rPr>
                <w:rFonts w:cs="Arial" w:ascii="Arial" w:hAnsi="Arial"/>
                <w:sz w:val="22"/>
              </w:rPr>
            </w:r>
          </w:p>
          <w:p>
            <w:pPr>
              <w:pStyle w:val="Normal"/>
              <w:pBdr/>
              <w:jc w:val="both"/>
              <w:rPr>
                <w:rFonts w:ascii="Arial" w:hAnsi="Arial" w:cs="Arial"/>
                <w:b/>
                <w:b/>
                <w:sz w:val="22"/>
                <w:szCs w:val="22"/>
                <w:lang w:val="en-GB"/>
              </w:rPr>
            </w:pPr>
            <w:r>
              <w:rPr>
                <w:rFonts w:cs="Arial" w:ascii="Arial" w:hAnsi="Arial"/>
                <w:b/>
                <w:sz w:val="22"/>
                <w:szCs w:val="22"/>
                <w:lang w:val="en-GB"/>
              </w:rPr>
              <w:t xml:space="preserve">General Responsibilities </w:t>
            </w:r>
          </w:p>
          <w:p>
            <w:pPr>
              <w:pStyle w:val="Normal"/>
              <w:pBdr/>
              <w:jc w:val="both"/>
              <w:rPr>
                <w:rFonts w:ascii="Arial" w:hAnsi="Arial" w:cs="Arial"/>
                <w:color w:val="00B0F0"/>
                <w:sz w:val="22"/>
                <w:szCs w:val="22"/>
                <w:lang w:val="en-GB"/>
              </w:rPr>
            </w:pPr>
            <w:r>
              <w:rPr>
                <w:rFonts w:cs="Arial" w:ascii="Arial" w:hAnsi="Arial"/>
                <w:color w:val="00B0F0"/>
                <w:sz w:val="22"/>
                <w:szCs w:val="22"/>
                <w:lang w:val="en-GB"/>
              </w:rPr>
            </w:r>
          </w:p>
          <w:p>
            <w:pPr>
              <w:pStyle w:val="Default"/>
              <w:numPr>
                <w:ilvl w:val="0"/>
                <w:numId w:val="3"/>
              </w:numPr>
              <w:rPr>
                <w:rFonts w:ascii="Arial" w:hAnsi="Arial" w:cs="Arial"/>
                <w:sz w:val="22"/>
                <w:szCs w:val="22"/>
              </w:rPr>
            </w:pPr>
            <w:r>
              <w:rPr>
                <w:rFonts w:cs="Arial" w:ascii="Arial" w:hAnsi="Arial"/>
                <w:sz w:val="22"/>
                <w:szCs w:val="22"/>
              </w:rPr>
              <w:t>Adhere to all organisational policies and procedures.</w:t>
            </w:r>
          </w:p>
          <w:p>
            <w:pPr>
              <w:pStyle w:val="Default"/>
              <w:ind w:left="478" w:right="0" w:hanging="0"/>
              <w:rPr>
                <w:rFonts w:ascii="Arial" w:hAnsi="Arial" w:cs="Arial"/>
                <w:sz w:val="22"/>
                <w:szCs w:val="22"/>
              </w:rPr>
            </w:pPr>
            <w:r>
              <w:rPr>
                <w:rFonts w:cs="Arial" w:ascii="Arial" w:hAnsi="Arial"/>
                <w:sz w:val="22"/>
                <w:szCs w:val="22"/>
              </w:rPr>
            </w:r>
          </w:p>
          <w:p>
            <w:pPr>
              <w:pStyle w:val="Default"/>
              <w:numPr>
                <w:ilvl w:val="0"/>
                <w:numId w:val="3"/>
              </w:numPr>
              <w:rPr>
                <w:rFonts w:ascii="Arial" w:hAnsi="Arial" w:cs="Arial"/>
                <w:sz w:val="22"/>
                <w:szCs w:val="22"/>
              </w:rPr>
            </w:pPr>
            <w:r>
              <w:rPr>
                <w:rFonts w:cs="Arial" w:ascii="Arial" w:hAnsi="Arial"/>
                <w:sz w:val="22"/>
                <w:szCs w:val="22"/>
              </w:rPr>
              <w:t>To develop work plans in line with the delivery of the departmental strategy and core objectives.</w:t>
            </w:r>
          </w:p>
          <w:p>
            <w:pPr>
              <w:pStyle w:val="Normal"/>
              <w:rPr/>
            </w:pPr>
            <w:r>
              <w:rPr/>
            </w:r>
          </w:p>
          <w:p>
            <w:pPr>
              <w:pStyle w:val="Default"/>
              <w:numPr>
                <w:ilvl w:val="0"/>
                <w:numId w:val="3"/>
              </w:numPr>
              <w:rPr>
                <w:rFonts w:ascii="Arial" w:hAnsi="Arial" w:cs="Arial"/>
                <w:sz w:val="22"/>
                <w:szCs w:val="22"/>
              </w:rPr>
            </w:pPr>
            <w:r>
              <w:rPr>
                <w:rFonts w:cs="Arial" w:ascii="Arial" w:hAnsi="Arial"/>
                <w:sz w:val="22"/>
                <w:szCs w:val="22"/>
              </w:rPr>
              <w:t>To manage own workload, work autonomously, prioritise work, manage time effectively and work flexibly with team and workload demands.</w:t>
            </w:r>
          </w:p>
          <w:p>
            <w:pPr>
              <w:pStyle w:val="ListParagraph"/>
              <w:rPr/>
            </w:pPr>
            <w:r>
              <w:rPr/>
            </w:r>
          </w:p>
          <w:p>
            <w:pPr>
              <w:pStyle w:val="Default"/>
              <w:numPr>
                <w:ilvl w:val="0"/>
                <w:numId w:val="3"/>
              </w:numPr>
              <w:rPr>
                <w:rFonts w:ascii="Arial" w:hAnsi="Arial" w:cs="Arial"/>
                <w:sz w:val="22"/>
                <w:szCs w:val="22"/>
              </w:rPr>
            </w:pPr>
            <w:r>
              <w:rPr>
                <w:rFonts w:cs="Arial" w:ascii="Arial" w:hAnsi="Arial"/>
                <w:sz w:val="22"/>
                <w:szCs w:val="22"/>
              </w:rPr>
              <w:t>Maintain safe working practises to meet the requirements of Greater Manchester Fire and Rescue Services’ Health and Safety and Safeguarding policies and procedures</w:t>
            </w:r>
          </w:p>
          <w:p>
            <w:pPr>
              <w:pStyle w:val="ListParagraph"/>
              <w:rPr/>
            </w:pPr>
            <w:r>
              <w:rPr/>
            </w:r>
          </w:p>
          <w:p>
            <w:pPr>
              <w:pStyle w:val="Default"/>
              <w:numPr>
                <w:ilvl w:val="0"/>
                <w:numId w:val="3"/>
              </w:numPr>
              <w:rPr>
                <w:rFonts w:ascii="Arial" w:hAnsi="Arial" w:cs="Arial"/>
                <w:sz w:val="22"/>
                <w:szCs w:val="22"/>
              </w:rPr>
            </w:pPr>
            <w:r>
              <w:rPr>
                <w:rFonts w:cs="Arial" w:ascii="Arial" w:hAnsi="Arial"/>
                <w:sz w:val="22"/>
                <w:szCs w:val="22"/>
              </w:rPr>
              <w:t>Demonstrate a commitment to a learning culture and be a developing and practising professional, keeping specialist academic, and work-based knowledge up to date.</w:t>
            </w:r>
          </w:p>
          <w:p>
            <w:pPr>
              <w:pStyle w:val="ListParagraph"/>
              <w:rPr/>
            </w:pPr>
            <w:r>
              <w:rPr/>
            </w:r>
          </w:p>
          <w:p>
            <w:pPr>
              <w:pStyle w:val="Default"/>
              <w:numPr>
                <w:ilvl w:val="0"/>
                <w:numId w:val="3"/>
              </w:numPr>
              <w:rPr>
                <w:rFonts w:ascii="Arial" w:hAnsi="Arial" w:cs="Arial"/>
                <w:sz w:val="22"/>
                <w:szCs w:val="22"/>
              </w:rPr>
            </w:pPr>
            <w:r>
              <w:rPr>
                <w:rFonts w:cs="Arial" w:ascii="Arial" w:hAnsi="Arial"/>
                <w:sz w:val="22"/>
                <w:szCs w:val="22"/>
              </w:rPr>
              <w:t>Work collaboratively with the training teams to achieve agreed outcomes and objectives and contribute to exercise and training strategy.</w:t>
            </w:r>
          </w:p>
          <w:p>
            <w:pPr>
              <w:pStyle w:val="ListParagraph"/>
              <w:rPr/>
            </w:pPr>
            <w:r>
              <w:rPr/>
            </w:r>
          </w:p>
          <w:p>
            <w:pPr>
              <w:pStyle w:val="Default"/>
              <w:numPr>
                <w:ilvl w:val="0"/>
                <w:numId w:val="3"/>
              </w:numPr>
              <w:rPr>
                <w:rFonts w:ascii="Arial" w:hAnsi="Arial" w:cs="Arial"/>
                <w:sz w:val="22"/>
                <w:szCs w:val="22"/>
              </w:rPr>
            </w:pPr>
            <w:r>
              <w:rPr>
                <w:rFonts w:cs="Arial" w:ascii="Arial" w:hAnsi="Arial"/>
                <w:sz w:val="22"/>
                <w:szCs w:val="22"/>
              </w:rPr>
              <w:t>Participate in continual professional development, attending relevant training events as required and cascading any key learning to colleagues.</w:t>
            </w:r>
          </w:p>
          <w:p>
            <w:pPr>
              <w:pStyle w:val="ListParagraph"/>
              <w:rPr/>
            </w:pPr>
            <w:r>
              <w:rPr/>
            </w:r>
          </w:p>
          <w:p>
            <w:pPr>
              <w:pStyle w:val="Default"/>
              <w:numPr>
                <w:ilvl w:val="0"/>
                <w:numId w:val="3"/>
              </w:numPr>
              <w:rPr>
                <w:rFonts w:ascii="Arial" w:hAnsi="Arial" w:cs="Arial"/>
                <w:sz w:val="22"/>
                <w:szCs w:val="22"/>
              </w:rPr>
            </w:pPr>
            <w:r>
              <w:rPr>
                <w:rFonts w:cs="Arial" w:ascii="Arial" w:hAnsi="Arial"/>
                <w:sz w:val="22"/>
                <w:szCs w:val="22"/>
              </w:rPr>
              <w:t>Contribute to the quality improvement and measuring the impact of the service by providing data and information.</w:t>
            </w:r>
          </w:p>
          <w:p>
            <w:pPr>
              <w:pStyle w:val="ListParagraph"/>
              <w:rPr/>
            </w:pPr>
            <w:r>
              <w:rPr/>
            </w:r>
          </w:p>
          <w:p>
            <w:pPr>
              <w:pStyle w:val="Default"/>
              <w:numPr>
                <w:ilvl w:val="0"/>
                <w:numId w:val="3"/>
              </w:numPr>
              <w:rPr>
                <w:rFonts w:ascii="Arial" w:hAnsi="Arial" w:cs="Arial"/>
                <w:sz w:val="22"/>
                <w:szCs w:val="22"/>
              </w:rPr>
            </w:pPr>
            <w:r>
              <w:rPr>
                <w:rFonts w:cs="Arial" w:ascii="Arial" w:hAnsi="Arial"/>
                <w:sz w:val="22"/>
                <w:szCs w:val="22"/>
              </w:rPr>
              <w:t>To be accountable for ensuring you are compliant with its statutory duties under legislation in the relevant field e.g., Employment Act, Equality Act, General Data Protection Regulations etc.</w:t>
            </w:r>
          </w:p>
          <w:p>
            <w:pPr>
              <w:pStyle w:val="Default"/>
              <w:ind w:left="768" w:right="0" w:hanging="0"/>
              <w:rPr>
                <w:rFonts w:ascii="Arial" w:hAnsi="Arial" w:cs="Arial"/>
                <w:sz w:val="22"/>
                <w:szCs w:val="22"/>
              </w:rPr>
            </w:pPr>
            <w:r>
              <w:rPr>
                <w:rFonts w:cs="Arial" w:ascii="Arial" w:hAnsi="Arial"/>
                <w:sz w:val="22"/>
                <w:szCs w:val="22"/>
              </w:rPr>
            </w:r>
          </w:p>
          <w:p>
            <w:pPr>
              <w:pStyle w:val="Normal"/>
              <w:rPr>
                <w:rFonts w:ascii="Arial" w:hAnsi="Arial" w:cs="Arial"/>
                <w:b/>
                <w:b/>
                <w:sz w:val="22"/>
                <w:lang w:val="en-GB"/>
              </w:rPr>
            </w:pPr>
            <w:r>
              <w:rPr>
                <w:rFonts w:cs="Arial" w:ascii="Arial" w:hAnsi="Arial"/>
                <w:b/>
                <w:sz w:val="22"/>
                <w:lang w:val="en-GB"/>
              </w:rPr>
              <w:t>NB: This list of duties and responsibilities is by no means exhaustive, and the post holder may be required to undertake other relevant and appropriate duties as required.</w:t>
            </w:r>
          </w:p>
        </w:tc>
      </w:tr>
      <w:tr>
        <w:trPr>
          <w:trHeight w:val="739" w:hRule="atLeast"/>
        </w:trPr>
        <w:tc>
          <w:tcPr>
            <w:tcW w:w="10401" w:type="dxa"/>
            <w:tcBorders>
              <w:left w:val="single" w:sz="4" w:space="0" w:color="000000"/>
              <w:bottom w:val="single" w:sz="4" w:space="0" w:color="000000"/>
              <w:right w:val="single" w:sz="6" w:space="0" w:color="000000"/>
            </w:tcBorders>
            <w:shd w:fill="auto" w:val="clear"/>
            <w:vAlign w:val="center"/>
          </w:tcPr>
          <w:p>
            <w:pPr>
              <w:pStyle w:val="Normal"/>
              <w:pBdr/>
              <w:snapToGrid w:val="false"/>
              <w:jc w:val="both"/>
              <w:rPr>
                <w:rFonts w:ascii="Arial" w:hAnsi="Arial" w:cs="Arial"/>
                <w:sz w:val="22"/>
                <w:szCs w:val="22"/>
                <w:lang w:val="en-GB"/>
              </w:rPr>
            </w:pPr>
            <w:r>
              <w:rPr>
                <w:rFonts w:cs="Arial" w:ascii="Arial" w:hAnsi="Arial"/>
                <w:sz w:val="22"/>
                <w:szCs w:val="22"/>
                <w:lang w:val="en-GB"/>
              </w:rPr>
            </w:r>
          </w:p>
        </w:tc>
      </w:tr>
    </w:tbl>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tbl>
      <w:tblPr>
        <w:tblW w:w="10359" w:type="dxa"/>
        <w:jc w:val="center"/>
        <w:tblInd w:w="0" w:type="dxa"/>
        <w:tblCellMar>
          <w:top w:w="80" w:type="dxa"/>
          <w:left w:w="80" w:type="dxa"/>
          <w:bottom w:w="80" w:type="dxa"/>
          <w:right w:w="80" w:type="dxa"/>
        </w:tblCellMar>
      </w:tblPr>
      <w:tblGrid>
        <w:gridCol w:w="10359"/>
      </w:tblGrid>
      <w:tr>
        <w:trPr>
          <w:trHeight w:val="180" w:hRule="atLeast"/>
        </w:trPr>
        <w:tc>
          <w:tcPr>
            <w:tcW w:w="10359" w:type="dxa"/>
            <w:tcBorders>
              <w:top w:val="single" w:sz="4" w:space="0" w:color="000000"/>
              <w:left w:val="single" w:sz="4" w:space="0" w:color="000000"/>
              <w:bottom w:val="single" w:sz="4" w:space="0" w:color="000000"/>
              <w:right w:val="single" w:sz="4" w:space="0" w:color="000000"/>
            </w:tcBorders>
            <w:shd w:fill="000000" w:val="clear"/>
            <w:vAlign w:val="center"/>
          </w:tcPr>
          <w:p>
            <w:pPr>
              <w:pStyle w:val="Body"/>
              <w:ind w:left="18" w:right="261" w:hanging="0"/>
              <w:rPr>
                <w:rFonts w:eastAsia="Calibri"/>
                <w:b/>
                <w:b/>
                <w:bCs/>
                <w:color w:val="FFFFFF"/>
                <w:u w:val="none" w:color="FFFFFF"/>
              </w:rPr>
            </w:pPr>
            <w:r>
              <w:rPr>
                <w:rFonts w:eastAsia="Calibri"/>
                <w:b/>
                <w:bCs/>
                <w:color w:val="FFFFFF"/>
                <w:u w:val="none" w:color="FFFFFF"/>
              </w:rPr>
              <w:t>KNOWLEDGE, SKILLS AND EXPERIENCE</w:t>
            </w:r>
          </w:p>
        </w:tc>
      </w:tr>
      <w:tr>
        <w:trPr>
          <w:trHeight w:val="3467" w:hRule="atLeast"/>
        </w:trPr>
        <w:tc>
          <w:tcPr>
            <w:tcW w:w="10359" w:type="dxa"/>
            <w:tcBorders>
              <w:top w:val="single" w:sz="4" w:space="0" w:color="000000"/>
              <w:left w:val="single" w:sz="4" w:space="0" w:color="000000"/>
              <w:bottom w:val="single" w:sz="4" w:space="0" w:color="000000"/>
              <w:right w:val="single" w:sz="4" w:space="0" w:color="000000"/>
            </w:tcBorders>
            <w:shd w:fill="auto" w:val="clear"/>
            <w:tcMar>
              <w:left w:w="363" w:type="dxa"/>
            </w:tcMar>
            <w:vAlign w:val="center"/>
          </w:tcPr>
          <w:p>
            <w:pPr>
              <w:pStyle w:val="Normal"/>
              <w:widowControl w:val="false"/>
              <w:pBdr/>
              <w:spacing w:lineRule="auto" w:line="276" w:before="240" w:after="0"/>
              <w:rPr>
                <w:rFonts w:ascii="Arial" w:hAnsi="Arial" w:cs="Arial"/>
                <w:b/>
                <w:b/>
                <w:sz w:val="22"/>
              </w:rPr>
            </w:pPr>
            <w:r>
              <w:rPr>
                <w:rFonts w:cs="Arial" w:ascii="Arial" w:hAnsi="Arial"/>
                <w:b/>
                <w:sz w:val="22"/>
              </w:rPr>
              <w:t>Qualifications</w:t>
            </w:r>
          </w:p>
          <w:p>
            <w:pPr>
              <w:pStyle w:val="Normal"/>
              <w:widowControl w:val="false"/>
              <w:pBdr/>
              <w:spacing w:lineRule="auto" w:line="276"/>
              <w:ind w:left="360" w:right="0" w:hanging="0"/>
              <w:rPr>
                <w:rFonts w:ascii="Arial" w:hAnsi="Arial" w:cs="Arial"/>
                <w:sz w:val="22"/>
                <w:szCs w:val="22"/>
                <w:lang w:val="en-GB"/>
              </w:rPr>
            </w:pPr>
            <w:r>
              <w:rPr>
                <w:rFonts w:cs="Arial" w:ascii="Arial" w:hAnsi="Arial"/>
                <w:sz w:val="22"/>
                <w:szCs w:val="22"/>
                <w:lang w:val="en-GB"/>
              </w:rPr>
            </w:r>
          </w:p>
          <w:p>
            <w:pPr>
              <w:pStyle w:val="NoSpacing"/>
              <w:numPr>
                <w:ilvl w:val="0"/>
                <w:numId w:val="4"/>
              </w:numPr>
              <w:spacing w:lineRule="auto" w:line="276"/>
              <w:rPr/>
            </w:pPr>
            <w:r>
              <w:rPr>
                <w:rFonts w:cs="Arial" w:ascii="Arial" w:hAnsi="Arial"/>
                <w:sz w:val="22"/>
                <w:szCs w:val="22"/>
              </w:rPr>
              <w:t xml:space="preserve">Level 3 Award in Education and Training or equivalent- </w:t>
            </w:r>
            <w:r>
              <w:rPr>
                <w:rFonts w:cs="Arial" w:ascii="Arial" w:hAnsi="Arial"/>
                <w:b/>
                <w:bCs/>
                <w:i/>
                <w:iCs/>
                <w:sz w:val="22"/>
                <w:szCs w:val="22"/>
              </w:rPr>
              <w:t>(desirable)</w:t>
            </w:r>
          </w:p>
          <w:p>
            <w:pPr>
              <w:pStyle w:val="NoSpacing"/>
              <w:numPr>
                <w:ilvl w:val="0"/>
                <w:numId w:val="4"/>
              </w:numPr>
              <w:spacing w:lineRule="auto" w:line="276"/>
              <w:rPr/>
            </w:pPr>
            <w:r>
              <w:rPr>
                <w:rFonts w:cs="Arial" w:ascii="Arial" w:hAnsi="Arial"/>
                <w:sz w:val="22"/>
                <w:szCs w:val="22"/>
              </w:rPr>
              <w:t xml:space="preserve">Level 3 Certificate in Assessing Vocational Achievement or Competence in the Work Environment, or equivalent- </w:t>
            </w:r>
            <w:r>
              <w:rPr>
                <w:rFonts w:cs="Arial" w:ascii="Arial" w:hAnsi="Arial"/>
                <w:b/>
                <w:bCs/>
                <w:i/>
                <w:iCs/>
                <w:sz w:val="22"/>
                <w:szCs w:val="22"/>
              </w:rPr>
              <w:t>(essential)</w:t>
            </w:r>
            <w:r>
              <w:rPr>
                <w:rFonts w:cs="Arial" w:ascii="Arial" w:hAnsi="Arial"/>
                <w:b/>
                <w:bCs/>
                <w:sz w:val="22"/>
                <w:szCs w:val="22"/>
              </w:rPr>
              <w:t xml:space="preserve"> </w:t>
            </w:r>
          </w:p>
          <w:p>
            <w:pPr>
              <w:pStyle w:val="NoSpacing"/>
              <w:numPr>
                <w:ilvl w:val="0"/>
                <w:numId w:val="4"/>
              </w:numPr>
              <w:spacing w:lineRule="auto" w:line="276"/>
              <w:rPr/>
            </w:pPr>
            <w:r>
              <w:rPr>
                <w:rFonts w:cs="Arial" w:ascii="Arial" w:hAnsi="Arial"/>
                <w:sz w:val="22"/>
                <w:szCs w:val="22"/>
              </w:rPr>
              <w:t>ILM Level 3 Award in Coaching and mentoring or equivalent</w:t>
            </w:r>
            <w:r>
              <w:rPr>
                <w:rFonts w:cs="Arial" w:ascii="Arial" w:hAnsi="Arial"/>
                <w:b/>
                <w:bCs/>
                <w:sz w:val="22"/>
                <w:szCs w:val="22"/>
              </w:rPr>
              <w:t>-</w:t>
            </w:r>
            <w:r>
              <w:rPr>
                <w:rFonts w:cs="Arial" w:ascii="Arial" w:hAnsi="Arial"/>
                <w:b/>
                <w:bCs/>
                <w:i/>
                <w:iCs/>
                <w:sz w:val="22"/>
                <w:szCs w:val="22"/>
              </w:rPr>
              <w:t>(desirable)</w:t>
            </w:r>
          </w:p>
          <w:p>
            <w:pPr>
              <w:pStyle w:val="NoSpacing"/>
              <w:numPr>
                <w:ilvl w:val="0"/>
                <w:numId w:val="4"/>
              </w:numPr>
              <w:spacing w:lineRule="auto" w:line="276"/>
              <w:rPr/>
            </w:pPr>
            <w:r>
              <w:rPr>
                <w:rFonts w:cs="Arial" w:ascii="Arial" w:hAnsi="Arial"/>
                <w:sz w:val="22"/>
                <w:szCs w:val="22"/>
              </w:rPr>
              <w:t xml:space="preserve">IOSH Managing Safely certification </w:t>
            </w:r>
            <w:r>
              <w:rPr>
                <w:rFonts w:cs="Arial" w:ascii="Arial" w:hAnsi="Arial"/>
                <w:b/>
                <w:bCs/>
                <w:i/>
                <w:sz w:val="22"/>
                <w:szCs w:val="22"/>
              </w:rPr>
              <w:t>(desirable)</w:t>
            </w:r>
          </w:p>
          <w:p>
            <w:pPr>
              <w:pStyle w:val="ListParagraph"/>
              <w:numPr>
                <w:ilvl w:val="0"/>
                <w:numId w:val="4"/>
              </w:numPr>
              <w:spacing w:lineRule="auto" w:line="276"/>
              <w:rPr/>
            </w:pPr>
            <w:r>
              <w:rPr>
                <w:rFonts w:eastAsia="Arial Unicode MS"/>
                <w:color w:val="auto"/>
              </w:rPr>
              <w:t xml:space="preserve">ICL level 1 or 2- </w:t>
            </w:r>
            <w:r>
              <w:rPr>
                <w:rFonts w:eastAsia="Arial Unicode MS"/>
                <w:b/>
                <w:bCs/>
                <w:i/>
                <w:iCs/>
                <w:color w:val="auto"/>
              </w:rPr>
              <w:t>(essential)</w:t>
            </w:r>
          </w:p>
          <w:p>
            <w:pPr>
              <w:pStyle w:val="ListParagraph"/>
              <w:numPr>
                <w:ilvl w:val="0"/>
                <w:numId w:val="4"/>
              </w:numPr>
              <w:spacing w:lineRule="auto" w:line="276"/>
              <w:rPr/>
            </w:pPr>
            <w:r>
              <w:rPr>
                <w:rFonts w:eastAsia="Arial Unicode MS"/>
                <w:color w:val="auto"/>
              </w:rPr>
              <w:t xml:space="preserve">RTCI </w:t>
            </w:r>
            <w:r>
              <w:rPr>
                <w:rFonts w:eastAsia="Arial Unicode MS"/>
                <w:b/>
                <w:bCs/>
                <w:i/>
                <w:iCs/>
                <w:color w:val="auto"/>
              </w:rPr>
              <w:t>(Desirable)</w:t>
            </w:r>
          </w:p>
          <w:p>
            <w:pPr>
              <w:pStyle w:val="ListParagraph"/>
              <w:numPr>
                <w:ilvl w:val="0"/>
                <w:numId w:val="4"/>
              </w:numPr>
              <w:spacing w:lineRule="auto" w:line="276"/>
              <w:rPr/>
            </w:pPr>
            <w:r>
              <w:rPr>
                <w:rFonts w:eastAsia="Arial Unicode MS"/>
                <w:color w:val="auto"/>
              </w:rPr>
              <w:t xml:space="preserve">HMEPO/HAZMAT </w:t>
            </w:r>
            <w:r>
              <w:rPr>
                <w:rFonts w:eastAsia="Arial Unicode MS"/>
                <w:b/>
                <w:bCs/>
                <w:i/>
                <w:iCs/>
                <w:color w:val="auto"/>
              </w:rPr>
              <w:t>(Desirable)</w:t>
            </w:r>
          </w:p>
          <w:p>
            <w:pPr>
              <w:pStyle w:val="ListParagraph"/>
              <w:numPr>
                <w:ilvl w:val="0"/>
                <w:numId w:val="4"/>
              </w:numPr>
              <w:spacing w:lineRule="auto" w:line="276"/>
              <w:rPr/>
            </w:pPr>
            <w:r>
              <w:rPr>
                <w:rFonts w:eastAsia="Arial Unicode MS"/>
                <w:color w:val="auto"/>
              </w:rPr>
              <w:t xml:space="preserve">Rope Instructor </w:t>
            </w:r>
            <w:r>
              <w:rPr>
                <w:rFonts w:eastAsia="Arial Unicode MS"/>
                <w:b/>
                <w:bCs/>
                <w:i/>
                <w:iCs/>
                <w:color w:val="auto"/>
              </w:rPr>
              <w:t>(Desirable)</w:t>
            </w:r>
          </w:p>
          <w:p>
            <w:pPr>
              <w:pStyle w:val="ListParagraph"/>
              <w:numPr>
                <w:ilvl w:val="0"/>
                <w:numId w:val="4"/>
              </w:numPr>
              <w:spacing w:lineRule="auto" w:line="276"/>
              <w:rPr/>
            </w:pPr>
            <w:r>
              <w:rPr>
                <w:rFonts w:eastAsia="Arial Unicode MS"/>
                <w:color w:val="auto"/>
              </w:rPr>
              <w:t xml:space="preserve">BAI </w:t>
            </w:r>
            <w:r>
              <w:rPr>
                <w:rFonts w:eastAsia="Arial Unicode MS"/>
                <w:b/>
                <w:bCs/>
                <w:i/>
                <w:iCs/>
                <w:color w:val="auto"/>
              </w:rPr>
              <w:t>(Desirable)</w:t>
            </w:r>
          </w:p>
          <w:p>
            <w:pPr>
              <w:pStyle w:val="ListParagraph"/>
              <w:numPr>
                <w:ilvl w:val="0"/>
                <w:numId w:val="4"/>
              </w:numPr>
              <w:spacing w:lineRule="auto" w:line="276"/>
              <w:rPr/>
            </w:pPr>
            <w:r>
              <w:rPr>
                <w:rFonts w:eastAsia="Arial Unicode MS"/>
                <w:color w:val="auto"/>
              </w:rPr>
              <w:t xml:space="preserve">Trauma Qual </w:t>
            </w:r>
            <w:r>
              <w:rPr>
                <w:rFonts w:eastAsia="Arial Unicode MS"/>
                <w:b/>
                <w:bCs/>
                <w:i/>
                <w:iCs/>
                <w:color w:val="auto"/>
              </w:rPr>
              <w:t>(Desirable)</w:t>
            </w:r>
          </w:p>
          <w:p>
            <w:pPr>
              <w:pStyle w:val="Normal"/>
              <w:widowControl w:val="false"/>
              <w:pBdr/>
              <w:spacing w:lineRule="auto" w:line="276" w:before="240" w:after="0"/>
              <w:rPr>
                <w:rFonts w:ascii="Arial" w:hAnsi="Arial" w:cs="Arial"/>
                <w:b/>
                <w:b/>
                <w:sz w:val="22"/>
                <w:szCs w:val="22"/>
              </w:rPr>
            </w:pPr>
            <w:r>
              <w:rPr>
                <w:rFonts w:cs="Arial" w:ascii="Arial" w:hAnsi="Arial"/>
                <w:b/>
                <w:sz w:val="22"/>
                <w:szCs w:val="22"/>
              </w:rPr>
              <w:t>Experience</w:t>
            </w:r>
          </w:p>
          <w:p>
            <w:pPr>
              <w:pStyle w:val="NoSpacing"/>
              <w:spacing w:lineRule="auto" w:line="276"/>
              <w:ind w:left="720" w:right="0" w:hanging="0"/>
              <w:rPr>
                <w:rFonts w:ascii="Arial" w:hAnsi="Arial" w:cs="Arial"/>
                <w:sz w:val="22"/>
              </w:rPr>
            </w:pPr>
            <w:r>
              <w:rPr>
                <w:rFonts w:cs="Arial" w:ascii="Arial" w:hAnsi="Arial"/>
                <w:sz w:val="22"/>
              </w:rPr>
            </w:r>
          </w:p>
          <w:p>
            <w:pPr>
              <w:pStyle w:val="NoSpacing"/>
              <w:numPr>
                <w:ilvl w:val="0"/>
                <w:numId w:val="4"/>
              </w:numPr>
              <w:spacing w:lineRule="auto" w:line="276"/>
              <w:rPr>
                <w:rFonts w:ascii="Arial" w:hAnsi="Arial" w:cs="Arial"/>
                <w:sz w:val="22"/>
              </w:rPr>
            </w:pPr>
            <w:r>
              <w:rPr>
                <w:rFonts w:cs="Arial" w:ascii="Arial" w:hAnsi="Arial"/>
                <w:sz w:val="22"/>
              </w:rPr>
              <w:t>You will have competent Watch Manager or above experience</w:t>
            </w:r>
          </w:p>
          <w:p>
            <w:pPr>
              <w:pStyle w:val="NoSpacing"/>
              <w:numPr>
                <w:ilvl w:val="0"/>
                <w:numId w:val="4"/>
              </w:numPr>
              <w:spacing w:lineRule="auto" w:line="276"/>
              <w:rPr>
                <w:rFonts w:ascii="Arial" w:hAnsi="Arial" w:cs="Arial"/>
                <w:sz w:val="22"/>
              </w:rPr>
            </w:pPr>
            <w:r>
              <w:rPr>
                <w:rFonts w:cs="Arial" w:ascii="Arial" w:hAnsi="Arial"/>
                <w:sz w:val="22"/>
              </w:rPr>
              <w:t>Experience of providing guidance and support to learners in the development of skills, confidence and knowledge</w:t>
            </w:r>
          </w:p>
          <w:p>
            <w:pPr>
              <w:pStyle w:val="NoSpacing"/>
              <w:numPr>
                <w:ilvl w:val="0"/>
                <w:numId w:val="4"/>
              </w:numPr>
              <w:spacing w:lineRule="auto" w:line="276"/>
              <w:rPr>
                <w:rFonts w:ascii="Arial" w:hAnsi="Arial" w:cs="Arial"/>
                <w:sz w:val="22"/>
              </w:rPr>
            </w:pPr>
            <w:r>
              <w:rPr>
                <w:rFonts w:cs="Arial" w:ascii="Arial" w:hAnsi="Arial"/>
                <w:sz w:val="22"/>
              </w:rPr>
              <w:t>Experience of integrating high quality assessment practices in different environments to inform decisions</w:t>
            </w:r>
          </w:p>
          <w:p>
            <w:pPr>
              <w:pStyle w:val="NoSpacing"/>
              <w:numPr>
                <w:ilvl w:val="0"/>
                <w:numId w:val="4"/>
              </w:numPr>
              <w:spacing w:lineRule="auto" w:line="276"/>
              <w:rPr>
                <w:rFonts w:ascii="Arial" w:hAnsi="Arial" w:cs="Arial"/>
                <w:sz w:val="22"/>
              </w:rPr>
            </w:pPr>
            <w:r>
              <w:rPr>
                <w:rFonts w:cs="Arial" w:ascii="Arial" w:hAnsi="Arial"/>
                <w:sz w:val="22"/>
              </w:rPr>
              <w:t>Knowledge and experience of Safeguarding policy and procedures</w:t>
            </w:r>
          </w:p>
          <w:p>
            <w:pPr>
              <w:pStyle w:val="NoSpacing"/>
              <w:numPr>
                <w:ilvl w:val="0"/>
                <w:numId w:val="4"/>
              </w:numPr>
              <w:spacing w:lineRule="auto" w:line="276"/>
              <w:rPr>
                <w:rFonts w:ascii="Arial" w:hAnsi="Arial" w:cs="Arial"/>
                <w:sz w:val="22"/>
              </w:rPr>
            </w:pPr>
            <w:r>
              <w:rPr>
                <w:rFonts w:cs="Arial" w:ascii="Arial" w:hAnsi="Arial"/>
                <w:sz w:val="22"/>
              </w:rPr>
              <w:t>Experience of developing inclusive and challenging support strategies</w:t>
            </w:r>
          </w:p>
          <w:p>
            <w:pPr>
              <w:pStyle w:val="NoSpacing"/>
              <w:numPr>
                <w:ilvl w:val="0"/>
                <w:numId w:val="4"/>
              </w:numPr>
              <w:spacing w:lineRule="auto" w:line="276"/>
              <w:rPr>
                <w:rFonts w:ascii="Arial" w:hAnsi="Arial" w:cs="Arial"/>
                <w:sz w:val="22"/>
              </w:rPr>
            </w:pPr>
            <w:r>
              <w:rPr>
                <w:rFonts w:cs="Arial" w:ascii="Arial" w:hAnsi="Arial"/>
                <w:sz w:val="22"/>
              </w:rPr>
              <w:t>Experience of engaging and supporting learners to apply skills in the workplace</w:t>
            </w:r>
          </w:p>
          <w:p>
            <w:pPr>
              <w:pStyle w:val="NoSpacing"/>
              <w:numPr>
                <w:ilvl w:val="0"/>
                <w:numId w:val="4"/>
              </w:numPr>
              <w:spacing w:lineRule="auto" w:line="276"/>
              <w:rPr/>
            </w:pPr>
            <w:r>
              <w:rPr>
                <w:rFonts w:cs="Arial" w:ascii="Arial" w:hAnsi="Arial"/>
                <w:sz w:val="22"/>
              </w:rPr>
              <w:t>Experience of supporting individuals to meet agreed objectives and milestones</w:t>
            </w:r>
            <w:r>
              <w:rPr>
                <w:rFonts w:cs="Arial" w:ascii="Arial" w:hAnsi="Arial"/>
                <w:sz w:val="22"/>
                <w:lang w:val="en-GB"/>
              </w:rPr>
              <w:t xml:space="preserve"> </w:t>
            </w:r>
          </w:p>
          <w:p>
            <w:pPr>
              <w:pStyle w:val="NoSpacing"/>
              <w:numPr>
                <w:ilvl w:val="0"/>
                <w:numId w:val="4"/>
              </w:numPr>
              <w:spacing w:lineRule="auto" w:line="276"/>
              <w:rPr>
                <w:rFonts w:ascii="Arial" w:hAnsi="Arial" w:cs="Arial"/>
                <w:sz w:val="22"/>
                <w:lang w:val="en-GB"/>
              </w:rPr>
            </w:pPr>
            <w:r>
              <w:rPr>
                <w:rFonts w:cs="Arial" w:ascii="Arial" w:hAnsi="Arial"/>
                <w:sz w:val="22"/>
                <w:lang w:val="en-GB"/>
              </w:rPr>
              <w:t>Experience of functional roles such as Hazardous Materials Officers, NILO, Command Support Officer etc.</w:t>
            </w:r>
          </w:p>
          <w:p>
            <w:pPr>
              <w:pStyle w:val="NoSpacing"/>
              <w:numPr>
                <w:ilvl w:val="0"/>
                <w:numId w:val="4"/>
              </w:numPr>
              <w:spacing w:lineRule="auto" w:line="276"/>
              <w:rPr>
                <w:rFonts w:ascii="Arial" w:hAnsi="Arial" w:cs="Arial"/>
                <w:sz w:val="22"/>
                <w:lang w:val="en-GB"/>
              </w:rPr>
            </w:pPr>
            <w:r>
              <w:rPr>
                <w:rFonts w:cs="Arial" w:ascii="Arial" w:hAnsi="Arial"/>
                <w:sz w:val="22"/>
                <w:lang w:val="en-GB"/>
              </w:rPr>
              <w:t>Experience in exercise design and delivery</w:t>
            </w:r>
          </w:p>
          <w:p>
            <w:pPr>
              <w:pStyle w:val="NoSpacing"/>
              <w:spacing w:lineRule="auto" w:line="276"/>
              <w:ind w:left="720" w:right="0" w:hanging="0"/>
              <w:rPr>
                <w:rFonts w:ascii="Arial" w:hAnsi="Arial" w:cs="Arial"/>
                <w:sz w:val="22"/>
                <w:lang w:val="en-GB"/>
              </w:rPr>
            </w:pPr>
            <w:r>
              <w:rPr>
                <w:rFonts w:cs="Arial" w:ascii="Arial" w:hAnsi="Arial"/>
                <w:sz w:val="22"/>
                <w:lang w:val="en-GB"/>
              </w:rPr>
            </w:r>
          </w:p>
          <w:p>
            <w:pPr>
              <w:pStyle w:val="NoSpacing"/>
              <w:spacing w:lineRule="auto" w:line="276"/>
              <w:ind w:left="720" w:right="0" w:hanging="0"/>
              <w:rPr>
                <w:rFonts w:ascii="Arial" w:hAnsi="Arial" w:cs="Arial"/>
                <w:b/>
                <w:b/>
                <w:sz w:val="22"/>
                <w:szCs w:val="22"/>
              </w:rPr>
            </w:pPr>
            <w:r>
              <w:rPr>
                <w:rFonts w:cs="Arial" w:ascii="Arial" w:hAnsi="Arial"/>
                <w:b/>
                <w:sz w:val="22"/>
                <w:szCs w:val="22"/>
              </w:rPr>
              <w:t xml:space="preserve">Knowledge &amp; Skills </w:t>
            </w:r>
          </w:p>
          <w:p>
            <w:pPr>
              <w:pStyle w:val="NoSpacing"/>
              <w:spacing w:lineRule="auto" w:line="276"/>
              <w:ind w:left="720" w:right="0" w:hanging="0"/>
              <w:rPr>
                <w:rFonts w:ascii="Arial" w:hAnsi="Arial" w:cs="Arial"/>
                <w:sz w:val="22"/>
                <w:szCs w:val="22"/>
              </w:rPr>
            </w:pPr>
            <w:r>
              <w:rPr>
                <w:rFonts w:cs="Arial" w:ascii="Arial" w:hAnsi="Arial"/>
                <w:sz w:val="22"/>
                <w:szCs w:val="22"/>
              </w:rPr>
            </w:r>
          </w:p>
          <w:p>
            <w:pPr>
              <w:pStyle w:val="ListParagraph"/>
              <w:numPr>
                <w:ilvl w:val="0"/>
                <w:numId w:val="5"/>
              </w:numPr>
              <w:pBdr/>
              <w:spacing w:lineRule="auto" w:line="276" w:before="0" w:after="160"/>
              <w:contextualSpacing/>
              <w:rPr/>
            </w:pPr>
            <w:r>
              <w:rPr/>
              <w:t>Recognise the value of Her Majesty's Inspectorate of Constabulary and Fire &amp; Rescue Services (HMICFRS) and the associated inspection process.</w:t>
            </w:r>
          </w:p>
          <w:p>
            <w:pPr>
              <w:pStyle w:val="ListParagraph"/>
              <w:numPr>
                <w:ilvl w:val="0"/>
                <w:numId w:val="5"/>
              </w:numPr>
              <w:pBdr/>
              <w:spacing w:lineRule="auto" w:line="276" w:before="0" w:after="160"/>
              <w:contextualSpacing/>
              <w:rPr/>
            </w:pPr>
            <w:r>
              <w:rPr/>
              <w:t>Understand how your team fits into the Fire Plan, Annual Deliver Plan, alongside other directorates to achieve strategic objectives.</w:t>
            </w:r>
          </w:p>
          <w:p>
            <w:pPr>
              <w:pStyle w:val="ListParagraph"/>
              <w:numPr>
                <w:ilvl w:val="0"/>
                <w:numId w:val="5"/>
              </w:numPr>
              <w:pBdr/>
              <w:spacing w:lineRule="auto" w:line="276" w:before="0" w:after="160"/>
              <w:contextualSpacing/>
              <w:rPr/>
            </w:pPr>
            <w:r>
              <w:rPr/>
              <w:t xml:space="preserve">Understand the principles of good report writing and regularly use excel and word. </w:t>
            </w:r>
          </w:p>
          <w:p>
            <w:pPr>
              <w:pStyle w:val="ListParagraph"/>
              <w:numPr>
                <w:ilvl w:val="0"/>
                <w:numId w:val="5"/>
              </w:numPr>
              <w:pBdr/>
              <w:spacing w:lineRule="auto" w:line="276" w:before="0" w:after="160"/>
              <w:contextualSpacing/>
              <w:rPr/>
            </w:pPr>
            <w:r>
              <w:rPr/>
              <w:t>Appreciate the importance of diversity in learning and seek to consider individual leaner needs and understand the impact of neurodiverse needs such as Dyslexia, Dyspraxia and Dyscalculia.</w:t>
            </w:r>
          </w:p>
          <w:p>
            <w:pPr>
              <w:pStyle w:val="ListParagraph"/>
              <w:numPr>
                <w:ilvl w:val="0"/>
                <w:numId w:val="5"/>
              </w:numPr>
              <w:pBdr/>
              <w:spacing w:lineRule="auto" w:line="276" w:before="0" w:after="160"/>
              <w:contextualSpacing/>
              <w:rPr/>
            </w:pPr>
            <w:r>
              <w:rPr/>
              <w:t>Understand the importance of strong leadership and management skills and both recognise and challenge inappropriate behaviors</w:t>
            </w:r>
          </w:p>
          <w:p>
            <w:pPr>
              <w:pStyle w:val="ListParagraph"/>
              <w:pBdr/>
              <w:spacing w:lineRule="auto" w:line="276" w:before="0" w:after="160"/>
              <w:contextualSpacing/>
              <w:rPr/>
            </w:pPr>
            <w:r>
              <w:rPr/>
            </w:r>
          </w:p>
          <w:p>
            <w:pPr>
              <w:pStyle w:val="ListParagraph"/>
              <w:numPr>
                <w:ilvl w:val="0"/>
                <w:numId w:val="5"/>
              </w:numPr>
              <w:pBdr/>
              <w:spacing w:lineRule="auto" w:line="276" w:before="0" w:after="160"/>
              <w:contextualSpacing/>
              <w:rPr/>
            </w:pPr>
            <w:r>
              <w:rPr/>
              <w:t>Maintain a working knowledge of organisational ICT, GDPR systems and the necessary administration skills to maintain records and information, Excell, Word etc....</w:t>
            </w:r>
          </w:p>
          <w:p>
            <w:pPr>
              <w:pStyle w:val="NoSpacing"/>
              <w:spacing w:lineRule="auto" w:line="276"/>
              <w:rPr>
                <w:rFonts w:ascii="Arial" w:hAnsi="Arial" w:cs="Arial"/>
                <w:b/>
                <w:b/>
                <w:sz w:val="22"/>
                <w:szCs w:val="22"/>
              </w:rPr>
            </w:pPr>
            <w:r>
              <w:rPr>
                <w:rFonts w:cs="Arial" w:ascii="Arial" w:hAnsi="Arial"/>
                <w:b/>
                <w:sz w:val="22"/>
                <w:szCs w:val="22"/>
              </w:rPr>
              <w:t>Behaviours</w:t>
            </w:r>
          </w:p>
          <w:p>
            <w:pPr>
              <w:pStyle w:val="NoSpacing"/>
              <w:spacing w:lineRule="auto" w:line="276"/>
              <w:rPr>
                <w:rFonts w:ascii="Arial" w:hAnsi="Arial" w:cs="Arial"/>
                <w:b/>
                <w:b/>
                <w:sz w:val="22"/>
                <w:szCs w:val="22"/>
              </w:rPr>
            </w:pPr>
            <w:r>
              <w:rPr>
                <w:rFonts w:cs="Arial" w:ascii="Arial" w:hAnsi="Arial"/>
                <w:b/>
                <w:sz w:val="22"/>
                <w:szCs w:val="22"/>
              </w:rPr>
            </w:r>
          </w:p>
          <w:p>
            <w:pPr>
              <w:pStyle w:val="ListParagraph"/>
              <w:numPr>
                <w:ilvl w:val="0"/>
                <w:numId w:val="5"/>
              </w:numPr>
              <w:pBdr/>
              <w:spacing w:lineRule="auto" w:line="276" w:before="0" w:after="160"/>
              <w:contextualSpacing/>
              <w:rPr/>
            </w:pPr>
            <w:r>
              <w:rPr/>
              <w:t>Take responsibility for inclusion, encourage different points of view and communicate responsibly with sensitivity and respect for others.</w:t>
            </w:r>
          </w:p>
          <w:p>
            <w:pPr>
              <w:pStyle w:val="ListParagraph"/>
              <w:numPr>
                <w:ilvl w:val="0"/>
                <w:numId w:val="5"/>
              </w:numPr>
              <w:pBdr/>
              <w:spacing w:lineRule="auto" w:line="276" w:before="0" w:after="160"/>
              <w:contextualSpacing/>
              <w:rPr/>
            </w:pPr>
            <w:r>
              <w:rPr/>
              <w:t>Commit to creating a safe learning environment, encourage others to admit to and learn from their mistakes, and celebrate their successes.</w:t>
            </w:r>
          </w:p>
          <w:p>
            <w:pPr>
              <w:pStyle w:val="ListParagraph"/>
              <w:numPr>
                <w:ilvl w:val="0"/>
                <w:numId w:val="5"/>
              </w:numPr>
              <w:pBdr/>
              <w:spacing w:lineRule="auto" w:line="276" w:before="0" w:after="160"/>
              <w:contextualSpacing/>
              <w:rPr/>
            </w:pPr>
            <w:r>
              <w:rPr/>
              <w:t>Take a proactive approach to dealing with difficult or sensitive situations, influencing others to reach an acceptable solution and look after colleagues, look for behaviours that show someone might be struggling and ensure there is support available.</w:t>
            </w:r>
          </w:p>
          <w:p>
            <w:pPr>
              <w:pStyle w:val="ListParagraph"/>
              <w:numPr>
                <w:ilvl w:val="0"/>
                <w:numId w:val="5"/>
              </w:numPr>
              <w:pBdr/>
              <w:spacing w:lineRule="auto" w:line="276" w:before="0" w:after="160"/>
              <w:contextualSpacing/>
              <w:rPr/>
            </w:pPr>
            <w:r>
              <w:rPr/>
              <w:t>Take responsibility for team effectiveness which focusses on improving outcomes and work with the team to establish a clear sense of purpose and set expectations to achieve the shared goal.</w:t>
            </w:r>
          </w:p>
          <w:p>
            <w:pPr>
              <w:pStyle w:val="ListParagraph"/>
              <w:numPr>
                <w:ilvl w:val="0"/>
                <w:numId w:val="5"/>
              </w:numPr>
              <w:pBdr/>
              <w:spacing w:lineRule="auto" w:line="276" w:before="0" w:after="160"/>
              <w:contextualSpacing/>
              <w:rPr/>
            </w:pPr>
            <w:r>
              <w:rPr/>
              <w:t>Maintain an outcome focused approach and make decisions based on better service outcomes using evidence-based decisions that consider the risks, including financial and resource impacts.</w:t>
            </w:r>
          </w:p>
          <w:p>
            <w:pPr>
              <w:pStyle w:val="ListParagraph"/>
              <w:numPr>
                <w:ilvl w:val="0"/>
                <w:numId w:val="5"/>
              </w:numPr>
              <w:pBdr/>
              <w:spacing w:lineRule="auto" w:line="276" w:before="0" w:after="160"/>
              <w:contextualSpacing/>
              <w:rPr/>
            </w:pPr>
            <w:r>
              <w:rPr/>
              <w:t>Promote continuous improvement for the team and the organisation, creating conditions where team members are empowered to suggest and implement new ways of working.</w:t>
            </w:r>
          </w:p>
          <w:p>
            <w:pPr>
              <w:pStyle w:val="NoSpacing"/>
              <w:spacing w:lineRule="auto" w:line="276"/>
              <w:rPr>
                <w:rFonts w:ascii="Arial" w:hAnsi="Arial" w:cs="Arial"/>
                <w:b/>
                <w:b/>
                <w:sz w:val="22"/>
                <w:szCs w:val="22"/>
              </w:rPr>
            </w:pPr>
            <w:r>
              <w:rPr>
                <w:rFonts w:cs="Arial" w:ascii="Arial" w:hAnsi="Arial"/>
                <w:b/>
                <w:sz w:val="22"/>
                <w:szCs w:val="22"/>
              </w:rPr>
              <w:t xml:space="preserve">Additional </w:t>
            </w:r>
          </w:p>
          <w:p>
            <w:pPr>
              <w:pStyle w:val="ListParagraph"/>
              <w:numPr>
                <w:ilvl w:val="0"/>
                <w:numId w:val="5"/>
              </w:numPr>
              <w:pBdr/>
              <w:spacing w:lineRule="auto" w:line="276" w:before="0" w:after="160"/>
              <w:contextualSpacing/>
              <w:rPr/>
            </w:pPr>
            <w:r>
              <w:rPr/>
              <w:t>A willingness to work flexibly as evening and weekend working will be required</w:t>
            </w:r>
          </w:p>
          <w:p>
            <w:pPr>
              <w:pStyle w:val="ListParagraph"/>
              <w:rPr/>
            </w:pPr>
            <w:r>
              <w:rPr/>
              <w:t>Willingness and ability to travel across the county when required, within a reasonable time to meet the role demands (individuals providing their own vehicle for use will be eligible for casual car user rate</w:t>
            </w:r>
          </w:p>
        </w:tc>
      </w:tr>
    </w:tbl>
    <w:p>
      <w:pPr>
        <w:pStyle w:val="Normal"/>
        <w:shd w:fill="FFFFFF" w:val="clear"/>
        <w:jc w:val="both"/>
        <w:rPr>
          <w:rFonts w:ascii="Arial" w:hAnsi="Arial" w:cs="Arial"/>
          <w:b/>
          <w:b/>
          <w:color w:val="595959"/>
          <w:sz w:val="22"/>
          <w:szCs w:val="22"/>
        </w:rPr>
      </w:pPr>
      <w:r>
        <w:rPr>
          <w:rFonts w:cs="Arial" w:ascii="Arial" w:hAnsi="Arial"/>
          <w:b/>
          <w:color w:val="595959"/>
          <w:sz w:val="22"/>
          <w:szCs w:val="22"/>
        </w:rPr>
      </w:r>
    </w:p>
    <w:p>
      <w:pPr>
        <w:pStyle w:val="Normal"/>
        <w:shd w:fill="FFFFFF" w:val="clear"/>
        <w:jc w:val="both"/>
        <w:rPr>
          <w:rFonts w:ascii="Arial" w:hAnsi="Arial" w:cs="Arial"/>
          <w:b/>
          <w:b/>
          <w:color w:val="595959"/>
          <w:sz w:val="22"/>
          <w:szCs w:val="22"/>
        </w:rPr>
      </w:pPr>
      <w:r>
        <w:rPr>
          <w:rFonts w:cs="Arial" w:ascii="Arial" w:hAnsi="Arial"/>
          <w:b/>
          <w:color w:val="595959"/>
          <w:sz w:val="22"/>
          <w:szCs w:val="22"/>
        </w:rPr>
        <w:t>Corporate Duties</w:t>
      </w:r>
    </w:p>
    <w:p>
      <w:pPr>
        <w:pStyle w:val="TextBody"/>
        <w:widowControl w:val="false"/>
        <w:tabs>
          <w:tab w:val="clear" w:pos="720"/>
          <w:tab w:val="left" w:pos="-720" w:leader="none"/>
        </w:tabs>
        <w:suppressAutoHyphens w:val="true"/>
        <w:rPr>
          <w:rFonts w:cs="Arial"/>
          <w:color w:val="595959"/>
          <w:sz w:val="22"/>
          <w:szCs w:val="22"/>
        </w:rPr>
      </w:pPr>
      <w:r>
        <w:rPr>
          <w:rFonts w:cs="Arial"/>
          <w:color w:val="595959"/>
          <w:sz w:val="22"/>
          <w:szCs w:val="22"/>
        </w:rPr>
      </w:r>
    </w:p>
    <w:p>
      <w:pPr>
        <w:pStyle w:val="TextBody"/>
        <w:widowControl w:val="false"/>
        <w:tabs>
          <w:tab w:val="clear" w:pos="720"/>
          <w:tab w:val="left" w:pos="-720" w:leader="none"/>
        </w:tabs>
        <w:suppressAutoHyphens w:val="true"/>
        <w:rPr>
          <w:rFonts w:cs="Arial"/>
          <w:color w:val="595959"/>
          <w:sz w:val="22"/>
          <w:szCs w:val="22"/>
        </w:rPr>
      </w:pPr>
      <w:r>
        <w:rPr>
          <w:rFonts w:cs="Arial"/>
          <w:color w:val="595959"/>
          <w:sz w:val="22"/>
          <w:szCs w:val="22"/>
        </w:rPr>
        <w:t>Avoid any behaviour which discriminates against your fellow employees, or potential employees on the grounds of their sex, sexual orientation, marital status, race, religion, creed, colour, nationality, ethnic origin or disability.</w:t>
      </w:r>
    </w:p>
    <w:p>
      <w:pPr>
        <w:pStyle w:val="TextBody"/>
        <w:widowControl w:val="false"/>
        <w:tabs>
          <w:tab w:val="clear" w:pos="720"/>
          <w:tab w:val="left" w:pos="-720" w:leader="none"/>
        </w:tabs>
        <w:suppressAutoHyphens w:val="true"/>
        <w:rPr>
          <w:rFonts w:cs="Arial"/>
          <w:color w:val="595959"/>
          <w:sz w:val="22"/>
          <w:szCs w:val="22"/>
        </w:rPr>
      </w:pPr>
      <w:r>
        <w:rPr>
          <w:rFonts w:cs="Arial"/>
          <w:color w:val="595959"/>
          <w:sz w:val="22"/>
          <w:szCs w:val="22"/>
        </w:rPr>
      </w:r>
    </w:p>
    <w:p>
      <w:pPr>
        <w:pStyle w:val="Normal"/>
        <w:widowControl w:val="false"/>
        <w:tabs>
          <w:tab w:val="clear" w:pos="720"/>
          <w:tab w:val="left" w:pos="-720" w:leader="none"/>
        </w:tabs>
        <w:suppressAutoHyphens w:val="true"/>
        <w:jc w:val="both"/>
        <w:rPr>
          <w:rFonts w:ascii="Arial" w:hAnsi="Arial" w:cs="Arial"/>
          <w:color w:val="595959"/>
          <w:sz w:val="22"/>
          <w:szCs w:val="22"/>
        </w:rPr>
      </w:pPr>
      <w:r>
        <w:rPr>
          <w:rFonts w:cs="Arial" w:ascii="Arial" w:hAnsi="Arial"/>
          <w:color w:val="595959"/>
          <w:sz w:val="22"/>
          <w:szCs w:val="22"/>
        </w:rPr>
        <w:t>Safeguard at all times confidentiality of information relating to staff and pensioners.</w:t>
      </w:r>
    </w:p>
    <w:p>
      <w:pPr>
        <w:pStyle w:val="Normal"/>
        <w:widowControl w:val="false"/>
        <w:tabs>
          <w:tab w:val="clear" w:pos="720"/>
          <w:tab w:val="left" w:pos="-720" w:leader="none"/>
        </w:tabs>
        <w:suppressAutoHyphens w:val="true"/>
        <w:jc w:val="both"/>
        <w:rPr>
          <w:rFonts w:ascii="Arial" w:hAnsi="Arial" w:cs="Arial"/>
          <w:color w:val="595959"/>
          <w:sz w:val="22"/>
          <w:szCs w:val="22"/>
        </w:rPr>
      </w:pPr>
      <w:r>
        <w:rPr>
          <w:rFonts w:cs="Arial" w:ascii="Arial" w:hAnsi="Arial"/>
          <w:color w:val="595959"/>
          <w:sz w:val="22"/>
          <w:szCs w:val="22"/>
        </w:rPr>
        <w:t>Refrain from smoking in any areas of Service premises.</w:t>
      </w:r>
    </w:p>
    <w:p>
      <w:pPr>
        <w:pStyle w:val="Normal"/>
        <w:widowControl w:val="false"/>
        <w:tabs>
          <w:tab w:val="clear" w:pos="720"/>
          <w:tab w:val="left" w:pos="-720" w:leader="none"/>
        </w:tabs>
        <w:suppressAutoHyphens w:val="true"/>
        <w:jc w:val="both"/>
        <w:rPr>
          <w:rFonts w:ascii="Arial" w:hAnsi="Arial" w:cs="Arial"/>
          <w:color w:val="595959"/>
          <w:sz w:val="22"/>
          <w:szCs w:val="22"/>
        </w:rPr>
      </w:pPr>
      <w:r>
        <w:rPr>
          <w:rFonts w:cs="Arial" w:ascii="Arial" w:hAnsi="Arial"/>
          <w:color w:val="595959"/>
          <w:sz w:val="22"/>
          <w:szCs w:val="22"/>
        </w:rPr>
        <w:t>Behave in a manner that ensures the security of property and resources.</w:t>
      </w:r>
    </w:p>
    <w:p>
      <w:pPr>
        <w:pStyle w:val="Normal"/>
        <w:widowControl w:val="false"/>
        <w:tabs>
          <w:tab w:val="clear" w:pos="720"/>
          <w:tab w:val="left" w:pos="-720" w:leader="none"/>
        </w:tabs>
        <w:suppressAutoHyphens w:val="true"/>
        <w:jc w:val="both"/>
        <w:rPr>
          <w:rFonts w:ascii="Arial" w:hAnsi="Arial" w:cs="Arial"/>
          <w:color w:val="595959"/>
          <w:sz w:val="22"/>
          <w:szCs w:val="22"/>
        </w:rPr>
      </w:pPr>
      <w:r>
        <w:rPr>
          <w:rFonts w:cs="Arial" w:ascii="Arial" w:hAnsi="Arial"/>
          <w:color w:val="595959"/>
          <w:sz w:val="22"/>
          <w:szCs w:val="22"/>
        </w:rPr>
        <w:t>Abide by all relevant Service Policies and Procedures.</w:t>
      </w:r>
    </w:p>
    <w:p>
      <w:pPr>
        <w:pStyle w:val="ListParagraph"/>
        <w:ind w:left="0" w:right="0" w:hanging="0"/>
        <w:jc w:val="both"/>
        <w:rPr>
          <w:color w:val="595959"/>
        </w:rPr>
      </w:pPr>
      <w:r>
        <w:rPr>
          <w:color w:val="595959"/>
        </w:rPr>
      </w:r>
    </w:p>
    <w:p>
      <w:pPr>
        <w:pStyle w:val="Normal"/>
        <w:tabs>
          <w:tab w:val="clear" w:pos="720"/>
          <w:tab w:val="left" w:pos="1134" w:leader="none"/>
        </w:tabs>
        <w:spacing w:before="0" w:after="0"/>
        <w:contextualSpacing/>
        <w:jc w:val="both"/>
        <w:rPr/>
      </w:pPr>
      <w:r>
        <w:rPr>
          <w:rFonts w:cs="Arial" w:ascii="Arial" w:hAnsi="Arial"/>
          <w:b/>
          <w:color w:val="595959"/>
          <w:sz w:val="22"/>
          <w:szCs w:val="22"/>
        </w:rPr>
        <w:t xml:space="preserve">Records Management/ Data Protection - </w:t>
      </w:r>
      <w:r>
        <w:rPr>
          <w:rFonts w:cs="Arial" w:ascii="Arial" w:hAnsi="Arial"/>
          <w:color w:val="595959"/>
          <w:sz w:val="22"/>
          <w:szCs w:val="22"/>
        </w:rPr>
        <w:t>As an employee of the GMCA, you have a legal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w:t>
      </w:r>
    </w:p>
    <w:p>
      <w:pPr>
        <w:pStyle w:val="BodyTextIndent3"/>
        <w:tabs>
          <w:tab w:val="clear" w:pos="720"/>
          <w:tab w:val="left" w:pos="1134" w:leader="none"/>
        </w:tabs>
        <w:spacing w:before="0" w:after="0"/>
        <w:ind w:left="0" w:right="0" w:hanging="0"/>
        <w:contextualSpacing/>
        <w:jc w:val="both"/>
        <w:rPr>
          <w:rFonts w:ascii="Arial" w:hAnsi="Arial" w:cs="Arial"/>
          <w:color w:val="595959"/>
          <w:sz w:val="22"/>
          <w:szCs w:val="22"/>
        </w:rPr>
      </w:pPr>
      <w:r>
        <w:rPr>
          <w:rFonts w:cs="Arial" w:ascii="Arial" w:hAnsi="Arial"/>
          <w:color w:val="595959"/>
          <w:sz w:val="22"/>
          <w:szCs w:val="22"/>
        </w:rPr>
      </w:r>
    </w:p>
    <w:p>
      <w:pPr>
        <w:pStyle w:val="Normal"/>
        <w:tabs>
          <w:tab w:val="clear" w:pos="720"/>
          <w:tab w:val="left" w:pos="1134" w:leader="none"/>
        </w:tabs>
        <w:spacing w:before="0" w:after="0"/>
        <w:contextualSpacing/>
        <w:jc w:val="both"/>
        <w:rPr/>
      </w:pPr>
      <w:r>
        <w:rPr>
          <w:rFonts w:cs="Arial" w:ascii="Arial" w:hAnsi="Arial"/>
          <w:b/>
          <w:color w:val="595959"/>
          <w:sz w:val="22"/>
          <w:szCs w:val="22"/>
        </w:rPr>
        <w:t xml:space="preserve">Confidentiality and Information Security - </w:t>
      </w:r>
      <w:r>
        <w:rPr>
          <w:rFonts w:cs="Arial" w:ascii="Arial" w:hAnsi="Arial"/>
          <w:color w:val="595959"/>
          <w:sz w:val="22"/>
          <w:szCs w:val="22"/>
        </w:rPr>
        <w:t>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w:t>
      </w:r>
    </w:p>
    <w:p>
      <w:pPr>
        <w:pStyle w:val="Normal"/>
        <w:spacing w:before="0" w:after="0"/>
        <w:contextualSpacing/>
        <w:jc w:val="both"/>
        <w:rPr>
          <w:rFonts w:ascii="Arial" w:hAnsi="Arial" w:eastAsia="Arial" w:cs="Arial"/>
          <w:color w:val="595959"/>
          <w:sz w:val="22"/>
          <w:szCs w:val="22"/>
        </w:rPr>
      </w:pPr>
      <w:r>
        <w:rPr>
          <w:rFonts w:eastAsia="Arial" w:cs="Arial" w:ascii="Arial" w:hAnsi="Arial"/>
          <w:color w:val="595959"/>
          <w:sz w:val="22"/>
          <w:szCs w:val="22"/>
        </w:rPr>
        <w:t xml:space="preserve"> </w:t>
      </w:r>
    </w:p>
    <w:p>
      <w:pPr>
        <w:pStyle w:val="Normal"/>
        <w:spacing w:before="0" w:after="0"/>
        <w:contextualSpacing/>
        <w:jc w:val="both"/>
        <w:rPr/>
      </w:pPr>
      <w:r>
        <w:rPr>
          <w:rFonts w:cs="Arial" w:ascii="Arial" w:hAnsi="Arial"/>
          <w:b/>
          <w:color w:val="595959"/>
          <w:sz w:val="22"/>
          <w:szCs w:val="22"/>
        </w:rPr>
        <w:t xml:space="preserve">Data Quality - </w:t>
      </w:r>
      <w:r>
        <w:rPr>
          <w:rFonts w:cs="Arial" w:ascii="Arial" w:hAnsi="Arial"/>
          <w:color w:val="595959"/>
          <w:sz w:val="22"/>
          <w:szCs w:val="22"/>
        </w:rPr>
        <w:t>All staff are personally responsible</w:t>
      </w:r>
      <w:r>
        <w:rPr>
          <w:rFonts w:cs="Arial" w:ascii="Arial" w:hAnsi="Arial"/>
          <w:b/>
          <w:bCs/>
          <w:color w:val="595959"/>
          <w:sz w:val="22"/>
          <w:szCs w:val="22"/>
        </w:rPr>
        <w:t xml:space="preserve"> </w:t>
      </w:r>
      <w:r>
        <w:rPr>
          <w:rFonts w:cs="Arial" w:ascii="Arial" w:hAnsi="Arial"/>
          <w:color w:val="595959"/>
          <w:sz w:val="22"/>
          <w:szCs w:val="22"/>
        </w:rPr>
        <w:t>for the quality of data entered by themselves, or on their behalf, on GMCAs computerised systems or manual records (paper records) and must ensure that such data is entered accurately and, in a timely manner, to ensure high standards of data quality in accordance with Departmental protocols.</w:t>
      </w:r>
    </w:p>
    <w:p>
      <w:pPr>
        <w:pStyle w:val="Normal"/>
        <w:jc w:val="both"/>
        <w:rPr>
          <w:rFonts w:ascii="Arial" w:hAnsi="Arial" w:cs="Arial"/>
          <w:color w:val="595959"/>
          <w:sz w:val="22"/>
          <w:szCs w:val="22"/>
        </w:rPr>
      </w:pPr>
      <w:r>
        <w:rPr>
          <w:rFonts w:cs="Arial" w:ascii="Arial" w:hAnsi="Arial"/>
          <w:color w:val="595959"/>
          <w:sz w:val="22"/>
          <w:szCs w:val="22"/>
        </w:rPr>
        <w:t>  </w:t>
      </w:r>
    </w:p>
    <w:p>
      <w:pPr>
        <w:pStyle w:val="Normal"/>
        <w:jc w:val="both"/>
        <w:rPr>
          <w:rFonts w:ascii="Arial" w:hAnsi="Arial" w:cs="Arial"/>
          <w:color w:val="595959"/>
          <w:sz w:val="22"/>
          <w:szCs w:val="22"/>
        </w:rPr>
      </w:pPr>
      <w:r>
        <w:rPr>
          <w:rFonts w:cs="Arial" w:ascii="Arial" w:hAnsi="Arial"/>
          <w:color w:val="595959"/>
          <w:sz w:val="22"/>
          <w:szCs w:val="22"/>
        </w:rPr>
        <w:t xml:space="preserve">To ensure data is handled in a secure manner protecting the confidentiality of any personal data held in meeting the requirements of the Data Protection Act. </w:t>
      </w:r>
    </w:p>
    <w:p>
      <w:pPr>
        <w:pStyle w:val="Normal"/>
        <w:tabs>
          <w:tab w:val="clear" w:pos="720"/>
          <w:tab w:val="left" w:pos="1134" w:leader="none"/>
        </w:tabs>
        <w:spacing w:before="0" w:after="0"/>
        <w:contextualSpacing/>
        <w:jc w:val="both"/>
        <w:rPr>
          <w:rFonts w:ascii="Arial" w:hAnsi="Arial" w:cs="Arial"/>
          <w:color w:val="595959"/>
          <w:sz w:val="22"/>
          <w:szCs w:val="22"/>
        </w:rPr>
      </w:pPr>
      <w:r>
        <w:rPr>
          <w:rFonts w:cs="Arial" w:ascii="Arial" w:hAnsi="Arial"/>
          <w:color w:val="595959"/>
          <w:sz w:val="22"/>
          <w:szCs w:val="22"/>
        </w:rPr>
      </w:r>
    </w:p>
    <w:p>
      <w:pPr>
        <w:pStyle w:val="Normal"/>
        <w:tabs>
          <w:tab w:val="clear" w:pos="720"/>
          <w:tab w:val="left" w:pos="1134" w:leader="none"/>
        </w:tabs>
        <w:spacing w:before="0" w:after="0"/>
        <w:contextualSpacing/>
        <w:jc w:val="both"/>
        <w:rPr/>
      </w:pPr>
      <w:r>
        <w:rPr>
          <w:rFonts w:cs="Arial" w:ascii="Arial" w:hAnsi="Arial"/>
          <w:b/>
          <w:color w:val="595959"/>
          <w:sz w:val="22"/>
          <w:szCs w:val="22"/>
        </w:rPr>
        <w:t xml:space="preserve">Health and Safety - </w:t>
      </w:r>
      <w:r>
        <w:rPr>
          <w:rFonts w:cs="Arial" w:ascii="Arial" w:hAnsi="Arial"/>
          <w:color w:val="595959"/>
          <w:sz w:val="22"/>
          <w:szCs w:val="22"/>
        </w:rPr>
        <w:t>All employees of GMCA have a statutory duty of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w:t>
      </w:r>
    </w:p>
    <w:p>
      <w:pPr>
        <w:pStyle w:val="Normal"/>
        <w:tabs>
          <w:tab w:val="clear" w:pos="720"/>
          <w:tab w:val="left" w:pos="1134" w:leader="none"/>
        </w:tabs>
        <w:spacing w:before="0" w:after="0"/>
        <w:contextualSpacing/>
        <w:jc w:val="both"/>
        <w:rPr>
          <w:rFonts w:ascii="Arial" w:hAnsi="Arial" w:cs="Arial"/>
          <w:color w:val="595959"/>
          <w:sz w:val="22"/>
          <w:szCs w:val="22"/>
        </w:rPr>
      </w:pPr>
      <w:r>
        <w:rPr>
          <w:rFonts w:cs="Arial" w:ascii="Arial" w:hAnsi="Arial"/>
          <w:color w:val="595959"/>
          <w:sz w:val="22"/>
          <w:szCs w:val="22"/>
        </w:rPr>
      </w:r>
    </w:p>
    <w:p>
      <w:pPr>
        <w:pStyle w:val="Normal"/>
        <w:tabs>
          <w:tab w:val="clear" w:pos="720"/>
          <w:tab w:val="left" w:pos="1134" w:leader="none"/>
        </w:tabs>
        <w:spacing w:before="0" w:after="0"/>
        <w:contextualSpacing/>
        <w:jc w:val="both"/>
        <w:rPr/>
      </w:pPr>
      <w:r>
        <w:rPr>
          <w:rFonts w:cs="Arial" w:ascii="Arial" w:hAnsi="Arial"/>
          <w:b/>
          <w:color w:val="595959"/>
          <w:sz w:val="22"/>
          <w:szCs w:val="22"/>
        </w:rPr>
        <w:t xml:space="preserve">Service Policies - </w:t>
      </w:r>
      <w:r>
        <w:rPr>
          <w:rFonts w:cs="Arial" w:ascii="Arial" w:hAnsi="Arial"/>
          <w:color w:val="595959"/>
          <w:sz w:val="22"/>
          <w:szCs w:val="22"/>
        </w:rPr>
        <w:t>All GMCA employees must observe and adhere to the provisions outlined in these policies.</w:t>
      </w:r>
    </w:p>
    <w:p>
      <w:pPr>
        <w:pStyle w:val="Normal"/>
        <w:spacing w:before="0" w:after="0"/>
        <w:contextualSpacing/>
        <w:jc w:val="both"/>
        <w:rPr>
          <w:rFonts w:ascii="Arial" w:hAnsi="Arial" w:cs="Arial"/>
          <w:color w:val="595959"/>
          <w:sz w:val="22"/>
          <w:szCs w:val="22"/>
        </w:rPr>
      </w:pPr>
      <w:r>
        <w:rPr>
          <w:rFonts w:cs="Arial" w:ascii="Arial" w:hAnsi="Arial"/>
          <w:color w:val="595959"/>
          <w:sz w:val="22"/>
          <w:szCs w:val="22"/>
        </w:rPr>
      </w:r>
    </w:p>
    <w:p>
      <w:pPr>
        <w:pStyle w:val="Body"/>
        <w:ind w:left="0" w:right="261" w:hanging="0"/>
        <w:rPr/>
      </w:pPr>
      <w:r>
        <w:rPr>
          <w:b/>
          <w:color w:val="595959"/>
        </w:rPr>
        <w:t xml:space="preserve">Equal Opportunities - </w:t>
      </w:r>
      <w:r>
        <w:rPr>
          <w:color w:val="595959"/>
        </w:rPr>
        <w:t>GMCA provides a range of services and employment opportunities for a diverse population. As a GMCA employee you are expected to treat all employees / partners / members of the public and work colleagues with dignity and respect irrespective of their background</w:t>
      </w:r>
    </w:p>
    <w:sectPr>
      <w:headerReference w:type="default" r:id="rId3"/>
      <w:headerReference w:type="first" r:id="rId4"/>
      <w:footerReference w:type="default" r:id="rId5"/>
      <w:footerReference w:type="first" r:id="rId6"/>
      <w:type w:val="nextPage"/>
      <w:pgSz w:w="11906" w:h="16838"/>
      <w:pgMar w:left="1440" w:right="1440" w:header="426" w:top="993" w:footer="144" w:bottom="851"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5</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458" w:hanging="360"/>
      </w:pPr>
      <w:rPr>
        <w:rFonts w:ascii="Symbol" w:hAnsi="Symbol" w:cs="Symbol" w:hint="default"/>
        <w:rFonts w:cs="Symbol"/>
      </w:rPr>
    </w:lvl>
    <w:lvl w:ilvl="1">
      <w:start w:val="1"/>
      <w:numFmt w:val="bullet"/>
      <w:lvlText w:val="o"/>
      <w:lvlJc w:val="left"/>
      <w:pPr>
        <w:ind w:left="1178" w:hanging="360"/>
      </w:pPr>
      <w:rPr>
        <w:rFonts w:ascii="Courier New" w:hAnsi="Courier New" w:cs="Courier New" w:hint="default"/>
        <w:rFonts w:cs="Courier New"/>
      </w:rPr>
    </w:lvl>
    <w:lvl w:ilvl="2">
      <w:start w:val="1"/>
      <w:numFmt w:val="bullet"/>
      <w:lvlText w:val=""/>
      <w:lvlJc w:val="left"/>
      <w:pPr>
        <w:ind w:left="1898" w:hanging="360"/>
      </w:pPr>
      <w:rPr>
        <w:rFonts w:ascii="Wingdings" w:hAnsi="Wingdings" w:cs="Wingdings" w:hint="default"/>
        <w:rFonts w:cs="Wingdings"/>
      </w:rPr>
    </w:lvl>
    <w:lvl w:ilvl="3">
      <w:start w:val="1"/>
      <w:numFmt w:val="bullet"/>
      <w:lvlText w:val=""/>
      <w:lvlJc w:val="left"/>
      <w:pPr>
        <w:ind w:left="2618" w:hanging="360"/>
      </w:pPr>
      <w:rPr>
        <w:rFonts w:ascii="Symbol" w:hAnsi="Symbol" w:cs="Symbol" w:hint="default"/>
        <w:rFonts w:cs="Symbol"/>
      </w:rPr>
    </w:lvl>
    <w:lvl w:ilvl="4">
      <w:start w:val="1"/>
      <w:numFmt w:val="bullet"/>
      <w:lvlText w:val="o"/>
      <w:lvlJc w:val="left"/>
      <w:pPr>
        <w:ind w:left="3338" w:hanging="360"/>
      </w:pPr>
      <w:rPr>
        <w:rFonts w:ascii="Courier New" w:hAnsi="Courier New" w:cs="Courier New" w:hint="default"/>
        <w:rFonts w:cs="Courier New"/>
      </w:rPr>
    </w:lvl>
    <w:lvl w:ilvl="5">
      <w:start w:val="1"/>
      <w:numFmt w:val="bullet"/>
      <w:lvlText w:val=""/>
      <w:lvlJc w:val="left"/>
      <w:pPr>
        <w:ind w:left="4058" w:hanging="360"/>
      </w:pPr>
      <w:rPr>
        <w:rFonts w:ascii="Wingdings" w:hAnsi="Wingdings" w:cs="Wingdings" w:hint="default"/>
        <w:rFonts w:cs="Wingdings"/>
      </w:rPr>
    </w:lvl>
    <w:lvl w:ilvl="6">
      <w:start w:val="1"/>
      <w:numFmt w:val="bullet"/>
      <w:lvlText w:val=""/>
      <w:lvlJc w:val="left"/>
      <w:pPr>
        <w:ind w:left="4778" w:hanging="360"/>
      </w:pPr>
      <w:rPr>
        <w:rFonts w:ascii="Symbol" w:hAnsi="Symbol" w:cs="Symbol" w:hint="default"/>
        <w:rFonts w:cs="Symbol"/>
      </w:rPr>
    </w:lvl>
    <w:lvl w:ilvl="7">
      <w:start w:val="1"/>
      <w:numFmt w:val="bullet"/>
      <w:lvlText w:val="o"/>
      <w:lvlJc w:val="left"/>
      <w:pPr>
        <w:ind w:left="5498" w:hanging="360"/>
      </w:pPr>
      <w:rPr>
        <w:rFonts w:ascii="Courier New" w:hAnsi="Courier New" w:cs="Courier New" w:hint="default"/>
        <w:rFonts w:cs="Courier New"/>
      </w:rPr>
    </w:lvl>
    <w:lvl w:ilvl="8">
      <w:start w:val="1"/>
      <w:numFmt w:val="bullet"/>
      <w:lvlText w:val=""/>
      <w:lvlJc w:val="left"/>
      <w:pPr>
        <w:ind w:left="6218" w:hanging="360"/>
      </w:pPr>
      <w:rPr>
        <w:rFonts w:ascii="Wingdings" w:hAnsi="Wingdings" w:cs="Wingdings" w:hint="default"/>
        <w:rFonts w:cs="Wingdings"/>
      </w:rPr>
    </w:lvl>
  </w:abstractNum>
  <w:abstractNum w:abstractNumId="3">
    <w:lvl w:ilvl="0">
      <w:start w:val="1"/>
      <w:numFmt w:val="decimal"/>
      <w:lvlText w:val="%1."/>
      <w:lvlJc w:val="left"/>
      <w:pPr>
        <w:tabs>
          <w:tab w:val="num" w:pos="1069"/>
        </w:tabs>
        <w:ind w:left="1069" w:hanging="360"/>
      </w:pPr>
      <w:rPr>
        <w:sz w:val="22"/>
        <w:rFonts w:ascii="Arial" w:hAnsi="Arial" w:cs="Arial"/>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bullet"/>
      <w:lvlText w:val=""/>
      <w:lvlJc w:val="left"/>
      <w:pPr>
        <w:ind w:left="720" w:hanging="360"/>
      </w:pPr>
      <w:rPr>
        <w:rFonts w:ascii="Symbol" w:hAnsi="Symbol" w:cs="Symbol" w:hint="default"/>
        <w:sz w:val="22"/>
        <w:szCs w:val="22"/>
        <w:rFonts w:cs="Symbol"/>
        <w:color w:val="auto"/>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color w:val="auto"/>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color w:val="auto"/>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pBdr/>
      <w:suppressAutoHyphens w:val="true"/>
      <w:bidi w:val="0"/>
      <w:spacing w:lineRule="auto" w:line="240" w:before="0" w:after="0"/>
      <w:jc w:val="left"/>
    </w:pPr>
    <w:rPr>
      <w:rFonts w:ascii="Times New Roman" w:hAnsi="Times New Roman" w:eastAsia="Arial Unicode MS" w:cs="Times New Roman"/>
      <w:color w:val="auto"/>
      <w:kern w:val="0"/>
      <w:sz w:val="24"/>
      <w:szCs w:val="24"/>
      <w:lang w:val="en-US" w:eastAsia="en-US"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eastAsia="" w:cs=""/>
      <w:b/>
      <w:bCs/>
      <w:color w:val="365F91"/>
      <w:sz w:val="28"/>
      <w:szCs w:val="28"/>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eastAsia="" w:cs=""/>
      <w:b/>
      <w:bCs/>
      <w:color w:val="4F81BD"/>
      <w:sz w:val="26"/>
      <w:szCs w:val="26"/>
    </w:rPr>
  </w:style>
  <w:style w:type="paragraph" w:styleId="Heading3">
    <w:name w:val="Heading 3"/>
    <w:next w:val="Body"/>
    <w:qFormat/>
    <w:pPr>
      <w:keepNext w:val="true"/>
      <w:widowControl/>
      <w:numPr>
        <w:ilvl w:val="2"/>
        <w:numId w:val="1"/>
      </w:numPr>
      <w:pBdr/>
      <w:suppressAutoHyphens w:val="true"/>
      <w:bidi w:val="0"/>
      <w:spacing w:lineRule="auto" w:line="240" w:before="0" w:after="0"/>
      <w:jc w:val="left"/>
      <w:outlineLvl w:val="2"/>
    </w:pPr>
    <w:rPr>
      <w:rFonts w:ascii="Arial" w:hAnsi="Arial" w:eastAsia="Arial" w:cs="Arial"/>
      <w:b/>
      <w:bCs/>
      <w:color w:val="FFFFFF"/>
      <w:kern w:val="0"/>
      <w:sz w:val="24"/>
      <w:szCs w:val="24"/>
      <w:u w:val="none" w:color="FFFFFF"/>
      <w:lang w:val="en-US"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sz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eastAsia="Arial Unicode MS" w:cs="Symbol"/>
      <w:color w:val="auto"/>
      <w:sz w:val="22"/>
      <w:szCs w:val="22"/>
      <w:lang w:val="en-G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3Char">
    <w:name w:val="Heading 3 Char"/>
    <w:basedOn w:val="DefaultParagraphFont"/>
    <w:qFormat/>
    <w:rPr>
      <w:rFonts w:ascii="Arial" w:hAnsi="Arial" w:eastAsia="Arial" w:cs="Arial"/>
      <w:b/>
      <w:bCs/>
      <w:color w:val="FFFFFF"/>
      <w:sz w:val="24"/>
      <w:szCs w:val="24"/>
      <w:u w:val="none" w:color="FFFFFF"/>
      <w:lang w:val="en-US"/>
    </w:rPr>
  </w:style>
  <w:style w:type="character" w:styleId="HeaderChar">
    <w:name w:val="Header Char"/>
    <w:basedOn w:val="DefaultParagraphFont"/>
    <w:qFormat/>
    <w:rPr>
      <w:rFonts w:ascii="Arial" w:hAnsi="Arial" w:eastAsia="Arial" w:cs="Arial"/>
      <w:color w:val="000000"/>
      <w:u w:val="none" w:color="000000"/>
      <w:lang w:val="en-US"/>
    </w:rPr>
  </w:style>
  <w:style w:type="character" w:styleId="FooterChar">
    <w:name w:val="Footer Char"/>
    <w:basedOn w:val="DefaultParagraphFont"/>
    <w:qFormat/>
    <w:rPr>
      <w:rFonts w:ascii="Arial" w:hAnsi="Arial" w:eastAsia="Arial" w:cs="Arial"/>
      <w:color w:val="000000"/>
      <w:u w:val="none" w:color="000000"/>
      <w:lang w:val="en-US"/>
    </w:rPr>
  </w:style>
  <w:style w:type="character" w:styleId="Heading1Char">
    <w:name w:val="Heading 1 Char"/>
    <w:basedOn w:val="DefaultParagraphFont"/>
    <w:qFormat/>
    <w:rPr>
      <w:rFonts w:ascii="Cambria" w:hAnsi="Cambria" w:eastAsia="" w:cs=""/>
      <w:b/>
      <w:bCs/>
      <w:color w:val="365F91"/>
      <w:sz w:val="28"/>
      <w:szCs w:val="28"/>
      <w:lang w:val="en-US"/>
    </w:rPr>
  </w:style>
  <w:style w:type="character" w:styleId="Heading2Char">
    <w:name w:val="Heading 2 Char"/>
    <w:basedOn w:val="DefaultParagraphFont"/>
    <w:qFormat/>
    <w:rPr>
      <w:rFonts w:ascii="Cambria" w:hAnsi="Cambria" w:eastAsia="" w:cs=""/>
      <w:b/>
      <w:bCs/>
      <w:color w:val="4F81BD"/>
      <w:sz w:val="26"/>
      <w:szCs w:val="26"/>
      <w:lang w:val="en-US"/>
    </w:rPr>
  </w:style>
  <w:style w:type="character" w:styleId="BalloonTextChar">
    <w:name w:val="Balloon Text Char"/>
    <w:basedOn w:val="DefaultParagraphFont"/>
    <w:qFormat/>
    <w:rPr>
      <w:rFonts w:ascii="Tahoma" w:hAnsi="Tahoma" w:eastAsia="Arial Unicode MS" w:cs="Tahoma"/>
      <w:sz w:val="16"/>
      <w:szCs w:val="16"/>
      <w:lang w:val="en-US"/>
    </w:rPr>
  </w:style>
  <w:style w:type="character" w:styleId="PlainTextChar">
    <w:name w:val="Plain Text Char"/>
    <w:basedOn w:val="DefaultParagraphFont"/>
    <w:qFormat/>
    <w:rPr>
      <w:rFonts w:ascii="Courier New" w:hAnsi="Courier New" w:eastAsia="Times New Roman" w:cs="Times New Roman"/>
      <w:sz w:val="20"/>
      <w:szCs w:val="20"/>
    </w:rPr>
  </w:style>
  <w:style w:type="character" w:styleId="BodyTextChar">
    <w:name w:val="Body Text Char"/>
    <w:basedOn w:val="DefaultParagraphFont"/>
    <w:qFormat/>
    <w:rPr>
      <w:rFonts w:ascii="Arial" w:hAnsi="Arial" w:eastAsia="Times New Roman" w:cs="Times New Roman"/>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Arial Unicode MS" w:cs="Times New Roman"/>
      <w:sz w:val="20"/>
      <w:szCs w:val="20"/>
      <w:lang w:val="en-US"/>
    </w:rPr>
  </w:style>
  <w:style w:type="character" w:styleId="CommentSubjectChar">
    <w:name w:val="Comment Subject Char"/>
    <w:basedOn w:val="CommentTextChar"/>
    <w:qFormat/>
    <w:rPr>
      <w:rFonts w:ascii="Times New Roman" w:hAnsi="Times New Roman" w:eastAsia="Arial Unicode MS" w:cs="Times New Roman"/>
      <w:b/>
      <w:bCs/>
      <w:sz w:val="20"/>
      <w:szCs w:val="20"/>
      <w:lang w:val="en-US"/>
    </w:rPr>
  </w:style>
  <w:style w:type="character" w:styleId="BodyTextIndent3Char">
    <w:name w:val="Body Text Indent 3 Char"/>
    <w:basedOn w:val="DefaultParagraphFont"/>
    <w:qFormat/>
    <w:rPr>
      <w:rFonts w:ascii="Times New Roman" w:hAnsi="Times New Roman" w:eastAsia="Arial Unicode MS" w:cs="Times New Roman"/>
      <w:sz w:val="16"/>
      <w:szCs w:val="16"/>
      <w:lang w:val="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pBdr/>
      <w:snapToGrid w:val="false"/>
    </w:pPr>
    <w:rPr>
      <w:rFonts w:ascii="Arial" w:hAnsi="Arial" w:eastAsia="Times New Roman" w:cs="Arial"/>
      <w:szCs w:val="20"/>
      <w:lang w:val="en-G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pPr>
      <w:widowControl/>
      <w:pBdr/>
      <w:tabs>
        <w:tab w:val="clear" w:pos="720"/>
        <w:tab w:val="center" w:pos="4153" w:leader="none"/>
        <w:tab w:val="right" w:pos="8306" w:leader="none"/>
      </w:tabs>
      <w:suppressAutoHyphens w:val="true"/>
      <w:bidi w:val="0"/>
      <w:spacing w:lineRule="auto" w:line="240" w:before="0" w:after="0"/>
      <w:jc w:val="left"/>
    </w:pPr>
    <w:rPr>
      <w:rFonts w:ascii="Arial" w:hAnsi="Arial" w:eastAsia="Arial" w:cs="Arial"/>
      <w:color w:val="000000"/>
      <w:kern w:val="0"/>
      <w:sz w:val="24"/>
      <w:szCs w:val="22"/>
      <w:u w:val="none" w:color="000000"/>
      <w:lang w:val="en-US" w:eastAsia="en-US" w:bidi="ar-SA"/>
    </w:rPr>
  </w:style>
  <w:style w:type="paragraph" w:styleId="Footer">
    <w:name w:val="Footer"/>
    <w:pPr>
      <w:widowControl/>
      <w:pBdr/>
      <w:tabs>
        <w:tab w:val="clear" w:pos="720"/>
        <w:tab w:val="center" w:pos="4153" w:leader="none"/>
        <w:tab w:val="right" w:pos="8306" w:leader="none"/>
      </w:tabs>
      <w:suppressAutoHyphens w:val="true"/>
      <w:bidi w:val="0"/>
      <w:spacing w:lineRule="auto" w:line="240" w:before="0" w:after="0"/>
      <w:jc w:val="left"/>
    </w:pPr>
    <w:rPr>
      <w:rFonts w:ascii="Arial" w:hAnsi="Arial" w:eastAsia="Arial" w:cs="Arial"/>
      <w:color w:val="000000"/>
      <w:kern w:val="0"/>
      <w:sz w:val="24"/>
      <w:szCs w:val="22"/>
      <w:u w:val="none" w:color="000000"/>
      <w:lang w:val="en-US" w:eastAsia="en-US" w:bidi="ar-SA"/>
    </w:rPr>
  </w:style>
  <w:style w:type="paragraph" w:styleId="Body">
    <w:name w:val="Body"/>
    <w:qFormat/>
    <w:pPr>
      <w:widowControl/>
      <w:pBdr/>
      <w:suppressAutoHyphens w:val="true"/>
      <w:bidi w:val="0"/>
      <w:spacing w:lineRule="auto" w:line="240" w:before="0" w:after="0"/>
      <w:jc w:val="left"/>
    </w:pPr>
    <w:rPr>
      <w:rFonts w:ascii="Arial" w:hAnsi="Arial" w:eastAsia="Arial" w:cs="Arial"/>
      <w:color w:val="000000"/>
      <w:kern w:val="0"/>
      <w:sz w:val="24"/>
      <w:szCs w:val="22"/>
      <w:u w:val="none" w:color="000000"/>
      <w:lang w:val="en-GB" w:eastAsia="en-US" w:bidi="ar-SA"/>
    </w:rPr>
  </w:style>
  <w:style w:type="paragraph" w:styleId="ListParagraph">
    <w:name w:val="List Paragraph"/>
    <w:qFormat/>
    <w:pPr>
      <w:widowControl/>
      <w:pBdr/>
      <w:suppressAutoHyphens w:val="true"/>
      <w:bidi w:val="0"/>
      <w:spacing w:lineRule="auto" w:line="240" w:before="0" w:after="0"/>
      <w:ind w:left="720" w:right="0" w:hanging="0"/>
      <w:jc w:val="left"/>
    </w:pPr>
    <w:rPr>
      <w:rFonts w:ascii="Arial" w:hAnsi="Arial" w:eastAsia="Arial" w:cs="Arial"/>
      <w:color w:val="000000"/>
      <w:kern w:val="0"/>
      <w:sz w:val="24"/>
      <w:szCs w:val="22"/>
      <w:u w:val="none" w:color="000000"/>
      <w:lang w:val="en-US" w:eastAsia="en-US" w:bidi="ar-SA"/>
    </w:rPr>
  </w:style>
  <w:style w:type="paragraph" w:styleId="BalloonText">
    <w:name w:val="Balloon Text"/>
    <w:basedOn w:val="Normal"/>
    <w:qFormat/>
    <w:pPr/>
    <w:rPr>
      <w:rFonts w:ascii="Tahoma" w:hAnsi="Tahoma" w:cs="Tahoma"/>
      <w:sz w:val="16"/>
      <w:szCs w:val="16"/>
    </w:rPr>
  </w:style>
  <w:style w:type="paragraph" w:styleId="Default">
    <w:name w:val="Default"/>
    <w:qFormat/>
    <w:pPr>
      <w:widowControl/>
      <w:suppressAutoHyphens w:val="true"/>
      <w:bidi w:val="0"/>
      <w:spacing w:lineRule="auto" w:line="240" w:before="0" w:after="0"/>
      <w:jc w:val="left"/>
    </w:pPr>
    <w:rPr>
      <w:rFonts w:ascii="Verdana" w:hAnsi="Verdana" w:eastAsia="Times New Roman" w:cs="Verdana"/>
      <w:color w:val="000000"/>
      <w:kern w:val="0"/>
      <w:sz w:val="24"/>
      <w:szCs w:val="24"/>
      <w:lang w:val="en-GB" w:eastAsia="en-GB" w:bidi="ar-SA"/>
    </w:rPr>
  </w:style>
  <w:style w:type="paragraph" w:styleId="PlainText">
    <w:name w:val="Plain Text"/>
    <w:basedOn w:val="Normal"/>
    <w:qFormat/>
    <w:pPr>
      <w:pBdr/>
    </w:pPr>
    <w:rPr>
      <w:rFonts w:ascii="Courier New" w:hAnsi="Courier New" w:eastAsia="Times New Roman" w:cs="Courier New"/>
      <w:sz w:val="20"/>
      <w:szCs w:val="20"/>
      <w:lang w:val="en-GB"/>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BodyTextIndent3">
    <w:name w:val="Body Text Indent 3"/>
    <w:basedOn w:val="Normal"/>
    <w:qFormat/>
    <w:pPr>
      <w:spacing w:before="0" w:after="120"/>
      <w:ind w:left="283" w:right="0" w:hanging="0"/>
    </w:pPr>
    <w:rPr>
      <w:sz w:val="16"/>
      <w:szCs w:val="16"/>
    </w:rPr>
  </w:style>
  <w:style w:type="paragraph" w:styleId="NoSpacing">
    <w:name w:val="No Spacing"/>
    <w:qFormat/>
    <w:pPr>
      <w:widowControl/>
      <w:pBdr/>
      <w:suppressAutoHyphens w:val="true"/>
      <w:bidi w:val="0"/>
      <w:spacing w:lineRule="auto" w:line="240" w:before="0" w:after="0"/>
      <w:jc w:val="left"/>
    </w:pPr>
    <w:rPr>
      <w:rFonts w:ascii="Times New Roman" w:hAnsi="Times New Roman" w:eastAsia="Arial Unicode MS" w:cs="Times New Roman"/>
      <w:color w:val="auto"/>
      <w:kern w:val="0"/>
      <w:sz w:val="24"/>
      <w:szCs w:val="24"/>
      <w:lang w:val="en-US" w:eastAsia="en-US" w:bidi="ar-SA"/>
    </w:rPr>
  </w:style>
  <w:style w:type="paragraph" w:styleId="Revision">
    <w:name w:val="Revision"/>
    <w:qFormat/>
    <w:pPr>
      <w:widowControl/>
      <w:suppressAutoHyphens w:val="true"/>
      <w:bidi w:val="0"/>
      <w:spacing w:lineRule="auto" w:line="240" w:before="0" w:after="0"/>
      <w:jc w:val="left"/>
    </w:pPr>
    <w:rPr>
      <w:rFonts w:ascii="Times New Roman" w:hAnsi="Times New Roman" w:eastAsia="Arial Unicode MS" w:cs="Times New Roman"/>
      <w:color w:val="auto"/>
      <w:kern w:val="0"/>
      <w:sz w:val="24"/>
      <w:szCs w:val="24"/>
      <w:lang w:val="en-US"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9</TotalTime>
  <Application>LibreOffice/6.3.4.2$Windows_X86_64 LibreOffice_project/60da17e045e08f1793c57c00ba83cdfce946d0aa</Application>
  <Company>Economic Solutions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2026-07-02T15:11:00Z</dcterms:created>
  <dc:creator>Caddy-Dale, Anna (Manchester Growth Company)</dc:creator>
  <dc:description/>
  <dc:language>en-US</dc:language>
  <cp:lastModifiedBy>Moran Lee</cp:lastModifiedBy>
  <cp:lastPrinted>1995-11-21T17:41:00Z</cp:lastPrinted>
  <dcterms:modified xsi:type="dcterms:W3CDTF">2026-07-07T08:41:00Z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Economic Solutions</vt:lpwstr>
  </property>
  <property fmtid="{D5CDD505-2E9C-101B-9397-08002B2CF9AE}" pid="4" name="ContentTypeId">
    <vt:lpwstr>0x010100F6E6D412EB0D8246B342A91F5378EFE9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