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Role profile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Job title</w:t>
      </w:r>
      <w:r>
        <w:rPr>
          <w:rFonts w:cs="Arial"/>
          <w:szCs w:val="24"/>
        </w:rPr>
        <w:t>: Service Improvement Project Lead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Grade:</w:t>
      </w:r>
      <w:r>
        <w:rPr>
          <w:rFonts w:cs="Arial"/>
          <w:szCs w:val="24"/>
        </w:rPr>
        <w:t xml:space="preserve"> Grade 10 (subject to JE)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Business area:</w:t>
      </w:r>
      <w:r>
        <w:rPr>
          <w:rFonts w:cs="Arial"/>
          <w:szCs w:val="24"/>
        </w:rPr>
        <w:t xml:space="preserve"> Corporate Strategy, Governance &amp; Performance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Reporting line:</w:t>
      </w:r>
      <w:r>
        <w:rPr>
          <w:rFonts w:cs="Arial"/>
          <w:szCs w:val="24"/>
        </w:rPr>
        <w:t xml:space="preserve"> PMO Manager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Team:</w:t>
      </w:r>
      <w:r>
        <w:rPr>
          <w:rFonts w:cs="Arial"/>
          <w:szCs w:val="24"/>
        </w:rPr>
        <w:t xml:space="preserve"> Service Excellence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Job Purpose</w:t>
      </w:r>
    </w:p>
    <w:p>
      <w:pPr>
        <w:pStyle w:val="ListParagraph"/>
        <w:numPr>
          <w:ilvl w:val="0"/>
          <w:numId w:val="5"/>
        </w:numPr>
        <w:spacing w:lineRule="auto" w:line="276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Lead and coordinate the delivery of a GMFRS Service Improvement function, driving structured, proactive and root cause-driven improvement activity across the organisation, and supporting a shift from reactive problem-solving to preventative, sustainable improvement.</w:t>
      </w:r>
    </w:p>
    <w:p>
      <w:pPr>
        <w:pStyle w:val="ListParagraph"/>
        <w:numPr>
          <w:ilvl w:val="0"/>
          <w:numId w:val="5"/>
        </w:numPr>
        <w:spacing w:lineRule="auto" w:line="276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To provide leadership and professional expertise across service improvement, business analysis, process redesign, governance, and benefits realisation, ensuring improvement activity is aligned to organisational priorities, inspection readiness, and continuous improvement ambitions.</w:t>
      </w:r>
    </w:p>
    <w:p>
      <w:pPr>
        <w:sectPr>
          <w:headerReference w:type="default" r:id="rId2"/>
          <w:footerReference w:type="default" r:id="rId3"/>
          <w:type w:val="nextPage"/>
          <w:pgSz w:w="11906" w:h="16850"/>
          <w:pgMar w:left="1276" w:right="1410" w:header="57" w:top="660" w:footer="0" w:bottom="1418" w:gutter="0"/>
          <w:pgNumType w:fmt="decimal"/>
          <w:formProt w:val="false"/>
          <w:textDirection w:val="lrTb"/>
          <w:docGrid w:type="default" w:linePitch="326" w:charSpace="0"/>
        </w:sectPr>
        <w:pStyle w:val="ListParagraph"/>
        <w:numPr>
          <w:ilvl w:val="0"/>
          <w:numId w:val="5"/>
        </w:numPr>
        <w:spacing w:lineRule="auto" w:line="276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To develop and support the coordination of a pipeline of cross-service improvement activity, working collaboratively with senior leaders, managers and key stakeholders to embed consistent methodologies, improve organisational performance and build lasting internal capability.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Key working relationships</w:t>
      </w:r>
    </w:p>
    <w:p>
      <w:pPr>
        <w:pStyle w:val="ListParagraph"/>
        <w:numPr>
          <w:ilvl w:val="0"/>
          <w:numId w:val="3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Head of Corporate Strategy, Governance &amp; Performance</w:t>
      </w:r>
    </w:p>
    <w:p>
      <w:pPr>
        <w:pStyle w:val="ListParagraph"/>
        <w:numPr>
          <w:ilvl w:val="0"/>
          <w:numId w:val="3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GMFRS Executive Board and Senior Leadership Team</w:t>
      </w:r>
    </w:p>
    <w:p>
      <w:pPr>
        <w:pStyle w:val="ListParagraph"/>
        <w:numPr>
          <w:ilvl w:val="0"/>
          <w:numId w:val="3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Directorate Leads and Departmental Managers</w:t>
      </w:r>
    </w:p>
    <w:p>
      <w:pPr>
        <w:pStyle w:val="ListParagraph"/>
        <w:numPr>
          <w:ilvl w:val="0"/>
          <w:numId w:val="3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Service Improvement Business Analyst and PMO colleagues</w:t>
      </w:r>
    </w:p>
    <w:p>
      <w:pPr>
        <w:pStyle w:val="ListParagraph"/>
        <w:numPr>
          <w:ilvl w:val="0"/>
          <w:numId w:val="3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Enabling teams – Finance, Digital, People, Procurement, Governance and Assurance</w:t>
      </w:r>
    </w:p>
    <w:p>
      <w:pPr>
        <w:pStyle w:val="ListParagraph"/>
        <w:numPr>
          <w:ilvl w:val="0"/>
          <w:numId w:val="3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GMCA teams and wider GMCA Group partners</w:t>
      </w:r>
    </w:p>
    <w:p>
      <w:pPr>
        <w:pStyle w:val="ListParagraph"/>
        <w:numPr>
          <w:ilvl w:val="0"/>
          <w:numId w:val="3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Other Fire and Rescue Services and wider sector networks relating to service improvement, transformation and innovation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Key Responsibilities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Lead and coordinate the delivery of a GMFRS Service Improvement function, ensuring improvement activity is aligned to GMFRS strategic priorities, governance arrangements, and organisational improvement needs.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Develop and manage a prioritised pipeline of service improvement work, ensuring activity is focused on the areas of greatest organisational impact, risk, and opportunity.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Provide leadership and direction on service improvement methodologies, including diagnostic reviews, process mapping, root cause analysis, redesign activity, benefits management, and implementation planning.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Lead complex cross-service improvement projects and reviews, particularly where issues span multiple teams, require senior stakeholder engagement or involve significant organisational risk or change.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Build and maintain strong and effective relationships with senior leaders, managers, and key partners to support engagement, challenge, collaboration, and delivery.</w:t>
      </w:r>
    </w:p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w="11906" w:h="16850"/>
          <w:pgMar w:left="720" w:right="720" w:header="624" w:top="720" w:footer="0" w:bottom="720" w:gutter="0"/>
          <w:pgNumType w:fmt="decimal"/>
          <w:formProt w:val="false"/>
          <w:titlePg/>
          <w:textDirection w:val="lrTb"/>
          <w:docGrid w:type="default" w:linePitch="326" w:charSpace="0"/>
        </w:sect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Provide professional advice, guidance, and constructive challenge to the organisation on service improvement, organisational design, implementation planning, and sustainable change.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Oversee the development of high-quality documentation, reports, options appraisals, recommendations and briefing materials to support decision-making and governance.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Ensure effective governance, assurance and reporting arrangements are in place for service improvement activity, including monitoring progress, risks, issues, dependencies, and benefits.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 xml:space="preserve">Support the effective use of the Service’s PPM system and associated tools to plan, manage, monitor, and report on improvement activity. 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 xml:space="preserve">Identify opportunities to reduce inefficiency, duplication, delay, and failure demand, helping the Service to redesign processes and embed more effective and reliable ways of working. 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 xml:space="preserve">Support organisational preparedness for HMICFRS and other forms of external scrutiny by strengthening the Service’s evidence base, consistency of approach and ability to demonstrate improvement. 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Drive a culture of continuous improvement, shared learning, innovation, and forward planning across GMFRS.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 xml:space="preserve">Prepare evidence-based reports outlining the achievement and resulting benefits of the Service Improvement function. 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 xml:space="preserve">Undertake line management and/or matrix management responsibilities as required, including supporting the development, performance, and capability of relevant staff. </w:t>
      </w:r>
    </w:p>
    <w:p>
      <w:pPr>
        <w:pStyle w:val="ListParagraph"/>
        <w:numPr>
          <w:ilvl w:val="0"/>
          <w:numId w:val="6"/>
        </w:numPr>
        <w:rPr/>
      </w:pPr>
      <w:r>
        <w:rPr>
          <w:rFonts w:eastAsia="Arial" w:cs="Arial"/>
          <w:color w:val="auto"/>
          <w:szCs w:val="24"/>
        </w:rPr>
        <w:t xml:space="preserve"> </w:t>
      </w:r>
      <w:r>
        <w:rPr>
          <w:rFonts w:cs="Arial"/>
          <w:color w:val="auto"/>
          <w:szCs w:val="24"/>
        </w:rPr>
        <w:t xml:space="preserve">Lead or contribute to reviews, lessons learnt and post-implementation activity to ensure improvements are embedded and learning is captured and shared. 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 xml:space="preserve">Undertake such additional duties as are reasonably commensurate with the level of the post. </w:t>
      </w:r>
    </w:p>
    <w:p>
      <w:pPr>
        <w:pStyle w:val="ListParagraph"/>
        <w:numPr>
          <w:ilvl w:val="0"/>
          <w:numId w:val="6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The post holder will carry out their duties with full regard to the organisation’s strategies and policies including Equal Opportunities and Health &amp; Safety and will demonstrate a commitment to GM Public Service principles.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General</w:t>
      </w:r>
    </w:p>
    <w:p>
      <w:pPr>
        <w:pStyle w:val="ListParagraph"/>
        <w:numPr>
          <w:ilvl w:val="0"/>
          <w:numId w:val="7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To always hold yourself and others to a high standard of professionalism, demonstrating your commitment to our values and behaviours as well as ensuring service confidentiality is maintained throughout all we do.</w:t>
      </w:r>
    </w:p>
    <w:p>
      <w:pPr>
        <w:pStyle w:val="ListParagraph"/>
        <w:numPr>
          <w:ilvl w:val="0"/>
          <w:numId w:val="7"/>
        </w:numPr>
        <w:rPr>
          <w:rFonts w:eastAsia="Arial" w:cs="Arial"/>
          <w:color w:val="auto"/>
          <w:szCs w:val="24"/>
        </w:rPr>
      </w:pPr>
      <w:r>
        <w:rPr>
          <w:rFonts w:eastAsia="Arial" w:cs="Arial"/>
          <w:color w:val="auto"/>
          <w:szCs w:val="24"/>
        </w:rPr>
        <w:t>Working with other teams internally and externally collaboration is maximised and supporting on activity where appropriate.</w:t>
      </w:r>
    </w:p>
    <w:p>
      <w:pPr>
        <w:pStyle w:val="ListParagraph"/>
        <w:numPr>
          <w:ilvl w:val="0"/>
          <w:numId w:val="7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Ensure the services delivered internally and externally are inclusive and accessible.</w:t>
      </w:r>
    </w:p>
    <w:p>
      <w:pPr>
        <w:pStyle w:val="ListParagraph"/>
        <w:numPr>
          <w:ilvl w:val="0"/>
          <w:numId w:val="7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 xml:space="preserve">To align work area to the Sustainability Strategy and ensure work practices are inclusive of this value &amp; strategic intent. </w:t>
      </w:r>
    </w:p>
    <w:p>
      <w:pPr>
        <w:pStyle w:val="Normal"/>
        <w:rPr>
          <w:rFonts w:cs="Arial"/>
          <w:b/>
          <w:b/>
          <w:color w:val="auto"/>
          <w:szCs w:val="24"/>
        </w:rPr>
      </w:pPr>
      <w:r>
        <w:rPr>
          <w:rFonts w:cs="Arial"/>
          <w:b/>
          <w:color w:val="auto"/>
          <w:szCs w:val="24"/>
        </w:rPr>
        <w:t>NB: This list of duties and responsibilities is by no means exhaustive, and the post holder may be required to undertake other relevant and appropriate duties as required.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Knowledge, Skills, and Experience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Educated to degree level in a relevant discipline, or equivalent substantial experience in service improvement, transformation, change, programme/project delivery, or a related field.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Professional qualification in project/programme management, business analysis, service improvement, or a related discipline (e.g. PRINCE2, MSP, APMG, Lean, Six Sigma) or demonstrable equivalent experience.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Substantial experience of leading and delivering complex improvement, transformation or change activity within a large and/or complex organisation.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Strong knowledge and practical application of service improvement methodologies, including process mapping, root cause analysis, redesign, implementation planning, and benefits realisation.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Experience of developing and leading structured improvement pipelines, governance arrangements, and reporting mechanisms.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Proven ability to work credibly with senior leaders and a broad range of stakeholders, influencing, challenging, and negotiating to achieve outcomes.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Experience of producing high-quality reports, recommendations, business cases, briefing papers and presentations for senior audiences.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Strong understanding of organisational governance, assurance, performance, and risk management, and how these support effective improvement delivery.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Experience of leading cross-functional or matrix-managed teams and coordinating resources to deliver outcomes in a complex environment.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Ability to analyse complex information, identify patterns and root causes, and translate findings into clear, practical, and achievable recommendations.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Excellent written and verbal communication skills, including the ability to communicate complex issues clearly to a range of audiences.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Strong organisational skills, including the ability to manage competing priorities, work at pace and maintain oversight of multiple improvement activities.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Experience of working in a public sector, partnership or similarly complex environment is desirable; experience within a blue light service is advantageous.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Proficient ICT skills and experience of using Microsoft 365 applications and systems used to plan, manage, and monitor work activity.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Willingness and ability to travel across sites when required and to work flexibly in support of organisational needs.</w:t>
      </w:r>
    </w:p>
    <w:p>
      <w:pPr>
        <w:pStyle w:val="ListParagraph"/>
        <w:numPr>
          <w:ilvl w:val="0"/>
          <w:numId w:val="4"/>
        </w:num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Any DBS or politically restricted post requirements should be confirmed through HR advice and the formal job evaluation / recruitment process, dependent on the final scope of the role.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Corporate Duties</w:t>
      </w:r>
    </w:p>
    <w:p>
      <w:pPr>
        <w:pStyle w:val="Normal"/>
        <w:rPr/>
      </w:pPr>
      <w:r>
        <w:rPr>
          <w:rFonts w:cs="Arial"/>
          <w:i/>
          <w:iCs/>
          <w:sz w:val="22"/>
        </w:rPr>
        <w:t>Do not behave in way which discriminates against your fellow employees, or potential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employees on the grounds of their sex, sexual orientation, marital status, race, religion,</w:t>
      </w:r>
      <w:r>
        <w:rPr>
          <w:rFonts w:cs="Arial"/>
          <w:i/>
          <w:iCs/>
          <w:spacing w:val="-59"/>
          <w:sz w:val="22"/>
        </w:rPr>
        <w:t xml:space="preserve"> </w:t>
      </w:r>
      <w:r>
        <w:rPr>
          <w:rFonts w:cs="Arial"/>
          <w:i/>
          <w:iCs/>
          <w:sz w:val="22"/>
        </w:rPr>
        <w:t>creed,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colour,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nationality,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ethnic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origin,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or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disability.</w:t>
      </w:r>
    </w:p>
    <w:p>
      <w:pPr>
        <w:pStyle w:val="Normal"/>
        <w:rPr/>
      </w:pPr>
      <w:r>
        <w:rPr>
          <w:rFonts w:cs="Arial"/>
          <w:i/>
          <w:iCs/>
          <w:sz w:val="22"/>
        </w:rPr>
        <w:t>Safeguard at all times confidentiality of information relating to staff and pensioners. Refrain</w:t>
      </w:r>
      <w:r>
        <w:rPr>
          <w:rFonts w:cs="Arial"/>
          <w:i/>
          <w:iCs/>
          <w:spacing w:val="-3"/>
          <w:sz w:val="22"/>
        </w:rPr>
        <w:t xml:space="preserve"> </w:t>
      </w:r>
      <w:r>
        <w:rPr>
          <w:rFonts w:cs="Arial"/>
          <w:i/>
          <w:iCs/>
          <w:sz w:val="22"/>
        </w:rPr>
        <w:t>from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smoking</w:t>
      </w:r>
      <w:r>
        <w:rPr>
          <w:rFonts w:cs="Arial"/>
          <w:i/>
          <w:iCs/>
          <w:spacing w:val="4"/>
          <w:sz w:val="22"/>
        </w:rPr>
        <w:t xml:space="preserve"> </w:t>
      </w:r>
      <w:r>
        <w:rPr>
          <w:rFonts w:cs="Arial"/>
          <w:i/>
          <w:iCs/>
          <w:sz w:val="22"/>
        </w:rPr>
        <w:t>in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any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areas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Service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premises.</w:t>
      </w:r>
    </w:p>
    <w:p>
      <w:pPr>
        <w:pStyle w:val="Normal"/>
        <w:rPr/>
      </w:pPr>
      <w:r>
        <w:rPr>
          <w:rFonts w:cs="Arial"/>
          <w:i/>
          <w:iCs/>
          <w:sz w:val="22"/>
        </w:rPr>
        <w:t>Behave in a manner that ensures the security of property and resources.</w:t>
      </w:r>
      <w:r>
        <w:rPr>
          <w:rFonts w:cs="Arial"/>
          <w:i/>
          <w:iCs/>
          <w:spacing w:val="-59"/>
          <w:sz w:val="22"/>
        </w:rPr>
        <w:t xml:space="preserve"> </w:t>
      </w:r>
      <w:r>
        <w:rPr>
          <w:rFonts w:cs="Arial"/>
          <w:i/>
          <w:iCs/>
          <w:sz w:val="22"/>
        </w:rPr>
        <w:t>Abide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by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all relevant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Service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Policies and Procedures.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2"/>
        </w:rPr>
        <w:t>Records Management / Data Protection</w:t>
      </w:r>
      <w:r>
        <w:rPr>
          <w:rFonts w:cs="Arial"/>
          <w:i/>
          <w:iCs/>
          <w:sz w:val="22"/>
        </w:rPr>
        <w:t xml:space="preserve"> - As a GMCA employee, you have a legal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pacing w:val="-1"/>
          <w:sz w:val="22"/>
        </w:rPr>
        <w:t>responsibility</w:t>
      </w:r>
      <w:r>
        <w:rPr>
          <w:rFonts w:cs="Arial"/>
          <w:i/>
          <w:iCs/>
          <w:spacing w:val="-16"/>
          <w:sz w:val="22"/>
        </w:rPr>
        <w:t xml:space="preserve"> </w:t>
      </w:r>
      <w:r>
        <w:rPr>
          <w:rFonts w:cs="Arial"/>
          <w:i/>
          <w:iCs/>
          <w:spacing w:val="-1"/>
          <w:sz w:val="22"/>
        </w:rPr>
        <w:t>for</w:t>
      </w:r>
      <w:r>
        <w:rPr>
          <w:rFonts w:cs="Arial"/>
          <w:i/>
          <w:iCs/>
          <w:spacing w:val="-15"/>
          <w:sz w:val="22"/>
        </w:rPr>
        <w:t xml:space="preserve"> </w:t>
      </w:r>
      <w:r>
        <w:rPr>
          <w:rFonts w:cs="Arial"/>
          <w:i/>
          <w:iCs/>
          <w:spacing w:val="-1"/>
          <w:sz w:val="22"/>
        </w:rPr>
        <w:t>all</w:t>
      </w:r>
      <w:r>
        <w:rPr>
          <w:rFonts w:cs="Arial"/>
          <w:i/>
          <w:iCs/>
          <w:spacing w:val="-14"/>
          <w:sz w:val="22"/>
        </w:rPr>
        <w:t xml:space="preserve"> </w:t>
      </w:r>
      <w:r>
        <w:rPr>
          <w:rFonts w:cs="Arial"/>
          <w:i/>
          <w:iCs/>
          <w:spacing w:val="-1"/>
          <w:sz w:val="22"/>
        </w:rPr>
        <w:t>records</w:t>
      </w:r>
      <w:r>
        <w:rPr>
          <w:rFonts w:cs="Arial"/>
          <w:i/>
          <w:iCs/>
          <w:spacing w:val="-13"/>
          <w:sz w:val="22"/>
        </w:rPr>
        <w:t xml:space="preserve"> </w:t>
      </w:r>
      <w:r>
        <w:rPr>
          <w:rFonts w:cs="Arial"/>
          <w:i/>
          <w:iCs/>
          <w:sz w:val="22"/>
        </w:rPr>
        <w:t>(including</w:t>
      </w:r>
      <w:r>
        <w:rPr>
          <w:rFonts w:cs="Arial"/>
          <w:i/>
          <w:iCs/>
          <w:spacing w:val="-11"/>
          <w:sz w:val="22"/>
        </w:rPr>
        <w:t xml:space="preserve"> </w:t>
      </w:r>
      <w:r>
        <w:rPr>
          <w:rFonts w:cs="Arial"/>
          <w:i/>
          <w:iCs/>
          <w:sz w:val="22"/>
        </w:rPr>
        <w:t>employee</w:t>
      </w:r>
      <w:r>
        <w:rPr>
          <w:rFonts w:cs="Arial"/>
          <w:i/>
          <w:iCs/>
          <w:spacing w:val="-13"/>
          <w:sz w:val="22"/>
        </w:rPr>
        <w:t xml:space="preserve"> </w:t>
      </w:r>
      <w:r>
        <w:rPr>
          <w:rFonts w:cs="Arial"/>
          <w:i/>
          <w:iCs/>
          <w:sz w:val="22"/>
        </w:rPr>
        <w:t>health,</w:t>
      </w:r>
      <w:r>
        <w:rPr>
          <w:rFonts w:cs="Arial"/>
          <w:i/>
          <w:iCs/>
          <w:spacing w:val="-15"/>
          <w:sz w:val="22"/>
        </w:rPr>
        <w:t xml:space="preserve"> </w:t>
      </w:r>
      <w:r>
        <w:rPr>
          <w:rFonts w:cs="Arial"/>
          <w:i/>
          <w:iCs/>
          <w:sz w:val="22"/>
        </w:rPr>
        <w:t>financial,</w:t>
      </w:r>
      <w:r>
        <w:rPr>
          <w:rFonts w:cs="Arial"/>
          <w:i/>
          <w:iCs/>
          <w:spacing w:val="-14"/>
          <w:sz w:val="22"/>
        </w:rPr>
        <w:t xml:space="preserve"> </w:t>
      </w:r>
      <w:r>
        <w:rPr>
          <w:rFonts w:cs="Arial"/>
          <w:i/>
          <w:iCs/>
          <w:sz w:val="22"/>
        </w:rPr>
        <w:t>personal,</w:t>
      </w:r>
      <w:r>
        <w:rPr>
          <w:rFonts w:cs="Arial"/>
          <w:i/>
          <w:iCs/>
          <w:spacing w:val="-17"/>
          <w:sz w:val="22"/>
        </w:rPr>
        <w:t xml:space="preserve"> </w:t>
      </w:r>
      <w:r>
        <w:rPr>
          <w:rFonts w:cs="Arial"/>
          <w:i/>
          <w:iCs/>
          <w:sz w:val="22"/>
        </w:rPr>
        <w:t>and</w:t>
      </w:r>
      <w:r>
        <w:rPr>
          <w:rFonts w:cs="Arial"/>
          <w:i/>
          <w:iCs/>
          <w:spacing w:val="-13"/>
          <w:sz w:val="22"/>
        </w:rPr>
        <w:t xml:space="preserve"> </w:t>
      </w:r>
      <w:r>
        <w:rPr>
          <w:rFonts w:cs="Arial"/>
          <w:i/>
          <w:iCs/>
          <w:sz w:val="22"/>
        </w:rPr>
        <w:t>administrative)</w:t>
      </w:r>
      <w:r>
        <w:rPr>
          <w:rFonts w:cs="Arial"/>
          <w:i/>
          <w:iCs/>
          <w:spacing w:val="-58"/>
          <w:sz w:val="22"/>
        </w:rPr>
        <w:t xml:space="preserve"> </w:t>
      </w:r>
      <w:r>
        <w:rPr>
          <w:rFonts w:cs="Arial"/>
          <w:i/>
          <w:iCs/>
          <w:sz w:val="22"/>
        </w:rPr>
        <w:t>that you gather or use as part of your work with the Service. The records may be paper,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electronic, audio or videotapes. You must consult your manager if you have any doubt as to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correct management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-3"/>
          <w:sz w:val="22"/>
        </w:rPr>
        <w:t xml:space="preserve"> </w:t>
      </w:r>
      <w:r>
        <w:rPr>
          <w:rFonts w:cs="Arial"/>
          <w:i/>
          <w:iCs/>
          <w:sz w:val="22"/>
        </w:rPr>
        <w:t>records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with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which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you work.</w:t>
      </w:r>
    </w:p>
    <w:p>
      <w:pPr>
        <w:pStyle w:val="Normal"/>
        <w:rPr/>
      </w:pPr>
      <w:r>
        <w:rPr>
          <w:rFonts w:cs="Arial"/>
          <w:b/>
          <w:bCs/>
          <w:i/>
          <w:iCs/>
          <w:spacing w:val="-1"/>
          <w:sz w:val="22"/>
        </w:rPr>
        <w:t>Confidentiality</w:t>
      </w:r>
      <w:r>
        <w:rPr>
          <w:rFonts w:cs="Arial"/>
          <w:b/>
          <w:bCs/>
          <w:i/>
          <w:iCs/>
          <w:spacing w:val="-15"/>
          <w:sz w:val="22"/>
        </w:rPr>
        <w:t xml:space="preserve"> </w:t>
      </w:r>
      <w:r>
        <w:rPr>
          <w:rFonts w:cs="Arial"/>
          <w:b/>
          <w:bCs/>
          <w:i/>
          <w:iCs/>
          <w:sz w:val="22"/>
        </w:rPr>
        <w:t>and</w:t>
      </w:r>
      <w:r>
        <w:rPr>
          <w:rFonts w:cs="Arial"/>
          <w:b/>
          <w:bCs/>
          <w:i/>
          <w:iCs/>
          <w:spacing w:val="-12"/>
          <w:sz w:val="22"/>
        </w:rPr>
        <w:t xml:space="preserve"> </w:t>
      </w:r>
      <w:r>
        <w:rPr>
          <w:rFonts w:cs="Arial"/>
          <w:b/>
          <w:bCs/>
          <w:i/>
          <w:iCs/>
          <w:sz w:val="22"/>
        </w:rPr>
        <w:t>Information</w:t>
      </w:r>
      <w:r>
        <w:rPr>
          <w:rFonts w:cs="Arial"/>
          <w:b/>
          <w:bCs/>
          <w:i/>
          <w:iCs/>
          <w:spacing w:val="-13"/>
          <w:sz w:val="22"/>
        </w:rPr>
        <w:t xml:space="preserve"> </w:t>
      </w:r>
      <w:r>
        <w:rPr>
          <w:rFonts w:cs="Arial"/>
          <w:b/>
          <w:bCs/>
          <w:i/>
          <w:iCs/>
          <w:sz w:val="22"/>
        </w:rPr>
        <w:t>Security</w:t>
      </w:r>
      <w:r>
        <w:rPr>
          <w:rFonts w:cs="Arial"/>
          <w:i/>
          <w:iCs/>
          <w:spacing w:val="-16"/>
          <w:sz w:val="22"/>
        </w:rPr>
        <w:t xml:space="preserve"> </w:t>
      </w:r>
      <w:r>
        <w:rPr>
          <w:rFonts w:cs="Arial"/>
          <w:i/>
          <w:iCs/>
          <w:sz w:val="22"/>
        </w:rPr>
        <w:t>-</w:t>
      </w:r>
      <w:r>
        <w:rPr>
          <w:rFonts w:cs="Arial"/>
          <w:i/>
          <w:iCs/>
          <w:spacing w:val="-10"/>
          <w:sz w:val="22"/>
        </w:rPr>
        <w:t xml:space="preserve"> </w:t>
      </w:r>
      <w:r>
        <w:rPr>
          <w:rFonts w:cs="Arial"/>
          <w:i/>
          <w:iCs/>
          <w:sz w:val="22"/>
        </w:rPr>
        <w:t>As</w:t>
      </w:r>
      <w:r>
        <w:rPr>
          <w:rFonts w:cs="Arial"/>
          <w:i/>
          <w:iCs/>
          <w:spacing w:val="-11"/>
          <w:sz w:val="22"/>
        </w:rPr>
        <w:t xml:space="preserve"> </w:t>
      </w:r>
      <w:r>
        <w:rPr>
          <w:rFonts w:cs="Arial"/>
          <w:i/>
          <w:iCs/>
          <w:sz w:val="22"/>
        </w:rPr>
        <w:t>a</w:t>
      </w:r>
      <w:r>
        <w:rPr>
          <w:rFonts w:cs="Arial"/>
          <w:i/>
          <w:iCs/>
          <w:spacing w:val="-16"/>
          <w:sz w:val="22"/>
        </w:rPr>
        <w:t xml:space="preserve"> </w:t>
      </w:r>
      <w:r>
        <w:rPr>
          <w:rFonts w:cs="Arial"/>
          <w:i/>
          <w:iCs/>
          <w:sz w:val="22"/>
        </w:rPr>
        <w:t>GMCA</w:t>
      </w:r>
      <w:r>
        <w:rPr>
          <w:rFonts w:cs="Arial"/>
          <w:i/>
          <w:iCs/>
          <w:spacing w:val="-11"/>
          <w:sz w:val="22"/>
        </w:rPr>
        <w:t xml:space="preserve"> </w:t>
      </w:r>
      <w:r>
        <w:rPr>
          <w:rFonts w:cs="Arial"/>
          <w:i/>
          <w:iCs/>
          <w:sz w:val="22"/>
        </w:rPr>
        <w:t>employee</w:t>
      </w:r>
      <w:r>
        <w:rPr>
          <w:rFonts w:cs="Arial"/>
          <w:i/>
          <w:iCs/>
          <w:spacing w:val="-12"/>
          <w:sz w:val="22"/>
        </w:rPr>
        <w:t xml:space="preserve"> </w:t>
      </w:r>
      <w:r>
        <w:rPr>
          <w:rFonts w:cs="Arial"/>
          <w:i/>
          <w:iCs/>
          <w:sz w:val="22"/>
        </w:rPr>
        <w:t>you</w:t>
      </w:r>
      <w:r>
        <w:rPr>
          <w:rFonts w:cs="Arial"/>
          <w:i/>
          <w:iCs/>
          <w:spacing w:val="-12"/>
          <w:sz w:val="22"/>
        </w:rPr>
        <w:t xml:space="preserve"> </w:t>
      </w:r>
      <w:r>
        <w:rPr>
          <w:rFonts w:cs="Arial"/>
          <w:i/>
          <w:iCs/>
          <w:sz w:val="22"/>
        </w:rPr>
        <w:t>are</w:t>
      </w:r>
      <w:r>
        <w:rPr>
          <w:rFonts w:cs="Arial"/>
          <w:i/>
          <w:iCs/>
          <w:spacing w:val="-11"/>
          <w:sz w:val="22"/>
        </w:rPr>
        <w:t xml:space="preserve"> </w:t>
      </w:r>
      <w:r>
        <w:rPr>
          <w:rFonts w:cs="Arial"/>
          <w:i/>
          <w:iCs/>
          <w:sz w:val="22"/>
        </w:rPr>
        <w:t>required</w:t>
      </w:r>
      <w:r>
        <w:rPr>
          <w:rFonts w:cs="Arial"/>
          <w:i/>
          <w:iCs/>
          <w:spacing w:val="-15"/>
          <w:sz w:val="22"/>
        </w:rPr>
        <w:t xml:space="preserve"> </w:t>
      </w:r>
      <w:r>
        <w:rPr>
          <w:rFonts w:cs="Arial"/>
          <w:i/>
          <w:iCs/>
          <w:sz w:val="22"/>
        </w:rPr>
        <w:t>to</w:t>
      </w:r>
      <w:r>
        <w:rPr>
          <w:rFonts w:cs="Arial"/>
          <w:i/>
          <w:iCs/>
          <w:spacing w:val="-12"/>
          <w:sz w:val="22"/>
        </w:rPr>
        <w:t xml:space="preserve"> </w:t>
      </w:r>
      <w:r>
        <w:rPr>
          <w:rFonts w:cs="Arial"/>
          <w:i/>
          <w:iCs/>
          <w:sz w:val="22"/>
        </w:rPr>
        <w:t>uphold</w:t>
      </w:r>
      <w:r>
        <w:rPr>
          <w:rFonts w:cs="Arial"/>
          <w:i/>
          <w:iCs/>
          <w:spacing w:val="-58"/>
          <w:sz w:val="22"/>
        </w:rPr>
        <w:t xml:space="preserve"> </w:t>
      </w:r>
      <w:r>
        <w:rPr>
          <w:rFonts w:cs="Arial"/>
          <w:i/>
          <w:iCs/>
          <w:sz w:val="22"/>
        </w:rPr>
        <w:t>the confidentiality of all records held by the GMCA, whether employee records or GMCA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information.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This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duty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lasts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indefinitely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and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will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continue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after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you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leave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GMCA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employment. All employees must maintain confidentiality and abide by the Data Protection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Act.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2"/>
        </w:rPr>
        <w:t>Data</w:t>
      </w:r>
      <w:r>
        <w:rPr>
          <w:rFonts w:cs="Arial"/>
          <w:b/>
          <w:bCs/>
          <w:i/>
          <w:iCs/>
          <w:spacing w:val="1"/>
          <w:sz w:val="22"/>
        </w:rPr>
        <w:t xml:space="preserve"> </w:t>
      </w:r>
      <w:r>
        <w:rPr>
          <w:rFonts w:cs="Arial"/>
          <w:b/>
          <w:bCs/>
          <w:i/>
          <w:iCs/>
          <w:sz w:val="22"/>
        </w:rPr>
        <w:t>Quality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-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All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staff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are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personally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responsible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for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quality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data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entered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by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themselves, or on their behalf, on GMCAs computerised systems or manual records (paper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records) and must ensure that such data is entered accurately and, in a timely manner, to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ensure high</w:t>
      </w:r>
      <w:r>
        <w:rPr>
          <w:rFonts w:cs="Arial"/>
          <w:i/>
          <w:iCs/>
          <w:spacing w:val="-3"/>
          <w:sz w:val="22"/>
        </w:rPr>
        <w:t xml:space="preserve"> </w:t>
      </w:r>
      <w:r>
        <w:rPr>
          <w:rFonts w:cs="Arial"/>
          <w:i/>
          <w:iCs/>
          <w:sz w:val="22"/>
        </w:rPr>
        <w:t>standards of data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quality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in accordance with Departmental protocols. To ensure data is handled in a secure manner protecting the confidentiality of any personal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data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held in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meeting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requirements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-3"/>
          <w:sz w:val="22"/>
        </w:rPr>
        <w:t xml:space="preserve"> </w:t>
      </w:r>
      <w:r>
        <w:rPr>
          <w:rFonts w:cs="Arial"/>
          <w:i/>
          <w:iCs/>
          <w:sz w:val="22"/>
        </w:rPr>
        <w:t>Data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Protection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Act.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2"/>
        </w:rPr>
        <w:t>Health and Safety</w:t>
      </w:r>
      <w:r>
        <w:rPr>
          <w:rFonts w:cs="Arial"/>
          <w:i/>
          <w:iCs/>
          <w:sz w:val="22"/>
        </w:rPr>
        <w:t xml:space="preserve"> - All employees of GMCA have a statutory duty of care for their own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personal</w:t>
      </w:r>
      <w:r>
        <w:rPr>
          <w:rFonts w:cs="Arial"/>
          <w:i/>
          <w:iCs/>
          <w:spacing w:val="-9"/>
          <w:sz w:val="22"/>
        </w:rPr>
        <w:t xml:space="preserve"> </w:t>
      </w:r>
      <w:r>
        <w:rPr>
          <w:rFonts w:cs="Arial"/>
          <w:i/>
          <w:iCs/>
          <w:sz w:val="22"/>
        </w:rPr>
        <w:t>safety</w:t>
      </w:r>
      <w:r>
        <w:rPr>
          <w:rFonts w:cs="Arial"/>
          <w:i/>
          <w:iCs/>
          <w:spacing w:val="-9"/>
          <w:sz w:val="22"/>
        </w:rPr>
        <w:t xml:space="preserve"> </w:t>
      </w:r>
      <w:r>
        <w:rPr>
          <w:rFonts w:cs="Arial"/>
          <w:i/>
          <w:iCs/>
          <w:sz w:val="22"/>
        </w:rPr>
        <w:t>and</w:t>
      </w:r>
      <w:r>
        <w:rPr>
          <w:rFonts w:cs="Arial"/>
          <w:i/>
          <w:iCs/>
          <w:spacing w:val="-8"/>
          <w:sz w:val="22"/>
        </w:rPr>
        <w:t xml:space="preserve"> </w:t>
      </w:r>
      <w:r>
        <w:rPr>
          <w:rFonts w:cs="Arial"/>
          <w:i/>
          <w:iCs/>
          <w:sz w:val="22"/>
        </w:rPr>
        <w:t>that</w:t>
      </w:r>
      <w:r>
        <w:rPr>
          <w:rFonts w:cs="Arial"/>
          <w:i/>
          <w:iCs/>
          <w:spacing w:val="-9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-3"/>
          <w:sz w:val="22"/>
        </w:rPr>
        <w:t xml:space="preserve"> </w:t>
      </w:r>
      <w:r>
        <w:rPr>
          <w:rFonts w:cs="Arial"/>
          <w:i/>
          <w:iCs/>
          <w:sz w:val="22"/>
        </w:rPr>
        <w:t>others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who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may</w:t>
      </w:r>
      <w:r>
        <w:rPr>
          <w:rFonts w:cs="Arial"/>
          <w:i/>
          <w:iCs/>
          <w:spacing w:val="-10"/>
          <w:sz w:val="22"/>
        </w:rPr>
        <w:t xml:space="preserve"> </w:t>
      </w:r>
      <w:r>
        <w:rPr>
          <w:rFonts w:cs="Arial"/>
          <w:i/>
          <w:iCs/>
          <w:sz w:val="22"/>
        </w:rPr>
        <w:t>be</w:t>
      </w:r>
      <w:r>
        <w:rPr>
          <w:rFonts w:cs="Arial"/>
          <w:i/>
          <w:iCs/>
          <w:spacing w:val="-8"/>
          <w:sz w:val="22"/>
        </w:rPr>
        <w:t xml:space="preserve"> </w:t>
      </w:r>
      <w:r>
        <w:rPr>
          <w:rFonts w:cs="Arial"/>
          <w:i/>
          <w:iCs/>
          <w:sz w:val="22"/>
        </w:rPr>
        <w:t>affected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by</w:t>
      </w:r>
      <w:r>
        <w:rPr>
          <w:rFonts w:cs="Arial"/>
          <w:i/>
          <w:iCs/>
          <w:spacing w:val="-10"/>
          <w:sz w:val="22"/>
        </w:rPr>
        <w:t xml:space="preserve"> </w:t>
      </w:r>
      <w:r>
        <w:rPr>
          <w:rFonts w:cs="Arial"/>
          <w:i/>
          <w:iCs/>
          <w:sz w:val="22"/>
        </w:rPr>
        <w:t>their</w:t>
      </w:r>
      <w:r>
        <w:rPr>
          <w:rFonts w:cs="Arial"/>
          <w:i/>
          <w:iCs/>
          <w:spacing w:val="-6"/>
          <w:sz w:val="22"/>
        </w:rPr>
        <w:t xml:space="preserve"> </w:t>
      </w:r>
      <w:r>
        <w:rPr>
          <w:rFonts w:cs="Arial"/>
          <w:i/>
          <w:iCs/>
          <w:sz w:val="22"/>
        </w:rPr>
        <w:t>acts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or</w:t>
      </w:r>
      <w:r>
        <w:rPr>
          <w:rFonts w:cs="Arial"/>
          <w:i/>
          <w:iCs/>
          <w:spacing w:val="-6"/>
          <w:sz w:val="22"/>
        </w:rPr>
        <w:t xml:space="preserve"> </w:t>
      </w:r>
      <w:r>
        <w:rPr>
          <w:rFonts w:cs="Arial"/>
          <w:i/>
          <w:iCs/>
          <w:sz w:val="22"/>
        </w:rPr>
        <w:t>omissions.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Employees</w:t>
      </w:r>
      <w:r>
        <w:rPr>
          <w:rFonts w:cs="Arial"/>
          <w:i/>
          <w:iCs/>
          <w:spacing w:val="-59"/>
          <w:sz w:val="22"/>
        </w:rPr>
        <w:t xml:space="preserve"> </w:t>
      </w:r>
      <w:r>
        <w:rPr>
          <w:rFonts w:cs="Arial"/>
          <w:i/>
          <w:iCs/>
          <w:sz w:val="22"/>
        </w:rPr>
        <w:t>are required to co-operate with management to enable GMCA to meet its own legal duties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and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to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report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any</w:t>
      </w:r>
      <w:r>
        <w:rPr>
          <w:rFonts w:cs="Arial"/>
          <w:i/>
          <w:iCs/>
          <w:spacing w:val="-8"/>
          <w:sz w:val="22"/>
        </w:rPr>
        <w:t xml:space="preserve"> </w:t>
      </w:r>
      <w:r>
        <w:rPr>
          <w:rFonts w:cs="Arial"/>
          <w:i/>
          <w:iCs/>
          <w:sz w:val="22"/>
        </w:rPr>
        <w:t>circumstances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that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may</w:t>
      </w:r>
      <w:r>
        <w:rPr>
          <w:rFonts w:cs="Arial"/>
          <w:i/>
          <w:iCs/>
          <w:spacing w:val="-8"/>
          <w:sz w:val="22"/>
        </w:rPr>
        <w:t xml:space="preserve"> </w:t>
      </w:r>
      <w:r>
        <w:rPr>
          <w:rFonts w:cs="Arial"/>
          <w:i/>
          <w:iCs/>
          <w:sz w:val="22"/>
        </w:rPr>
        <w:t>compromise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the</w:t>
      </w:r>
      <w:r>
        <w:rPr>
          <w:rFonts w:cs="Arial"/>
          <w:i/>
          <w:iCs/>
          <w:spacing w:val="-6"/>
          <w:sz w:val="22"/>
        </w:rPr>
        <w:t xml:space="preserve"> </w:t>
      </w:r>
      <w:r>
        <w:rPr>
          <w:rFonts w:cs="Arial"/>
          <w:i/>
          <w:iCs/>
          <w:sz w:val="22"/>
        </w:rPr>
        <w:t>health,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safety,</w:t>
      </w:r>
      <w:r>
        <w:rPr>
          <w:rFonts w:cs="Arial"/>
          <w:i/>
          <w:iCs/>
          <w:spacing w:val="-7"/>
          <w:sz w:val="22"/>
        </w:rPr>
        <w:t xml:space="preserve"> </w:t>
      </w:r>
      <w:r>
        <w:rPr>
          <w:rFonts w:cs="Arial"/>
          <w:i/>
          <w:iCs/>
          <w:sz w:val="22"/>
        </w:rPr>
        <w:t>and</w:t>
      </w:r>
      <w:r>
        <w:rPr>
          <w:rFonts w:cs="Arial"/>
          <w:i/>
          <w:iCs/>
          <w:spacing w:val="-5"/>
          <w:sz w:val="22"/>
        </w:rPr>
        <w:t xml:space="preserve"> </w:t>
      </w:r>
      <w:r>
        <w:rPr>
          <w:rFonts w:cs="Arial"/>
          <w:i/>
          <w:iCs/>
          <w:sz w:val="22"/>
        </w:rPr>
        <w:t>welfare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those</w:t>
      </w:r>
      <w:r>
        <w:rPr>
          <w:rFonts w:cs="Arial"/>
          <w:i/>
          <w:iCs/>
          <w:spacing w:val="-59"/>
          <w:sz w:val="22"/>
        </w:rPr>
        <w:t xml:space="preserve"> </w:t>
      </w:r>
      <w:r>
        <w:rPr>
          <w:rFonts w:cs="Arial"/>
          <w:i/>
          <w:iCs/>
          <w:sz w:val="22"/>
        </w:rPr>
        <w:t>affected by</w:t>
      </w:r>
      <w:r>
        <w:rPr>
          <w:rFonts w:cs="Arial"/>
          <w:i/>
          <w:iCs/>
          <w:spacing w:val="-4"/>
          <w:sz w:val="22"/>
        </w:rPr>
        <w:t xml:space="preserve"> </w:t>
      </w:r>
      <w:r>
        <w:rPr>
          <w:rFonts w:cs="Arial"/>
          <w:i/>
          <w:iCs/>
          <w:sz w:val="22"/>
        </w:rPr>
        <w:t>the Service’s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undertakings.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2"/>
        </w:rPr>
        <w:t>Service Policies</w:t>
      </w:r>
      <w:r>
        <w:rPr>
          <w:rFonts w:cs="Arial"/>
          <w:i/>
          <w:iCs/>
          <w:sz w:val="22"/>
        </w:rPr>
        <w:t xml:space="preserve"> - All GMCA employees must observe and adhere to the provisions outlined</w:t>
      </w:r>
      <w:r>
        <w:rPr>
          <w:rFonts w:cs="Arial"/>
          <w:i/>
          <w:iCs/>
          <w:spacing w:val="-59"/>
          <w:sz w:val="22"/>
        </w:rPr>
        <w:t xml:space="preserve">    </w:t>
      </w:r>
      <w:r>
        <w:rPr>
          <w:rFonts w:cs="Arial"/>
          <w:i/>
          <w:iCs/>
          <w:sz w:val="22"/>
        </w:rPr>
        <w:t>in</w:t>
      </w:r>
      <w:r>
        <w:rPr>
          <w:rFonts w:cs="Arial"/>
          <w:i/>
          <w:iCs/>
          <w:spacing w:val="-1"/>
          <w:sz w:val="22"/>
        </w:rPr>
        <w:t xml:space="preserve"> </w:t>
      </w:r>
      <w:r>
        <w:rPr>
          <w:rFonts w:cs="Arial"/>
          <w:i/>
          <w:iCs/>
          <w:sz w:val="22"/>
        </w:rPr>
        <w:t>these policies.</w:t>
      </w:r>
    </w:p>
    <w:p>
      <w:pPr>
        <w:pStyle w:val="Normal"/>
        <w:widowControl w:val="false"/>
        <w:bidi w:val="0"/>
        <w:spacing w:lineRule="auto" w:line="360" w:before="0" w:after="240"/>
        <w:jc w:val="left"/>
        <w:rPr/>
      </w:pPr>
      <w:r>
        <w:rPr>
          <w:rFonts w:cs="Arial"/>
          <w:b/>
          <w:bCs/>
          <w:i/>
          <w:iCs/>
          <w:sz w:val="22"/>
        </w:rPr>
        <w:t>Equal Opportunities</w:t>
      </w:r>
      <w:r>
        <w:rPr>
          <w:rFonts w:cs="Arial"/>
          <w:i/>
          <w:iCs/>
          <w:sz w:val="22"/>
        </w:rPr>
        <w:t xml:space="preserve"> - GMCA provides a range of services and employment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opportunities for a diverse population. As a GMCA employee you are expected to treat all employees  / partners / members of the public and work colleagues with dignity and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respect</w:t>
      </w:r>
      <w:r>
        <w:rPr>
          <w:rFonts w:cs="Arial"/>
          <w:i/>
          <w:iCs/>
          <w:spacing w:val="-2"/>
          <w:sz w:val="22"/>
        </w:rPr>
        <w:t xml:space="preserve"> </w:t>
      </w:r>
      <w:r>
        <w:rPr>
          <w:rFonts w:cs="Arial"/>
          <w:i/>
          <w:iCs/>
          <w:sz w:val="22"/>
        </w:rPr>
        <w:t>irrespective</w:t>
      </w:r>
      <w:r>
        <w:rPr>
          <w:rFonts w:cs="Arial"/>
          <w:i/>
          <w:iCs/>
          <w:spacing w:val="1"/>
          <w:sz w:val="22"/>
        </w:rPr>
        <w:t xml:space="preserve"> </w:t>
      </w:r>
      <w:r>
        <w:rPr>
          <w:rFonts w:cs="Arial"/>
          <w:i/>
          <w:iCs/>
          <w:sz w:val="22"/>
        </w:rPr>
        <w:t>of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their</w:t>
      </w:r>
      <w:r>
        <w:rPr>
          <w:rFonts w:cs="Arial"/>
          <w:i/>
          <w:iCs/>
          <w:spacing w:val="2"/>
          <w:sz w:val="22"/>
        </w:rPr>
        <w:t xml:space="preserve"> </w:t>
      </w:r>
      <w:r>
        <w:rPr>
          <w:rFonts w:cs="Arial"/>
          <w:i/>
          <w:iCs/>
          <w:sz w:val="22"/>
        </w:rPr>
        <w:t>background.</w:t>
      </w:r>
    </w:p>
    <w:sectPr>
      <w:headerReference w:type="default" r:id="rId8"/>
      <w:footerReference w:type="default" r:id="rId9"/>
      <w:type w:val="nextPage"/>
      <w:pgSz w:w="11906" w:h="16850"/>
      <w:pgMar w:left="720" w:right="720" w:header="624" w:top="720" w:footer="0" w:bottom="720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spacing w:before="0" w:after="24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TextBody"/>
      <w:spacing w:before="0" w:after="24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spacing w:before="0" w:after="24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TextBody"/>
      <w:spacing w:before="0" w:after="24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4417060</wp:posOffset>
          </wp:positionH>
          <wp:positionV relativeFrom="paragraph">
            <wp:posOffset>78740</wp:posOffset>
          </wp:positionV>
          <wp:extent cx="2190115" cy="686435"/>
          <wp:effectExtent l="0" t="0" r="0" b="0"/>
          <wp:wrapNone/>
          <wp:docPr id="1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15" r="-5" b="-15"/>
                  <a:stretch>
                    <a:fillRect/>
                  </a:stretch>
                </pic:blipFill>
                <pic:spPr bwMode="auto">
                  <a:xfrm>
                    <a:off x="0" y="0"/>
                    <a:ext cx="2190115" cy="686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  <w:t>Last reviewed: June 2026</w:t>
    </w:r>
  </w:p>
  <w:p>
    <w:pPr>
      <w:pStyle w:val="Header"/>
      <w:spacing w:before="0" w:after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 xml:space="preserve">Date of last review: June 2026 </w:t>
    </w:r>
  </w:p>
  <w:p>
    <w:pPr>
      <w:pStyle w:val="Header"/>
      <w:spacing w:before="0" w:after="24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240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4697095</wp:posOffset>
          </wp:positionH>
          <wp:positionV relativeFrom="paragraph">
            <wp:posOffset>-280035</wp:posOffset>
          </wp:positionV>
          <wp:extent cx="2190115" cy="686435"/>
          <wp:effectExtent l="0" t="0" r="0" b="0"/>
          <wp:wrapNone/>
          <wp:docPr id="2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15" r="-5" b="-15"/>
                  <a:stretch>
                    <a:fillRect/>
                  </a:stretch>
                </pic:blipFill>
                <pic:spPr bwMode="auto">
                  <a:xfrm>
                    <a:off x="0" y="0"/>
                    <a:ext cx="2190115" cy="686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 xml:space="preserve">Date of last review: June 2026 </w:t>
    </w:r>
  </w:p>
  <w:p>
    <w:pPr>
      <w:pStyle w:val="Header"/>
      <w:spacing w:before="0" w:after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Cs w:val="24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Cs w:val="24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Cs w:val="24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szCs w:val="24"/>
        <w:rFonts w:cs="Arial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360" w:before="0" w:after="240"/>
      <w:jc w:val="left"/>
    </w:pPr>
    <w:rPr>
      <w:rFonts w:ascii="Arial" w:hAnsi="Arial" w:eastAsia="Calibri" w:cs="Calibri"/>
      <w:color w:val="262626"/>
      <w:kern w:val="0"/>
      <w:sz w:val="24"/>
      <w:szCs w:val="22"/>
      <w:lang w:val="en-GB" w:eastAsia="en-US" w:bidi="ar-SA"/>
    </w:rPr>
  </w:style>
  <w:style w:type="paragraph" w:styleId="Heading1">
    <w:name w:val="Heading 1"/>
    <w:basedOn w:val="Normal"/>
    <w:next w:val="TextBody"/>
    <w:qFormat/>
    <w:pPr>
      <w:numPr>
        <w:ilvl w:val="0"/>
        <w:numId w:val="1"/>
      </w:num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shd w:fill="004F6E" w:val="clear"/>
      <w:spacing w:lineRule="auto" w:line="240"/>
      <w:jc w:val="center"/>
      <w:outlineLvl w:val="0"/>
    </w:pPr>
    <w:rPr>
      <w:b/>
      <w:bCs/>
      <w:color w:val="FFFFFF"/>
      <w:sz w:val="44"/>
      <w:szCs w:val="4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shd w:fill="004F6E" w:val="clear"/>
      <w:spacing w:before="480" w:after="240"/>
      <w:outlineLvl w:val="1"/>
    </w:pPr>
    <w:rPr>
      <w:b/>
      <w:bCs/>
      <w:color w:val="FFFFFF"/>
      <w:sz w:val="36"/>
      <w:szCs w:val="32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outlineLvl w:val="2"/>
    </w:pPr>
    <w:rPr>
      <w:sz w:val="28"/>
      <w:szCs w:val="24"/>
    </w:rPr>
  </w:style>
  <w:style w:type="character" w:styleId="WW8Num1z0">
    <w:name w:val="WW8Num1z0"/>
    <w:qFormat/>
    <w:rPr>
      <w:rFonts w:ascii="Symbol" w:hAnsi="Symbol" w:cs="Symbol"/>
      <w:szCs w:val="24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cs="Arial"/>
      <w:color w:val="auto"/>
      <w:szCs w:val="24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DefaultParagraphFont">
    <w:name w:val="Default Paragraph Font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ommentTextChar">
    <w:name w:val="Comment Text Char"/>
    <w:basedOn w:val="DefaultParagraphFont"/>
    <w:qFormat/>
    <w:rPr>
      <w:rFonts w:ascii="Calibri" w:hAnsi="Calibri" w:eastAsia="Calibri" w:cs="Calibri"/>
      <w:sz w:val="20"/>
      <w:szCs w:val="20"/>
      <w:lang w:val="en-GB"/>
    </w:rPr>
  </w:style>
  <w:style w:type="character" w:styleId="CommentSubjectChar">
    <w:name w:val="Comment Subject Char"/>
    <w:basedOn w:val="CommentTextChar"/>
    <w:qFormat/>
    <w:rPr>
      <w:rFonts w:ascii="Calibri" w:hAnsi="Calibri" w:eastAsia="Calibri" w:cs="Calibri"/>
      <w:b/>
      <w:bCs/>
      <w:sz w:val="20"/>
      <w:szCs w:val="20"/>
      <w:lang w:val="en-GB"/>
    </w:rPr>
  </w:style>
  <w:style w:type="character" w:styleId="HeaderChar">
    <w:name w:val="Header Char"/>
    <w:basedOn w:val="DefaultParagraphFont"/>
    <w:qFormat/>
    <w:rPr>
      <w:rFonts w:ascii="Calibri" w:hAnsi="Calibri" w:eastAsia="Calibri" w:cs="Calibri"/>
      <w:lang w:val="en-GB"/>
    </w:rPr>
  </w:style>
  <w:style w:type="character" w:styleId="FooterChar">
    <w:name w:val="Footer Char"/>
    <w:basedOn w:val="DefaultParagraphFont"/>
    <w:qFormat/>
    <w:rPr>
      <w:rFonts w:ascii="Calibri" w:hAnsi="Calibri" w:eastAsia="Calibri" w:cs="Calibri"/>
      <w:lang w:val="en-GB"/>
    </w:rPr>
  </w:style>
  <w:style w:type="character" w:styleId="Heading2Char">
    <w:name w:val="Heading 2 Char"/>
    <w:basedOn w:val="DefaultParagraphFont"/>
    <w:qFormat/>
    <w:rPr>
      <w:rFonts w:ascii="Arial" w:hAnsi="Arial" w:eastAsia="Calibri" w:cs="Calibri"/>
      <w:color w:val="FFFFFF"/>
      <w:sz w:val="36"/>
      <w:szCs w:val="32"/>
      <w:shd w:fill="004F6E" w:val="clear"/>
      <w:lang w:val="en-GB"/>
    </w:rPr>
  </w:style>
  <w:style w:type="character" w:styleId="Heading3Char">
    <w:name w:val="Heading 3 Char"/>
    <w:basedOn w:val="DefaultParagraphFont"/>
    <w:qFormat/>
    <w:rPr>
      <w:rFonts w:ascii="Arial" w:hAnsi="Arial" w:eastAsia="Calibri" w:cs="Calibri"/>
      <w:sz w:val="28"/>
      <w:szCs w:val="24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rFonts w:eastAsia="Arial" w:cs="Arial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TextBody"/>
    <w:qFormat/>
    <w:pPr>
      <w:spacing w:before="92" w:after="240"/>
      <w:ind w:left="4012" w:right="4328" w:hanging="0"/>
      <w:jc w:val="center"/>
    </w:pPr>
    <w:rPr>
      <w:rFonts w:eastAsia="Arial" w:cs="Arial"/>
      <w:b/>
      <w:bCs/>
      <w:sz w:val="28"/>
      <w:szCs w:val="28"/>
    </w:rPr>
  </w:style>
  <w:style w:type="paragraph" w:styleId="ListParagraph">
    <w:name w:val="List Paragraph"/>
    <w:basedOn w:val="Normal"/>
    <w:qFormat/>
    <w:pPr>
      <w:spacing w:before="60" w:after="240"/>
    </w:pPr>
    <w:rPr/>
  </w:style>
  <w:style w:type="paragraph" w:styleId="TableParagraph">
    <w:name w:val="Table Paragraph"/>
    <w:basedOn w:val="Normal"/>
    <w:qFormat/>
    <w:pPr>
      <w:ind w:left="107" w:right="0" w:hanging="0"/>
    </w:pPr>
    <w:rPr/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en-GB" w:eastAsia="en-GB" w:bidi="ar-SA"/>
    </w:rPr>
  </w:style>
  <w:style w:type="paragraph" w:styleId="NormalWeb">
    <w:name w:val="Normal (Web)"/>
    <w:basedOn w:val="Normal"/>
    <w:qFormat/>
    <w:pPr>
      <w:widowControl/>
      <w:spacing w:lineRule="auto" w:line="240" w:before="280" w:after="280"/>
    </w:pPr>
    <w:rPr>
      <w:rFonts w:ascii="Times New Roman" w:hAnsi="Times New Roman" w:eastAsia="Times New Roman" w:cs="Times New Roman"/>
      <w:color w:val="auto"/>
      <w:szCs w:val="24"/>
      <w:lang w:eastAsia="en-GB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Calibri"/>
      <w:color w:val="262626"/>
      <w:kern w:val="0"/>
      <w:sz w:val="24"/>
      <w:szCs w:val="22"/>
      <w:lang w:val="en-GB" w:eastAsia="en-US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2026-07-21T09:09:00Z</dcterms:created>
  <dc:creator>Caddy-Dale, Anna (Manchester Growth Company)</dc:creator>
  <dc:description/>
  <dc:language>en-US</dc:language>
  <cp:lastModifiedBy>Scoales Sarah</cp:lastModifiedBy>
  <cp:lastPrinted>1995-11-21T17:41:00Z</cp:lastPrinted>
  <dcterms:modified xsi:type="dcterms:W3CDTF">2026-07-21T09:09:00Z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0x01010039F157BCC7051E4F9C468500D16E67D8</vt:lpwstr>
  </property>
  <property fmtid="{D5CDD505-2E9C-101B-9397-08002B2CF9AE}" pid="4" name="Created">
    <vt:filetime>2018-12-06T00:00:00Z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6</vt:i4>
  </property>
  <property fmtid="{D5CDD505-2E9C-101B-9397-08002B2CF9AE}" pid="7" name="HyperlinksChanged">
    <vt:bool>0</vt:bool>
  </property>
  <property fmtid="{D5CDD505-2E9C-101B-9397-08002B2CF9AE}" pid="8" name="LastSaved">
    <vt:filetime>2021-02-17T00:00:00Z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