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hd w:fill="004F6E" w:val="clear"/>
        <w:rPr/>
      </w:pPr>
      <w:r>
        <w:rPr>
          <w:sz w:val="22"/>
          <w:szCs w:val="22"/>
        </w:rPr>
        <w:t>Role profile</w:t>
      </w:r>
      <w:r>
        <w:rPr/>
        <w:br/>
      </w:r>
      <w:r>
        <w:rPr>
          <w:sz w:val="22"/>
          <w:szCs w:val="22"/>
        </w:rPr>
        <w:t xml:space="preserve">Senior Performance &amp; Contracts Manager – Adult Skills </w:t>
      </w:r>
    </w:p>
    <w:p>
      <w:pPr>
        <w:pStyle w:val="ListParagraph"/>
        <w:numPr>
          <w:ilvl w:val="0"/>
          <w:numId w:val="2"/>
        </w:numPr>
        <w:rPr/>
      </w:pPr>
      <w:r>
        <w:rPr>
          <w:b/>
          <w:bCs/>
        </w:rPr>
        <w:t>Grade:</w:t>
      </w:r>
      <w:r>
        <w:rPr/>
        <w:t xml:space="preserve"> Grade 9</w:t>
      </w:r>
    </w:p>
    <w:p>
      <w:pPr>
        <w:pStyle w:val="ListParagraph"/>
        <w:numPr>
          <w:ilvl w:val="0"/>
          <w:numId w:val="2"/>
        </w:numPr>
        <w:rPr/>
      </w:pPr>
      <w:r>
        <w:rPr>
          <w:b/>
          <w:bCs/>
        </w:rPr>
        <w:t>Business area:</w:t>
      </w:r>
      <w:r>
        <w:rPr/>
        <w:t xml:space="preserve"> Education, Work &amp; Skills</w:t>
      </w:r>
    </w:p>
    <w:p>
      <w:pPr>
        <w:pStyle w:val="ListParagraph"/>
        <w:numPr>
          <w:ilvl w:val="0"/>
          <w:numId w:val="2"/>
        </w:numPr>
        <w:rPr/>
      </w:pPr>
      <w:r>
        <w:rPr>
          <w:b/>
          <w:bCs/>
        </w:rPr>
        <w:t>Job title:</w:t>
      </w:r>
      <w:r>
        <w:rPr/>
        <w:t xml:space="preserve"> Senior Performance &amp; Contracts Manager</w:t>
      </w:r>
    </w:p>
    <w:p>
      <w:pPr>
        <w:pStyle w:val="ListParagraph"/>
        <w:numPr>
          <w:ilvl w:val="0"/>
          <w:numId w:val="2"/>
        </w:numPr>
        <w:rPr/>
      </w:pPr>
      <w:r>
        <w:rPr>
          <w:b/>
          <w:bCs/>
        </w:rPr>
        <w:t>Reporting line:</w:t>
      </w:r>
      <w:r>
        <w:rPr/>
        <w:t xml:space="preserve"> Principal Performance &amp; Contracts Manager</w:t>
      </w:r>
    </w:p>
    <w:p>
      <w:pPr>
        <w:pStyle w:val="ListParagraph"/>
        <w:numPr>
          <w:ilvl w:val="0"/>
          <w:numId w:val="2"/>
        </w:numPr>
        <w:rPr/>
      </w:pPr>
      <w:r>
        <w:rPr>
          <w:b/>
          <w:bCs/>
        </w:rPr>
        <w:t>Team:</w:t>
      </w:r>
      <w:r>
        <w:rPr/>
        <w:t xml:space="preserve"> Performance &amp; Contracts Team</w:t>
      </w:r>
    </w:p>
    <w:p>
      <w:pPr>
        <w:pStyle w:val="Heading2"/>
        <w:shd w:fill="004F6E" w:val="clear"/>
        <w:rPr>
          <w:rFonts w:cs="Arial"/>
          <w:sz w:val="22"/>
          <w:szCs w:val="22"/>
        </w:rPr>
      </w:pPr>
      <w:r>
        <w:rPr>
          <w:rFonts w:cs="Arial"/>
          <w:sz w:val="22"/>
          <w:szCs w:val="22"/>
        </w:rPr>
        <w:t>Job Purpose</w:t>
      </w:r>
    </w:p>
    <w:p>
      <w:pPr>
        <w:pStyle w:val="Paragraph"/>
        <w:shd w:fill="FFFFFF" w:val="clear"/>
        <w:spacing w:before="0" w:after="0"/>
        <w:textAlignment w:val="baseline"/>
        <w:rPr/>
      </w:pPr>
      <w:r>
        <w:rPr>
          <w:rStyle w:val="Normaltextrun"/>
          <w:rFonts w:cs="Arial" w:ascii="Arial" w:hAnsi="Arial"/>
        </w:rPr>
        <w:t>Greater Manchester Combined Authority have an exciting opportunity for a Senior Greater Manchester Combined Authority to play a pivotal role in translating and applying the strategic priorities of the GMCA into programmes and projects to support the residents of Greater Manchester.</w:t>
      </w:r>
    </w:p>
    <w:p>
      <w:pPr>
        <w:pStyle w:val="Paragraph"/>
        <w:shd w:fill="FFFFFF" w:val="clear"/>
        <w:spacing w:before="0" w:after="0"/>
        <w:textAlignment w:val="baseline"/>
        <w:rPr>
          <w:rFonts w:ascii="Arial" w:hAnsi="Arial" w:cs="Arial"/>
        </w:rPr>
      </w:pPr>
      <w:r>
        <w:rPr>
          <w:rFonts w:cs="Arial" w:ascii="Arial" w:hAnsi="Arial"/>
        </w:rPr>
      </w:r>
    </w:p>
    <w:p>
      <w:pPr>
        <w:pStyle w:val="Paragraph"/>
        <w:shd w:fill="FFFFFF" w:val="clear"/>
        <w:spacing w:before="0" w:after="0"/>
        <w:textAlignment w:val="baseline"/>
        <w:rPr/>
      </w:pPr>
      <w:r>
        <w:rPr>
          <w:rStyle w:val="Normaltextrun"/>
          <w:rFonts w:cs="Arial" w:ascii="Arial" w:hAnsi="Arial"/>
        </w:rPr>
        <w:t>Working as part of team and closely with the Mayor of Greater Manchester, local authorities, government departments, commissioned providers, businesses, voluntary and community sector enterprises and a broad range of local partners.  You will be responsible for leading on all aspects of the Performance and Contract Management for range of Programme within the Education, Work and Skills Directorate across various funding sources including GMCA’s Integrated Settlement.</w:t>
      </w:r>
    </w:p>
    <w:p>
      <w:pPr>
        <w:pStyle w:val="Paragraph"/>
        <w:shd w:fill="FFFFFF" w:val="clear"/>
        <w:spacing w:before="0" w:after="0"/>
        <w:textAlignment w:val="baseline"/>
        <w:rPr>
          <w:rFonts w:ascii="Arial" w:hAnsi="Arial" w:cs="Arial"/>
        </w:rPr>
      </w:pPr>
      <w:r>
        <w:rPr>
          <w:rFonts w:cs="Arial" w:ascii="Arial" w:hAnsi="Arial"/>
        </w:rPr>
      </w:r>
    </w:p>
    <w:p>
      <w:pPr>
        <w:pStyle w:val="Paragraph"/>
        <w:shd w:fill="FFFFFF" w:val="clear"/>
        <w:spacing w:before="0" w:after="0"/>
        <w:textAlignment w:val="baseline"/>
        <w:rPr/>
      </w:pPr>
      <w:r>
        <w:rPr>
          <w:rStyle w:val="Normaltextrun"/>
          <w:rFonts w:cs="Arial" w:ascii="Arial" w:hAnsi="Arial"/>
        </w:rPr>
        <w:t xml:space="preserve">You will work closely with both the Strategic Programme Manager and Programme Manager to ensure alignment of priorities and opportunity, and effective use of external funding wherever possible. </w:t>
      </w:r>
      <w:r>
        <w:rPr>
          <w:rStyle w:val="Normaltextrun"/>
          <w:rFonts w:cs="Arial" w:ascii="Arial" w:hAnsi="Arial"/>
          <w:lang w:val="en-US"/>
        </w:rPr>
        <w:t xml:space="preserve"> </w:t>
      </w:r>
    </w:p>
    <w:p>
      <w:pPr>
        <w:pStyle w:val="Paragraph"/>
        <w:shd w:fill="FFFFFF" w:val="clear"/>
        <w:spacing w:before="0" w:after="0"/>
        <w:textAlignment w:val="baseline"/>
        <w:rPr>
          <w:rFonts w:ascii="Arial" w:hAnsi="Arial" w:cs="Arial"/>
          <w:color w:val="242424"/>
          <w:lang w:val="en-US"/>
        </w:rPr>
      </w:pPr>
      <w:r>
        <w:rPr>
          <w:rFonts w:cs="Arial" w:ascii="Arial" w:hAnsi="Arial"/>
          <w:color w:val="242424"/>
          <w:lang w:val="en-US"/>
        </w:rPr>
      </w:r>
    </w:p>
    <w:p>
      <w:pPr>
        <w:pStyle w:val="Paragraph"/>
        <w:shd w:fill="FFFFFF" w:val="clear"/>
        <w:spacing w:before="0" w:after="0"/>
        <w:textAlignment w:val="baseline"/>
        <w:rPr/>
      </w:pPr>
      <w:r>
        <w:rPr>
          <w:rStyle w:val="Normaltextrun"/>
          <w:rFonts w:cs="Arial" w:ascii="Arial" w:hAnsi="Arial"/>
        </w:rPr>
        <w:t>This role will lead on the Performance and Contract Management of all commissioned activity to ensure key technical controls and processes are in place and applied consistently across all programmes.  This also includes leading on performance and progress reporting as required to all relevant stakeholders.</w:t>
      </w:r>
    </w:p>
    <w:p>
      <w:pPr>
        <w:pStyle w:val="Paragraph"/>
        <w:shd w:fill="FFFFFF" w:val="clear"/>
        <w:spacing w:before="0" w:after="0"/>
        <w:textAlignment w:val="baseline"/>
        <w:rPr>
          <w:rFonts w:ascii="Arial" w:hAnsi="Arial" w:cs="Arial"/>
        </w:rPr>
      </w:pPr>
      <w:r>
        <w:rPr>
          <w:rFonts w:cs="Arial" w:ascii="Arial" w:hAnsi="Arial"/>
        </w:rPr>
      </w:r>
    </w:p>
    <w:p>
      <w:pPr>
        <w:pStyle w:val="Paragraph"/>
        <w:shd w:fill="FFFFFF" w:val="clear"/>
        <w:spacing w:before="0" w:after="0"/>
        <w:textAlignment w:val="baseline"/>
        <w:rPr/>
      </w:pPr>
      <w:r>
        <w:rPr>
          <w:rStyle w:val="Normaltextrun"/>
          <w:rFonts w:cs="Arial" w:ascii="Arial" w:hAnsi="Arial"/>
        </w:rPr>
        <w:t xml:space="preserve">Stakeholder and relationship management will be critical to the role and the post holder will establish, develop and manage multiple, constructive relationships with commissioned providers, national and local stakeholders including internal colleagues in GMCA and external colleagues in local authorities and government departments. </w:t>
      </w:r>
    </w:p>
    <w:p>
      <w:pPr>
        <w:pStyle w:val="Normal"/>
        <w:rPr/>
      </w:pPr>
      <w:r>
        <w:rPr/>
      </w:r>
    </w:p>
    <w:p>
      <w:pPr>
        <w:pStyle w:val="Normal"/>
        <w:rPr/>
      </w:pPr>
      <w:r>
        <w:rPr/>
      </w:r>
    </w:p>
    <w:p>
      <w:pPr>
        <w:pStyle w:val="Heading2"/>
        <w:shd w:fill="004F6E" w:val="clear"/>
        <w:rPr>
          <w:rFonts w:cs="Arial"/>
          <w:sz w:val="22"/>
          <w:szCs w:val="22"/>
        </w:rPr>
      </w:pPr>
      <w:r>
        <w:rPr>
          <w:rFonts w:cs="Arial"/>
          <w:sz w:val="22"/>
          <w:szCs w:val="22"/>
        </w:rPr>
        <w:t>Key working relationships</w:t>
      </w:r>
    </w:p>
    <w:p>
      <w:pPr>
        <w:pStyle w:val="ListParagraph"/>
        <w:numPr>
          <w:ilvl w:val="0"/>
          <w:numId w:val="3"/>
        </w:numPr>
        <w:rPr/>
      </w:pPr>
      <w:r>
        <w:rPr/>
        <w:t>Internal and external customer groups and strategic partners.</w:t>
      </w:r>
    </w:p>
    <w:p>
      <w:pPr>
        <w:pStyle w:val="ListParagraph"/>
        <w:numPr>
          <w:ilvl w:val="0"/>
          <w:numId w:val="3"/>
        </w:numPr>
        <w:rPr/>
      </w:pPr>
      <w:r>
        <w:rPr/>
        <w:t>Senior Managers from across Greater Manchester’s public sector.</w:t>
      </w:r>
    </w:p>
    <w:p>
      <w:pPr>
        <w:pStyle w:val="ListParagraph"/>
        <w:numPr>
          <w:ilvl w:val="0"/>
          <w:numId w:val="3"/>
        </w:numPr>
        <w:rPr/>
      </w:pPr>
      <w:r>
        <w:rPr/>
        <w:t>Senior Managers within GMCA.</w:t>
      </w:r>
    </w:p>
    <w:p>
      <w:pPr>
        <w:pStyle w:val="ListParagraph"/>
        <w:numPr>
          <w:ilvl w:val="0"/>
          <w:numId w:val="3"/>
        </w:numPr>
        <w:rPr/>
      </w:pPr>
      <w:r>
        <w:rPr/>
        <w:t>Commissioned service providers.</w:t>
      </w:r>
    </w:p>
    <w:p>
      <w:pPr>
        <w:pStyle w:val="ListParagraph"/>
        <w:numPr>
          <w:ilvl w:val="0"/>
          <w:numId w:val="3"/>
        </w:numPr>
        <w:rPr/>
      </w:pPr>
      <w:r>
        <w:rPr/>
        <w:t>Officials from across Government.</w:t>
      </w:r>
    </w:p>
    <w:p>
      <w:pPr>
        <w:pStyle w:val="Normal"/>
        <w:rPr/>
      </w:pPr>
      <w:r>
        <w:rPr/>
        <w:t>This post sits within the Performance &amp; Contracts Team in Education, Work &amp; Skills and will manage a team of Performance &amp; Contract Managers and Officers.</w:t>
      </w:r>
    </w:p>
    <w:p>
      <w:pPr>
        <w:pStyle w:val="Heading2"/>
        <w:shd w:fill="004F6E" w:val="clear"/>
        <w:rPr>
          <w:rFonts w:cs="Arial"/>
          <w:sz w:val="22"/>
          <w:szCs w:val="22"/>
        </w:rPr>
      </w:pPr>
      <w:r>
        <w:rPr>
          <w:rFonts w:cs="Arial"/>
          <w:sz w:val="22"/>
          <w:szCs w:val="22"/>
        </w:rPr>
        <w:t>Key Responsibilities</w:t>
      </w:r>
    </w:p>
    <w:p>
      <w:pPr>
        <w:pStyle w:val="Normal"/>
        <w:spacing w:lineRule="auto" w:line="252" w:before="0" w:after="160"/>
        <w:contextualSpacing/>
        <w:rPr>
          <w:rFonts w:cs="Arial"/>
          <w:b/>
          <w:b/>
        </w:rPr>
      </w:pPr>
      <w:r>
        <w:rPr>
          <w:rFonts w:cs="Arial"/>
          <w:b/>
        </w:rPr>
        <w:t>Leading Performance and Contract Management for a range of Education, Work &amp; Skills Programmes</w:t>
      </w:r>
    </w:p>
    <w:p>
      <w:pPr>
        <w:pStyle w:val="ListParagraph"/>
        <w:widowControl/>
        <w:numPr>
          <w:ilvl w:val="0"/>
          <w:numId w:val="4"/>
        </w:numPr>
        <w:tabs>
          <w:tab w:val="clear" w:pos="720"/>
          <w:tab w:val="center" w:pos="4153" w:leader="none"/>
          <w:tab w:val="right" w:pos="8306" w:leader="none"/>
        </w:tabs>
        <w:spacing w:lineRule="auto" w:line="240" w:before="120" w:after="0"/>
        <w:ind w:left="446" w:right="0" w:hanging="360"/>
        <w:rPr/>
      </w:pPr>
      <w:r>
        <w:rPr/>
        <w:t>Act as first point of contact for the commissioned providers/grant recipients in terms of performance and contract management</w:t>
      </w:r>
    </w:p>
    <w:p>
      <w:pPr>
        <w:pStyle w:val="ListParagraph"/>
        <w:widowControl/>
        <w:numPr>
          <w:ilvl w:val="0"/>
          <w:numId w:val="4"/>
        </w:numPr>
        <w:tabs>
          <w:tab w:val="clear" w:pos="720"/>
          <w:tab w:val="center" w:pos="4153" w:leader="none"/>
          <w:tab w:val="right" w:pos="8306" w:leader="none"/>
        </w:tabs>
        <w:spacing w:lineRule="auto" w:line="240" w:before="120" w:after="0"/>
        <w:ind w:left="446" w:right="0" w:hanging="360"/>
        <w:rPr/>
      </w:pPr>
      <w:r>
        <w:rPr/>
        <w:t>Lead on contract management, implementation/mobilisation and performance review meeting with commissioned providers.</w:t>
      </w:r>
    </w:p>
    <w:p>
      <w:pPr>
        <w:pStyle w:val="ListParagraph"/>
        <w:widowControl/>
        <w:numPr>
          <w:ilvl w:val="0"/>
          <w:numId w:val="4"/>
        </w:numPr>
        <w:tabs>
          <w:tab w:val="clear" w:pos="720"/>
          <w:tab w:val="center" w:pos="4153" w:leader="none"/>
          <w:tab w:val="right" w:pos="8306" w:leader="none"/>
        </w:tabs>
        <w:spacing w:lineRule="auto" w:line="240" w:before="120" w:after="0"/>
        <w:ind w:left="446" w:right="0" w:hanging="360"/>
        <w:rPr/>
      </w:pPr>
      <w:r>
        <w:rPr/>
        <w:t>Lead on the submission and management of any required project change requests from commissioned providers.</w:t>
      </w:r>
    </w:p>
    <w:p>
      <w:pPr>
        <w:pStyle w:val="ListParagraph"/>
        <w:widowControl/>
        <w:numPr>
          <w:ilvl w:val="0"/>
          <w:numId w:val="4"/>
        </w:numPr>
        <w:tabs>
          <w:tab w:val="clear" w:pos="720"/>
          <w:tab w:val="center" w:pos="4153" w:leader="none"/>
          <w:tab w:val="right" w:pos="8306" w:leader="none"/>
        </w:tabs>
        <w:spacing w:lineRule="auto" w:line="240" w:before="120" w:after="0"/>
        <w:ind w:left="446" w:right="0" w:hanging="360"/>
        <w:rPr/>
      </w:pPr>
      <w:r>
        <w:rPr/>
        <w:t>Lead and have oversight on the collation and submission of quarterly reporting including claiming eligible expenditure, the completion of the required progress reports, performance and forecast reports.</w:t>
      </w:r>
    </w:p>
    <w:p>
      <w:pPr>
        <w:pStyle w:val="ListParagraph"/>
        <w:widowControl/>
        <w:numPr>
          <w:ilvl w:val="0"/>
          <w:numId w:val="4"/>
        </w:numPr>
        <w:tabs>
          <w:tab w:val="clear" w:pos="720"/>
          <w:tab w:val="center" w:pos="4153" w:leader="none"/>
          <w:tab w:val="right" w:pos="8306" w:leader="none"/>
        </w:tabs>
        <w:spacing w:lineRule="auto" w:line="240" w:before="120" w:after="0"/>
        <w:ind w:left="446" w:right="0" w:hanging="360"/>
        <w:rPr/>
      </w:pPr>
      <w:r>
        <w:rPr/>
        <w:t>Lead on response to audit activity as required.</w:t>
      </w:r>
    </w:p>
    <w:p>
      <w:pPr>
        <w:pStyle w:val="ListParagraph"/>
        <w:widowControl/>
        <w:numPr>
          <w:ilvl w:val="0"/>
          <w:numId w:val="4"/>
        </w:numPr>
        <w:tabs>
          <w:tab w:val="clear" w:pos="720"/>
          <w:tab w:val="center" w:pos="4153" w:leader="none"/>
          <w:tab w:val="right" w:pos="8306" w:leader="none"/>
        </w:tabs>
        <w:spacing w:lineRule="auto" w:line="240" w:before="120" w:after="0"/>
        <w:ind w:left="446" w:right="0" w:hanging="360"/>
        <w:rPr/>
      </w:pPr>
      <w:r>
        <w:rPr/>
        <w:t xml:space="preserve">Develop and maintain an internal Risk Register’s. </w:t>
      </w:r>
    </w:p>
    <w:p>
      <w:pPr>
        <w:pStyle w:val="ListParagraph"/>
        <w:widowControl/>
        <w:numPr>
          <w:ilvl w:val="0"/>
          <w:numId w:val="4"/>
        </w:numPr>
        <w:tabs>
          <w:tab w:val="clear" w:pos="720"/>
          <w:tab w:val="center" w:pos="4153" w:leader="none"/>
          <w:tab w:val="right" w:pos="8306" w:leader="none"/>
        </w:tabs>
        <w:spacing w:lineRule="auto" w:line="240" w:before="120" w:after="0"/>
        <w:ind w:left="446" w:right="0" w:hanging="360"/>
        <w:rPr/>
      </w:pPr>
      <w:r>
        <w:rPr/>
        <w:t>Agree payments with providers in line with contractual conditions and liaise with finance to issue payments.</w:t>
      </w:r>
    </w:p>
    <w:p>
      <w:pPr>
        <w:pStyle w:val="ListParagraph"/>
        <w:widowControl/>
        <w:numPr>
          <w:ilvl w:val="0"/>
          <w:numId w:val="4"/>
        </w:numPr>
        <w:tabs>
          <w:tab w:val="clear" w:pos="720"/>
          <w:tab w:val="center" w:pos="4153" w:leader="none"/>
          <w:tab w:val="right" w:pos="8306" w:leader="none"/>
        </w:tabs>
        <w:spacing w:lineRule="auto" w:line="240" w:before="120" w:after="0"/>
        <w:ind w:left="446" w:right="0" w:hanging="360"/>
        <w:rPr/>
      </w:pPr>
      <w:r>
        <w:rPr/>
        <w:t>Working with the commissioned provider lead on driving value for money through the contract.</w:t>
      </w:r>
    </w:p>
    <w:p>
      <w:pPr>
        <w:pStyle w:val="ListParagraph"/>
        <w:widowControl/>
        <w:numPr>
          <w:ilvl w:val="0"/>
          <w:numId w:val="4"/>
        </w:numPr>
        <w:tabs>
          <w:tab w:val="clear" w:pos="720"/>
          <w:tab w:val="center" w:pos="4153" w:leader="none"/>
          <w:tab w:val="right" w:pos="8306" w:leader="none"/>
        </w:tabs>
        <w:spacing w:lineRule="auto" w:line="240" w:before="120" w:after="0"/>
        <w:ind w:left="446" w:right="0" w:hanging="360"/>
        <w:rPr/>
      </w:pPr>
      <w:r>
        <w:rPr/>
        <w:t xml:space="preserve">Lead on procurement arrangements and relationships with the provider. </w:t>
      </w:r>
    </w:p>
    <w:p>
      <w:pPr>
        <w:pStyle w:val="Normal"/>
        <w:tabs>
          <w:tab w:val="clear" w:pos="720"/>
          <w:tab w:val="center" w:pos="4153" w:leader="none"/>
          <w:tab w:val="right" w:pos="8306" w:leader="none"/>
        </w:tabs>
        <w:spacing w:lineRule="auto" w:line="252" w:before="120" w:after="160"/>
        <w:contextualSpacing/>
        <w:rPr/>
      </w:pPr>
      <w:r>
        <w:rPr/>
      </w:r>
    </w:p>
    <w:p>
      <w:pPr>
        <w:pStyle w:val="Normal"/>
        <w:tabs>
          <w:tab w:val="clear" w:pos="720"/>
          <w:tab w:val="center" w:pos="4153" w:leader="none"/>
          <w:tab w:val="right" w:pos="8306" w:leader="none"/>
        </w:tabs>
        <w:spacing w:lineRule="auto" w:line="252" w:before="120" w:after="160"/>
        <w:contextualSpacing/>
        <w:rPr>
          <w:rFonts w:cs="Arial"/>
          <w:b/>
          <w:b/>
        </w:rPr>
      </w:pPr>
      <w:r>
        <w:rPr>
          <w:rFonts w:cs="Arial"/>
          <w:b/>
        </w:rPr>
        <w:t>Working across GMCA’s Programmes and Contracts</w:t>
      </w:r>
    </w:p>
    <w:p>
      <w:pPr>
        <w:pStyle w:val="ListParagraph"/>
        <w:widowControl/>
        <w:numPr>
          <w:ilvl w:val="0"/>
          <w:numId w:val="4"/>
        </w:numPr>
        <w:tabs>
          <w:tab w:val="clear" w:pos="720"/>
          <w:tab w:val="center" w:pos="4153" w:leader="none"/>
          <w:tab w:val="right" w:pos="8306" w:leader="none"/>
        </w:tabs>
        <w:spacing w:lineRule="auto" w:line="240" w:before="120" w:after="0"/>
        <w:ind w:left="446" w:right="0" w:hanging="360"/>
        <w:rPr/>
      </w:pPr>
      <w:r>
        <w:rPr/>
        <w:t>Lead on developing and managing an internal governance approaches to ensure a consistent approach is applied across all commissioned activity.</w:t>
      </w:r>
    </w:p>
    <w:p>
      <w:pPr>
        <w:pStyle w:val="ListParagraph"/>
        <w:widowControl/>
        <w:numPr>
          <w:ilvl w:val="0"/>
          <w:numId w:val="4"/>
        </w:numPr>
        <w:tabs>
          <w:tab w:val="clear" w:pos="720"/>
          <w:tab w:val="center" w:pos="4153" w:leader="none"/>
          <w:tab w:val="right" w:pos="8306" w:leader="none"/>
        </w:tabs>
        <w:spacing w:lineRule="auto" w:line="240" w:before="120" w:after="0"/>
        <w:ind w:left="446" w:right="0" w:hanging="360"/>
        <w:rPr/>
      </w:pPr>
      <w:r>
        <w:rPr/>
        <w:t>Work with Programme Managers in the translation requirements during commissioning and procurement, ensuring that they are correctly applied to all relevant documentation such as procurement, contracting (clauses, schedules) and provider guidance processes.</w:t>
      </w:r>
    </w:p>
    <w:p>
      <w:pPr>
        <w:pStyle w:val="ListParagraph"/>
        <w:widowControl/>
        <w:numPr>
          <w:ilvl w:val="0"/>
          <w:numId w:val="4"/>
        </w:numPr>
        <w:tabs>
          <w:tab w:val="clear" w:pos="720"/>
          <w:tab w:val="center" w:pos="4153" w:leader="none"/>
          <w:tab w:val="right" w:pos="8306" w:leader="none"/>
        </w:tabs>
        <w:spacing w:lineRule="auto" w:line="240" w:before="120" w:after="0"/>
        <w:ind w:left="446" w:right="0" w:hanging="360"/>
        <w:rPr/>
      </w:pPr>
      <w:r>
        <w:rPr/>
        <w:t>Ensure the correct data and evidence is collected by commissioned providers via various sources.</w:t>
      </w:r>
    </w:p>
    <w:p>
      <w:pPr>
        <w:pStyle w:val="ListParagraph"/>
        <w:widowControl/>
        <w:numPr>
          <w:ilvl w:val="0"/>
          <w:numId w:val="4"/>
        </w:numPr>
        <w:tabs>
          <w:tab w:val="clear" w:pos="720"/>
          <w:tab w:val="center" w:pos="4153" w:leader="none"/>
          <w:tab w:val="right" w:pos="8306" w:leader="none"/>
        </w:tabs>
        <w:spacing w:lineRule="auto" w:line="240" w:before="120" w:after="0"/>
        <w:ind w:left="446" w:right="0" w:hanging="360"/>
        <w:rPr/>
      </w:pPr>
      <w:r>
        <w:rPr/>
        <w:t>Ensure all Contract Management activity is carried out in line with GMCA’s Contract Management Framework.</w:t>
      </w:r>
    </w:p>
    <w:p>
      <w:pPr>
        <w:pStyle w:val="ListParagraph"/>
        <w:widowControl/>
        <w:numPr>
          <w:ilvl w:val="0"/>
          <w:numId w:val="4"/>
        </w:numPr>
        <w:tabs>
          <w:tab w:val="clear" w:pos="720"/>
          <w:tab w:val="center" w:pos="4153" w:leader="none"/>
          <w:tab w:val="right" w:pos="8306" w:leader="none"/>
        </w:tabs>
        <w:spacing w:lineRule="auto" w:line="240" w:before="120" w:after="0"/>
        <w:ind w:left="446" w:right="0" w:hanging="360"/>
        <w:rPr/>
      </w:pPr>
      <w:r>
        <w:rPr/>
        <w:t xml:space="preserve">Negotiate, manage and monitor (including financial monitoring) contracts and instigate and manage poor performance procedures where required, in line the Procurement Act 2023. </w:t>
      </w:r>
    </w:p>
    <w:p>
      <w:pPr>
        <w:pStyle w:val="ListParagraph"/>
        <w:widowControl/>
        <w:numPr>
          <w:ilvl w:val="0"/>
          <w:numId w:val="4"/>
        </w:numPr>
        <w:tabs>
          <w:tab w:val="clear" w:pos="720"/>
          <w:tab w:val="center" w:pos="4153" w:leader="none"/>
          <w:tab w:val="right" w:pos="8306" w:leader="none"/>
        </w:tabs>
        <w:spacing w:lineRule="auto" w:line="240" w:before="120" w:after="0"/>
        <w:ind w:left="446" w:right="0" w:hanging="360"/>
        <w:rPr/>
      </w:pPr>
      <w:r>
        <w:rPr/>
        <w:t>Support commissioning activities where required, such as scoring elements of bid submissions and assisting colleagues in Legal and Finance with contract negotiations.</w:t>
      </w:r>
    </w:p>
    <w:p>
      <w:pPr>
        <w:pStyle w:val="Normal"/>
        <w:spacing w:lineRule="auto" w:line="252" w:before="0" w:after="160"/>
        <w:contextualSpacing/>
        <w:rPr/>
      </w:pPr>
      <w:r>
        <w:rPr/>
      </w:r>
    </w:p>
    <w:p>
      <w:pPr>
        <w:pStyle w:val="Normal"/>
        <w:tabs>
          <w:tab w:val="clear" w:pos="720"/>
          <w:tab w:val="center" w:pos="4153" w:leader="none"/>
          <w:tab w:val="right" w:pos="8306" w:leader="none"/>
        </w:tabs>
        <w:spacing w:lineRule="auto" w:line="252" w:before="120" w:after="160"/>
        <w:contextualSpacing/>
        <w:rPr>
          <w:rFonts w:cs="Arial"/>
          <w:b/>
          <w:b/>
        </w:rPr>
      </w:pPr>
      <w:r>
        <w:rPr>
          <w:rFonts w:cs="Arial"/>
          <w:b/>
        </w:rPr>
        <w:t>Staff Management and wider duties</w:t>
      </w:r>
    </w:p>
    <w:p>
      <w:pPr>
        <w:pStyle w:val="ListParagraph"/>
        <w:widowControl/>
        <w:numPr>
          <w:ilvl w:val="0"/>
          <w:numId w:val="4"/>
        </w:numPr>
        <w:tabs>
          <w:tab w:val="clear" w:pos="720"/>
          <w:tab w:val="center" w:pos="4153" w:leader="none"/>
          <w:tab w:val="right" w:pos="8306" w:leader="none"/>
        </w:tabs>
        <w:spacing w:lineRule="auto" w:line="240" w:before="120" w:after="0"/>
        <w:ind w:left="446" w:right="0" w:hanging="360"/>
        <w:rPr/>
      </w:pPr>
      <w:r>
        <w:rPr/>
        <w:t>Responsible for the line management of any relevant Contracts and Performance Managers and Officers.</w:t>
      </w:r>
    </w:p>
    <w:p>
      <w:pPr>
        <w:pStyle w:val="Heading2"/>
        <w:shd w:fill="004F6E" w:val="clear"/>
        <w:rPr>
          <w:rFonts w:cs="Arial"/>
          <w:sz w:val="22"/>
          <w:szCs w:val="22"/>
        </w:rPr>
      </w:pPr>
      <w:r>
        <w:rPr>
          <w:rFonts w:cs="Arial"/>
          <w:sz w:val="22"/>
          <w:szCs w:val="22"/>
        </w:rPr>
        <w:t>Knowledge, Skills, and Experience</w:t>
      </w:r>
    </w:p>
    <w:p>
      <w:pPr>
        <w:pStyle w:val="Normal"/>
        <w:spacing w:before="120" w:after="240"/>
        <w:rPr>
          <w:rFonts w:cs="Arial"/>
          <w:b/>
          <w:b/>
          <w:lang w:eastAsia="en-GB"/>
        </w:rPr>
      </w:pPr>
      <w:r>
        <w:rPr>
          <w:rFonts w:cs="Arial"/>
          <w:b/>
          <w:lang w:eastAsia="en-GB"/>
        </w:rPr>
        <w:t>Experience</w:t>
      </w:r>
    </w:p>
    <w:p>
      <w:pPr>
        <w:pStyle w:val="ListParagraph"/>
        <w:widowControl/>
        <w:numPr>
          <w:ilvl w:val="0"/>
          <w:numId w:val="5"/>
        </w:numPr>
        <w:spacing w:lineRule="auto" w:line="240" w:before="0" w:after="0"/>
        <w:rPr>
          <w:lang w:eastAsia="en-GB"/>
        </w:rPr>
      </w:pPr>
      <w:r>
        <w:rPr>
          <w:lang w:eastAsia="en-GB"/>
        </w:rPr>
        <w:t>Experience of performance and contract management of significant externally funded projects or programmes.</w:t>
      </w:r>
    </w:p>
    <w:p>
      <w:pPr>
        <w:pStyle w:val="ListParagraph"/>
        <w:widowControl/>
        <w:numPr>
          <w:ilvl w:val="0"/>
          <w:numId w:val="5"/>
        </w:numPr>
        <w:spacing w:lineRule="auto" w:line="240" w:before="0" w:after="0"/>
        <w:rPr>
          <w:lang w:eastAsia="en-GB"/>
        </w:rPr>
      </w:pPr>
      <w:r>
        <w:rPr>
          <w:lang w:eastAsia="en-GB"/>
        </w:rPr>
        <w:t>Experience of managing the achievement of contractually agreed outcomes.</w:t>
      </w:r>
    </w:p>
    <w:p>
      <w:pPr>
        <w:pStyle w:val="ListParagraph"/>
        <w:widowControl/>
        <w:numPr>
          <w:ilvl w:val="0"/>
          <w:numId w:val="5"/>
        </w:numPr>
        <w:spacing w:lineRule="auto" w:line="240" w:before="0" w:after="0"/>
        <w:rPr>
          <w:lang w:eastAsia="en-GB"/>
        </w:rPr>
      </w:pPr>
      <w:r>
        <w:rPr>
          <w:lang w:eastAsia="en-GB"/>
        </w:rPr>
        <w:t>Experience of management and monitoring budgets across multiple funding streams.</w:t>
      </w:r>
    </w:p>
    <w:p>
      <w:pPr>
        <w:pStyle w:val="ListParagraph"/>
        <w:widowControl/>
        <w:numPr>
          <w:ilvl w:val="0"/>
          <w:numId w:val="5"/>
        </w:numPr>
        <w:spacing w:lineRule="auto" w:line="240" w:before="0" w:after="0"/>
        <w:rPr>
          <w:lang w:eastAsia="en-GB"/>
        </w:rPr>
      </w:pPr>
      <w:r>
        <w:rPr>
          <w:lang w:eastAsia="en-GB"/>
        </w:rPr>
        <w:t>Experience of managing staff.</w:t>
      </w:r>
    </w:p>
    <w:p>
      <w:pPr>
        <w:pStyle w:val="ListParagraph"/>
        <w:widowControl/>
        <w:numPr>
          <w:ilvl w:val="0"/>
          <w:numId w:val="5"/>
        </w:numPr>
        <w:spacing w:lineRule="auto" w:line="240" w:before="0" w:after="0"/>
        <w:rPr>
          <w:lang w:eastAsia="en-GB"/>
        </w:rPr>
      </w:pPr>
      <w:r>
        <w:rPr>
          <w:lang w:eastAsia="en-GB"/>
        </w:rPr>
        <w:t>Experience of working with various grant funding regimes.</w:t>
      </w:r>
    </w:p>
    <w:p>
      <w:pPr>
        <w:pStyle w:val="ListParagraph"/>
        <w:widowControl/>
        <w:numPr>
          <w:ilvl w:val="0"/>
          <w:numId w:val="5"/>
        </w:numPr>
        <w:spacing w:lineRule="auto" w:line="240" w:before="0" w:after="0"/>
        <w:rPr>
          <w:bCs/>
          <w:lang w:eastAsia="en-GB"/>
        </w:rPr>
      </w:pPr>
      <w:r>
        <w:rPr>
          <w:bCs/>
          <w:lang w:eastAsia="en-GB"/>
        </w:rPr>
        <w:t>Experience of working with MI systems, such as the Department for Educations Individual Learner Record (ILR) system.</w:t>
      </w:r>
    </w:p>
    <w:p>
      <w:pPr>
        <w:pStyle w:val="ListParagraph"/>
        <w:widowControl/>
        <w:numPr>
          <w:ilvl w:val="0"/>
          <w:numId w:val="0"/>
        </w:numPr>
        <w:spacing w:lineRule="auto" w:line="240" w:before="0" w:after="0"/>
        <w:ind w:left="492" w:right="0" w:hanging="0"/>
        <w:rPr>
          <w:b/>
          <w:b/>
          <w:lang w:eastAsia="en-GB"/>
        </w:rPr>
      </w:pPr>
      <w:r>
        <w:rPr>
          <w:b/>
          <w:lang w:eastAsia="en-GB"/>
        </w:rPr>
      </w:r>
    </w:p>
    <w:p>
      <w:pPr>
        <w:pStyle w:val="Normal"/>
        <w:spacing w:before="120" w:after="240"/>
        <w:rPr>
          <w:rFonts w:cs="Arial"/>
          <w:b/>
          <w:b/>
          <w:lang w:eastAsia="en-GB"/>
        </w:rPr>
      </w:pPr>
      <w:r>
        <w:rPr>
          <w:rFonts w:cs="Arial"/>
          <w:b/>
          <w:lang w:eastAsia="en-GB"/>
        </w:rPr>
        <w:t>Knowledge and Skills</w:t>
      </w:r>
    </w:p>
    <w:p>
      <w:pPr>
        <w:pStyle w:val="ListParagraph"/>
        <w:widowControl/>
        <w:numPr>
          <w:ilvl w:val="0"/>
          <w:numId w:val="6"/>
        </w:numPr>
        <w:spacing w:lineRule="auto" w:line="240" w:before="0" w:after="0"/>
        <w:rPr/>
      </w:pPr>
      <w:r>
        <w:rPr>
          <w:lang w:eastAsia="en-GB"/>
        </w:rPr>
        <w:t xml:space="preserve">Thorough knowledge of all aspects of performance and contract management </w:t>
      </w:r>
      <w:r>
        <w:rPr/>
        <w:t>including an understanding of the requirements of Government funding</w:t>
      </w:r>
      <w:r>
        <w:rPr>
          <w:lang w:eastAsia="en-GB"/>
        </w:rPr>
        <w:t>.</w:t>
      </w:r>
    </w:p>
    <w:p>
      <w:pPr>
        <w:pStyle w:val="ListParagraph"/>
        <w:widowControl/>
        <w:numPr>
          <w:ilvl w:val="0"/>
          <w:numId w:val="6"/>
        </w:numPr>
        <w:spacing w:lineRule="auto" w:line="240" w:before="0" w:after="0"/>
        <w:rPr>
          <w:lang w:eastAsia="en-GB"/>
        </w:rPr>
      </w:pPr>
      <w:r>
        <w:rPr>
          <w:lang w:eastAsia="en-GB"/>
        </w:rPr>
        <w:t>Knowledge of procurement and contracting practises including the new Procurement Act 2023 .</w:t>
      </w:r>
    </w:p>
    <w:p>
      <w:pPr>
        <w:pStyle w:val="ListParagraph"/>
        <w:widowControl/>
        <w:numPr>
          <w:ilvl w:val="0"/>
          <w:numId w:val="6"/>
        </w:numPr>
        <w:spacing w:lineRule="auto" w:line="240" w:before="0" w:after="0"/>
        <w:rPr>
          <w:lang w:eastAsia="en-GB"/>
        </w:rPr>
      </w:pPr>
      <w:r>
        <w:rPr>
          <w:lang w:eastAsia="en-GB"/>
        </w:rPr>
        <w:t>Ability to understand and manipulate complex data sets, which combine both accounting and project management principles, with a high level of accuracy.</w:t>
      </w:r>
    </w:p>
    <w:p>
      <w:pPr>
        <w:pStyle w:val="ListParagraph"/>
        <w:widowControl/>
        <w:numPr>
          <w:ilvl w:val="0"/>
          <w:numId w:val="6"/>
        </w:numPr>
        <w:spacing w:lineRule="auto" w:line="240" w:before="0" w:after="0"/>
        <w:rPr>
          <w:lang w:eastAsia="en-GB"/>
        </w:rPr>
      </w:pPr>
      <w:r>
        <w:rPr>
          <w:lang w:eastAsia="en-GB"/>
        </w:rPr>
        <w:t>Excellent stakeholder relationship management skills.</w:t>
      </w:r>
    </w:p>
    <w:p>
      <w:pPr>
        <w:pStyle w:val="ListParagraph"/>
        <w:widowControl/>
        <w:numPr>
          <w:ilvl w:val="0"/>
          <w:numId w:val="6"/>
        </w:numPr>
        <w:spacing w:lineRule="auto" w:line="240" w:before="0" w:after="0"/>
        <w:rPr>
          <w:lang w:eastAsia="en-GB"/>
        </w:rPr>
      </w:pPr>
      <w:r>
        <w:rPr>
          <w:lang w:eastAsia="en-GB"/>
        </w:rPr>
        <w:t>Excellent communications skills and ability to negotiate and make decisions to support the development and delivery of programmes.</w:t>
      </w:r>
    </w:p>
    <w:p>
      <w:pPr>
        <w:pStyle w:val="ListParagraph"/>
        <w:widowControl/>
        <w:numPr>
          <w:ilvl w:val="0"/>
          <w:numId w:val="6"/>
        </w:numPr>
        <w:spacing w:lineRule="auto" w:line="240" w:before="0" w:after="0"/>
        <w:rPr>
          <w:lang w:eastAsia="en-GB"/>
        </w:rPr>
      </w:pPr>
      <w:r>
        <w:rPr>
          <w:lang w:eastAsia="en-GB"/>
        </w:rPr>
        <w:t>Ability to translate complex funding rules and apply them to programme delivery, including the development of provider guidance.</w:t>
      </w:r>
    </w:p>
    <w:p>
      <w:pPr>
        <w:pStyle w:val="ListParagraph"/>
        <w:widowControl/>
        <w:numPr>
          <w:ilvl w:val="0"/>
          <w:numId w:val="6"/>
        </w:numPr>
        <w:spacing w:lineRule="auto" w:line="240" w:before="0" w:after="0"/>
        <w:rPr>
          <w:lang w:eastAsia="en-GB"/>
        </w:rPr>
      </w:pPr>
      <w:r>
        <w:rPr>
          <w:lang w:eastAsia="en-GB"/>
        </w:rPr>
        <w:t>Understanding of audit and verification processes relating to contracts and funding streams</w:t>
      </w:r>
    </w:p>
    <w:p>
      <w:pPr>
        <w:pStyle w:val="ListParagraph"/>
        <w:widowControl/>
        <w:numPr>
          <w:ilvl w:val="0"/>
          <w:numId w:val="6"/>
        </w:numPr>
        <w:spacing w:lineRule="auto" w:line="240" w:before="0" w:after="0"/>
        <w:rPr>
          <w:lang w:eastAsia="en-GB"/>
        </w:rPr>
      </w:pPr>
      <w:r>
        <w:rPr>
          <w:lang w:eastAsia="en-GB"/>
        </w:rPr>
        <w:t>Ability to report the performance of projects/performance to various audiences, internal and external both in verbally and in writing.</w:t>
      </w:r>
    </w:p>
    <w:p>
      <w:pPr>
        <w:pStyle w:val="ListParagraph"/>
        <w:widowControl/>
        <w:numPr>
          <w:ilvl w:val="0"/>
          <w:numId w:val="6"/>
        </w:numPr>
        <w:spacing w:lineRule="auto" w:line="240" w:before="0" w:after="0"/>
        <w:rPr>
          <w:lang w:eastAsia="en-GB"/>
        </w:rPr>
      </w:pPr>
      <w:r>
        <w:rPr>
          <w:lang w:eastAsia="en-GB"/>
        </w:rPr>
        <w:t>Strong IT skills including Microsoft Excel spreadsheets.</w:t>
      </w:r>
    </w:p>
    <w:p>
      <w:pPr>
        <w:pStyle w:val="Heading2"/>
        <w:shd w:fill="004F6E" w:val="clear"/>
        <w:rPr>
          <w:rFonts w:cs="Arial"/>
          <w:sz w:val="22"/>
          <w:szCs w:val="22"/>
        </w:rPr>
      </w:pPr>
      <w:r>
        <w:rPr>
          <w:rFonts w:cs="Arial"/>
          <w:sz w:val="22"/>
          <w:szCs w:val="22"/>
        </w:rPr>
        <w:t>Corporate Duties</w:t>
      </w:r>
    </w:p>
    <w:p>
      <w:pPr>
        <w:pStyle w:val="Normal"/>
        <w:rPr/>
      </w:pPr>
      <w:r>
        <w:rPr>
          <w:rFonts w:cs="Arial"/>
          <w:i/>
          <w:iCs/>
          <w:sz w:val="22"/>
        </w:rPr>
        <w:t>Do not behave in way which discriminates against your fellow employees, or potential</w:t>
      </w:r>
      <w:r>
        <w:rPr>
          <w:rFonts w:cs="Arial"/>
          <w:i/>
          <w:iCs/>
          <w:spacing w:val="1"/>
          <w:sz w:val="22"/>
        </w:rPr>
        <w:t xml:space="preserve"> </w:t>
      </w:r>
      <w:r>
        <w:rPr>
          <w:rFonts w:cs="Arial"/>
          <w:i/>
          <w:iCs/>
          <w:sz w:val="22"/>
        </w:rPr>
        <w:t>employees on the grounds of their sex, sexual orientation, marital status, race, religion,</w:t>
      </w:r>
      <w:r>
        <w:rPr>
          <w:rFonts w:cs="Arial"/>
          <w:i/>
          <w:iCs/>
          <w:spacing w:val="-59"/>
          <w:sz w:val="22"/>
        </w:rPr>
        <w:t xml:space="preserve"> </w:t>
      </w:r>
      <w:r>
        <w:rPr>
          <w:rFonts w:cs="Arial"/>
          <w:i/>
          <w:iCs/>
          <w:sz w:val="22"/>
        </w:rPr>
        <w:t>creed,</w:t>
      </w:r>
      <w:r>
        <w:rPr>
          <w:rFonts w:cs="Arial"/>
          <w:i/>
          <w:iCs/>
          <w:spacing w:val="-2"/>
          <w:sz w:val="22"/>
        </w:rPr>
        <w:t xml:space="preserve"> </w:t>
      </w:r>
      <w:r>
        <w:rPr>
          <w:rFonts w:cs="Arial"/>
          <w:i/>
          <w:iCs/>
          <w:sz w:val="22"/>
        </w:rPr>
        <w:t>colour,</w:t>
      </w:r>
      <w:r>
        <w:rPr>
          <w:rFonts w:cs="Arial"/>
          <w:i/>
          <w:iCs/>
          <w:spacing w:val="2"/>
          <w:sz w:val="22"/>
        </w:rPr>
        <w:t xml:space="preserve"> </w:t>
      </w:r>
      <w:r>
        <w:rPr>
          <w:rFonts w:cs="Arial"/>
          <w:i/>
          <w:iCs/>
          <w:sz w:val="22"/>
        </w:rPr>
        <w:t>nationality,</w:t>
      </w:r>
      <w:r>
        <w:rPr>
          <w:rFonts w:cs="Arial"/>
          <w:i/>
          <w:iCs/>
          <w:spacing w:val="2"/>
          <w:sz w:val="22"/>
        </w:rPr>
        <w:t xml:space="preserve"> </w:t>
      </w:r>
      <w:r>
        <w:rPr>
          <w:rFonts w:cs="Arial"/>
          <w:i/>
          <w:iCs/>
          <w:sz w:val="22"/>
        </w:rPr>
        <w:t>ethnic</w:t>
      </w:r>
      <w:r>
        <w:rPr>
          <w:rFonts w:cs="Arial"/>
          <w:i/>
          <w:iCs/>
          <w:spacing w:val="1"/>
          <w:sz w:val="22"/>
        </w:rPr>
        <w:t xml:space="preserve"> </w:t>
      </w:r>
      <w:r>
        <w:rPr>
          <w:rFonts w:cs="Arial"/>
          <w:i/>
          <w:iCs/>
          <w:sz w:val="22"/>
        </w:rPr>
        <w:t>origin</w:t>
      </w:r>
      <w:r>
        <w:rPr>
          <w:rFonts w:cs="Arial"/>
          <w:i/>
          <w:iCs/>
          <w:spacing w:val="1"/>
          <w:sz w:val="22"/>
        </w:rPr>
        <w:t xml:space="preserve"> </w:t>
      </w:r>
      <w:r>
        <w:rPr>
          <w:rFonts w:cs="Arial"/>
          <w:i/>
          <w:iCs/>
          <w:sz w:val="22"/>
        </w:rPr>
        <w:t>or</w:t>
      </w:r>
      <w:r>
        <w:rPr>
          <w:rFonts w:cs="Arial"/>
          <w:i/>
          <w:iCs/>
          <w:spacing w:val="-2"/>
          <w:sz w:val="22"/>
        </w:rPr>
        <w:t xml:space="preserve"> </w:t>
      </w:r>
      <w:r>
        <w:rPr>
          <w:rFonts w:cs="Arial"/>
          <w:i/>
          <w:iCs/>
          <w:sz w:val="22"/>
        </w:rPr>
        <w:t>disability.</w:t>
      </w:r>
    </w:p>
    <w:p>
      <w:pPr>
        <w:pStyle w:val="Normal"/>
        <w:rPr/>
      </w:pPr>
      <w:r>
        <w:rPr>
          <w:rFonts w:cs="Arial"/>
          <w:i/>
          <w:iCs/>
          <w:sz w:val="22"/>
        </w:rPr>
        <w:t xml:space="preserve">Safeguard at all times confidentiality of information relating to staff and pensioners. </w:t>
      </w:r>
      <w:r>
        <w:rPr>
          <w:rFonts w:cs="Arial"/>
          <w:i/>
          <w:iCs/>
          <w:spacing w:val="-59"/>
          <w:sz w:val="22"/>
        </w:rPr>
        <w:t xml:space="preserve"> </w:t>
      </w:r>
      <w:r>
        <w:rPr>
          <w:rFonts w:cs="Arial"/>
          <w:i/>
          <w:iCs/>
          <w:sz w:val="22"/>
        </w:rPr>
        <w:t>Refrain</w:t>
      </w:r>
      <w:r>
        <w:rPr>
          <w:rFonts w:cs="Arial"/>
          <w:i/>
          <w:iCs/>
          <w:spacing w:val="-3"/>
          <w:sz w:val="22"/>
        </w:rPr>
        <w:t xml:space="preserve"> </w:t>
      </w:r>
      <w:r>
        <w:rPr>
          <w:rFonts w:cs="Arial"/>
          <w:i/>
          <w:iCs/>
          <w:sz w:val="22"/>
        </w:rPr>
        <w:t>from</w:t>
      </w:r>
      <w:r>
        <w:rPr>
          <w:rFonts w:cs="Arial"/>
          <w:i/>
          <w:iCs/>
          <w:spacing w:val="2"/>
          <w:sz w:val="22"/>
        </w:rPr>
        <w:t xml:space="preserve"> </w:t>
      </w:r>
      <w:r>
        <w:rPr>
          <w:rFonts w:cs="Arial"/>
          <w:i/>
          <w:iCs/>
          <w:sz w:val="22"/>
        </w:rPr>
        <w:t>smoking</w:t>
      </w:r>
      <w:r>
        <w:rPr>
          <w:rFonts w:cs="Arial"/>
          <w:i/>
          <w:iCs/>
          <w:spacing w:val="4"/>
          <w:sz w:val="22"/>
        </w:rPr>
        <w:t xml:space="preserve"> </w:t>
      </w:r>
      <w:r>
        <w:rPr>
          <w:rFonts w:cs="Arial"/>
          <w:i/>
          <w:iCs/>
          <w:sz w:val="22"/>
        </w:rPr>
        <w:t>in</w:t>
      </w:r>
      <w:r>
        <w:rPr>
          <w:rFonts w:cs="Arial"/>
          <w:i/>
          <w:iCs/>
          <w:spacing w:val="-5"/>
          <w:sz w:val="22"/>
        </w:rPr>
        <w:t xml:space="preserve"> </w:t>
      </w:r>
      <w:r>
        <w:rPr>
          <w:rFonts w:cs="Arial"/>
          <w:i/>
          <w:iCs/>
          <w:sz w:val="22"/>
        </w:rPr>
        <w:t>any</w:t>
      </w:r>
      <w:r>
        <w:rPr>
          <w:rFonts w:cs="Arial"/>
          <w:i/>
          <w:iCs/>
          <w:spacing w:val="-1"/>
          <w:sz w:val="22"/>
        </w:rPr>
        <w:t xml:space="preserve"> </w:t>
      </w:r>
      <w:r>
        <w:rPr>
          <w:rFonts w:cs="Arial"/>
          <w:i/>
          <w:iCs/>
          <w:sz w:val="22"/>
        </w:rPr>
        <w:t>areas</w:t>
      </w:r>
      <w:r>
        <w:rPr>
          <w:rFonts w:cs="Arial"/>
          <w:i/>
          <w:iCs/>
          <w:spacing w:val="1"/>
          <w:sz w:val="22"/>
        </w:rPr>
        <w:t xml:space="preserve"> </w:t>
      </w:r>
      <w:r>
        <w:rPr>
          <w:rFonts w:cs="Arial"/>
          <w:i/>
          <w:iCs/>
          <w:sz w:val="22"/>
        </w:rPr>
        <w:t>of</w:t>
      </w:r>
      <w:r>
        <w:rPr>
          <w:rFonts w:cs="Arial"/>
          <w:i/>
          <w:iCs/>
          <w:spacing w:val="1"/>
          <w:sz w:val="22"/>
        </w:rPr>
        <w:t xml:space="preserve"> </w:t>
      </w:r>
      <w:r>
        <w:rPr>
          <w:rFonts w:cs="Arial"/>
          <w:i/>
          <w:iCs/>
          <w:sz w:val="22"/>
        </w:rPr>
        <w:t>Service</w:t>
      </w:r>
      <w:r>
        <w:rPr>
          <w:rFonts w:cs="Arial"/>
          <w:i/>
          <w:iCs/>
          <w:spacing w:val="1"/>
          <w:sz w:val="22"/>
        </w:rPr>
        <w:t xml:space="preserve"> </w:t>
      </w:r>
      <w:r>
        <w:rPr>
          <w:rFonts w:cs="Arial"/>
          <w:i/>
          <w:iCs/>
          <w:sz w:val="22"/>
        </w:rPr>
        <w:t>premises.</w:t>
      </w:r>
    </w:p>
    <w:p>
      <w:pPr>
        <w:pStyle w:val="Normal"/>
        <w:rPr/>
      </w:pPr>
      <w:r>
        <w:rPr>
          <w:rFonts w:cs="Arial"/>
          <w:i/>
          <w:iCs/>
          <w:sz w:val="22"/>
        </w:rPr>
        <w:t>Behave in a manner that ensures the security of property and resources.</w:t>
      </w:r>
      <w:r>
        <w:rPr>
          <w:rFonts w:cs="Arial"/>
          <w:i/>
          <w:iCs/>
          <w:spacing w:val="-59"/>
          <w:sz w:val="22"/>
        </w:rPr>
        <w:t xml:space="preserve"> </w:t>
      </w:r>
      <w:r>
        <w:rPr>
          <w:rFonts w:cs="Arial"/>
          <w:i/>
          <w:iCs/>
          <w:sz w:val="22"/>
        </w:rPr>
        <w:t>Abide</w:t>
      </w:r>
      <w:r>
        <w:rPr>
          <w:rFonts w:cs="Arial"/>
          <w:i/>
          <w:iCs/>
          <w:spacing w:val="-1"/>
          <w:sz w:val="22"/>
        </w:rPr>
        <w:t xml:space="preserve"> </w:t>
      </w:r>
      <w:r>
        <w:rPr>
          <w:rFonts w:cs="Arial"/>
          <w:i/>
          <w:iCs/>
          <w:sz w:val="22"/>
        </w:rPr>
        <w:t>by</w:t>
      </w:r>
      <w:r>
        <w:rPr>
          <w:rFonts w:cs="Arial"/>
          <w:i/>
          <w:iCs/>
          <w:spacing w:val="-2"/>
          <w:sz w:val="22"/>
        </w:rPr>
        <w:t xml:space="preserve"> </w:t>
      </w:r>
      <w:r>
        <w:rPr>
          <w:rFonts w:cs="Arial"/>
          <w:i/>
          <w:iCs/>
          <w:sz w:val="22"/>
        </w:rPr>
        <w:t>all relevant</w:t>
      </w:r>
      <w:r>
        <w:rPr>
          <w:rFonts w:cs="Arial"/>
          <w:i/>
          <w:iCs/>
          <w:spacing w:val="1"/>
          <w:sz w:val="22"/>
        </w:rPr>
        <w:t xml:space="preserve"> </w:t>
      </w:r>
      <w:r>
        <w:rPr>
          <w:rFonts w:cs="Arial"/>
          <w:i/>
          <w:iCs/>
          <w:sz w:val="22"/>
        </w:rPr>
        <w:t>Service</w:t>
      </w:r>
      <w:r>
        <w:rPr>
          <w:rFonts w:cs="Arial"/>
          <w:i/>
          <w:iCs/>
          <w:spacing w:val="1"/>
          <w:sz w:val="22"/>
        </w:rPr>
        <w:t xml:space="preserve"> </w:t>
      </w:r>
      <w:r>
        <w:rPr>
          <w:rFonts w:cs="Arial"/>
          <w:i/>
          <w:iCs/>
          <w:sz w:val="22"/>
        </w:rPr>
        <w:t>Policies and Procedures.</w:t>
      </w:r>
    </w:p>
    <w:p>
      <w:pPr>
        <w:pStyle w:val="Normal"/>
        <w:rPr/>
      </w:pPr>
      <w:r>
        <w:rPr>
          <w:rFonts w:cs="Arial"/>
          <w:b/>
          <w:bCs/>
          <w:i/>
          <w:iCs/>
          <w:sz w:val="22"/>
        </w:rPr>
        <w:t>Records Management / Data Protection</w:t>
      </w:r>
      <w:r>
        <w:rPr>
          <w:rFonts w:cs="Arial"/>
          <w:i/>
          <w:iCs/>
          <w:sz w:val="22"/>
        </w:rPr>
        <w:t xml:space="preserve"> - As an employee of the GMCA, you have a legal</w:t>
      </w:r>
      <w:r>
        <w:rPr>
          <w:rFonts w:cs="Arial"/>
          <w:i/>
          <w:iCs/>
          <w:spacing w:val="1"/>
          <w:sz w:val="22"/>
        </w:rPr>
        <w:t xml:space="preserve"> </w:t>
      </w:r>
      <w:r>
        <w:rPr>
          <w:rFonts w:cs="Arial"/>
          <w:i/>
          <w:iCs/>
          <w:spacing w:val="-1"/>
          <w:sz w:val="22"/>
        </w:rPr>
        <w:t>responsibility</w:t>
      </w:r>
      <w:r>
        <w:rPr>
          <w:rFonts w:cs="Arial"/>
          <w:i/>
          <w:iCs/>
          <w:spacing w:val="-16"/>
          <w:sz w:val="22"/>
        </w:rPr>
        <w:t xml:space="preserve"> </w:t>
      </w:r>
      <w:r>
        <w:rPr>
          <w:rFonts w:cs="Arial"/>
          <w:i/>
          <w:iCs/>
          <w:spacing w:val="-1"/>
          <w:sz w:val="22"/>
        </w:rPr>
        <w:t>for</w:t>
      </w:r>
      <w:r>
        <w:rPr>
          <w:rFonts w:cs="Arial"/>
          <w:i/>
          <w:iCs/>
          <w:spacing w:val="-15"/>
          <w:sz w:val="22"/>
        </w:rPr>
        <w:t xml:space="preserve"> </w:t>
      </w:r>
      <w:r>
        <w:rPr>
          <w:rFonts w:cs="Arial"/>
          <w:i/>
          <w:iCs/>
          <w:spacing w:val="-1"/>
          <w:sz w:val="22"/>
        </w:rPr>
        <w:t>all</w:t>
      </w:r>
      <w:r>
        <w:rPr>
          <w:rFonts w:cs="Arial"/>
          <w:i/>
          <w:iCs/>
          <w:spacing w:val="-14"/>
          <w:sz w:val="22"/>
        </w:rPr>
        <w:t xml:space="preserve"> </w:t>
      </w:r>
      <w:r>
        <w:rPr>
          <w:rFonts w:cs="Arial"/>
          <w:i/>
          <w:iCs/>
          <w:spacing w:val="-1"/>
          <w:sz w:val="22"/>
        </w:rPr>
        <w:t>records</w:t>
      </w:r>
      <w:r>
        <w:rPr>
          <w:rFonts w:cs="Arial"/>
          <w:i/>
          <w:iCs/>
          <w:spacing w:val="-13"/>
          <w:sz w:val="22"/>
        </w:rPr>
        <w:t xml:space="preserve"> </w:t>
      </w:r>
      <w:r>
        <w:rPr>
          <w:rFonts w:cs="Arial"/>
          <w:i/>
          <w:iCs/>
          <w:sz w:val="22"/>
        </w:rPr>
        <w:t>(including</w:t>
      </w:r>
      <w:r>
        <w:rPr>
          <w:rFonts w:cs="Arial"/>
          <w:i/>
          <w:iCs/>
          <w:spacing w:val="-11"/>
          <w:sz w:val="22"/>
        </w:rPr>
        <w:t xml:space="preserve"> </w:t>
      </w:r>
      <w:r>
        <w:rPr>
          <w:rFonts w:cs="Arial"/>
          <w:i/>
          <w:iCs/>
          <w:sz w:val="22"/>
        </w:rPr>
        <w:t>employee</w:t>
      </w:r>
      <w:r>
        <w:rPr>
          <w:rFonts w:cs="Arial"/>
          <w:i/>
          <w:iCs/>
          <w:spacing w:val="-13"/>
          <w:sz w:val="22"/>
        </w:rPr>
        <w:t xml:space="preserve"> </w:t>
      </w:r>
      <w:r>
        <w:rPr>
          <w:rFonts w:cs="Arial"/>
          <w:i/>
          <w:iCs/>
          <w:sz w:val="22"/>
        </w:rPr>
        <w:t>health,</w:t>
      </w:r>
      <w:r>
        <w:rPr>
          <w:rFonts w:cs="Arial"/>
          <w:i/>
          <w:iCs/>
          <w:spacing w:val="-15"/>
          <w:sz w:val="22"/>
        </w:rPr>
        <w:t xml:space="preserve"> </w:t>
      </w:r>
      <w:r>
        <w:rPr>
          <w:rFonts w:cs="Arial"/>
          <w:i/>
          <w:iCs/>
          <w:sz w:val="22"/>
        </w:rPr>
        <w:t>financial,</w:t>
      </w:r>
      <w:r>
        <w:rPr>
          <w:rFonts w:cs="Arial"/>
          <w:i/>
          <w:iCs/>
          <w:spacing w:val="-14"/>
          <w:sz w:val="22"/>
        </w:rPr>
        <w:t xml:space="preserve"> </w:t>
      </w:r>
      <w:r>
        <w:rPr>
          <w:rFonts w:cs="Arial"/>
          <w:i/>
          <w:iCs/>
          <w:sz w:val="22"/>
        </w:rPr>
        <w:t>personal</w:t>
      </w:r>
      <w:r>
        <w:rPr>
          <w:rFonts w:cs="Arial"/>
          <w:i/>
          <w:iCs/>
          <w:spacing w:val="-17"/>
          <w:sz w:val="22"/>
        </w:rPr>
        <w:t xml:space="preserve"> </w:t>
      </w:r>
      <w:r>
        <w:rPr>
          <w:rFonts w:cs="Arial"/>
          <w:i/>
          <w:iCs/>
          <w:sz w:val="22"/>
        </w:rPr>
        <w:t>and</w:t>
      </w:r>
      <w:r>
        <w:rPr>
          <w:rFonts w:cs="Arial"/>
          <w:i/>
          <w:iCs/>
          <w:spacing w:val="-13"/>
          <w:sz w:val="22"/>
        </w:rPr>
        <w:t xml:space="preserve"> </w:t>
      </w:r>
      <w:r>
        <w:rPr>
          <w:rFonts w:cs="Arial"/>
          <w:i/>
          <w:iCs/>
          <w:sz w:val="22"/>
        </w:rPr>
        <w:t>administrative)</w:t>
      </w:r>
      <w:r>
        <w:rPr>
          <w:rFonts w:cs="Arial"/>
          <w:i/>
          <w:iCs/>
          <w:spacing w:val="-58"/>
          <w:sz w:val="22"/>
        </w:rPr>
        <w:t xml:space="preserve"> </w:t>
      </w:r>
      <w:r>
        <w:rPr>
          <w:rFonts w:cs="Arial"/>
          <w:i/>
          <w:iCs/>
          <w:sz w:val="22"/>
        </w:rPr>
        <w:t>that you gather or use as part of your work with the Service. The records may be paper,</w:t>
      </w:r>
      <w:r>
        <w:rPr>
          <w:rFonts w:cs="Arial"/>
          <w:i/>
          <w:iCs/>
          <w:spacing w:val="1"/>
          <w:sz w:val="22"/>
        </w:rPr>
        <w:t xml:space="preserve"> </w:t>
      </w:r>
      <w:r>
        <w:rPr>
          <w:rFonts w:cs="Arial"/>
          <w:i/>
          <w:iCs/>
          <w:sz w:val="22"/>
        </w:rPr>
        <w:t>electronic, audio or videotapes. You must consult your manager if you have any doubt as to</w:t>
      </w:r>
      <w:r>
        <w:rPr>
          <w:rFonts w:cs="Arial"/>
          <w:i/>
          <w:iCs/>
          <w:spacing w:val="1"/>
          <w:sz w:val="22"/>
        </w:rPr>
        <w:t xml:space="preserve"> </w:t>
      </w:r>
      <w:r>
        <w:rPr>
          <w:rFonts w:cs="Arial"/>
          <w:i/>
          <w:iCs/>
          <w:sz w:val="22"/>
        </w:rPr>
        <w:t>the</w:t>
      </w:r>
      <w:r>
        <w:rPr>
          <w:rFonts w:cs="Arial"/>
          <w:i/>
          <w:iCs/>
          <w:spacing w:val="-1"/>
          <w:sz w:val="22"/>
        </w:rPr>
        <w:t xml:space="preserve"> </w:t>
      </w:r>
      <w:r>
        <w:rPr>
          <w:rFonts w:cs="Arial"/>
          <w:i/>
          <w:iCs/>
          <w:sz w:val="22"/>
        </w:rPr>
        <w:t>correct management</w:t>
      </w:r>
      <w:r>
        <w:rPr>
          <w:rFonts w:cs="Arial"/>
          <w:i/>
          <w:iCs/>
          <w:spacing w:val="-2"/>
          <w:sz w:val="22"/>
        </w:rPr>
        <w:t xml:space="preserve"> </w:t>
      </w:r>
      <w:r>
        <w:rPr>
          <w:rFonts w:cs="Arial"/>
          <w:i/>
          <w:iCs/>
          <w:sz w:val="22"/>
        </w:rPr>
        <w:t>of</w:t>
      </w:r>
      <w:r>
        <w:rPr>
          <w:rFonts w:cs="Arial"/>
          <w:i/>
          <w:iCs/>
          <w:spacing w:val="2"/>
          <w:sz w:val="22"/>
        </w:rPr>
        <w:t xml:space="preserve"> </w:t>
      </w:r>
      <w:r>
        <w:rPr>
          <w:rFonts w:cs="Arial"/>
          <w:i/>
          <w:iCs/>
          <w:sz w:val="22"/>
        </w:rPr>
        <w:t>the</w:t>
      </w:r>
      <w:r>
        <w:rPr>
          <w:rFonts w:cs="Arial"/>
          <w:i/>
          <w:iCs/>
          <w:spacing w:val="-3"/>
          <w:sz w:val="22"/>
        </w:rPr>
        <w:t xml:space="preserve"> </w:t>
      </w:r>
      <w:r>
        <w:rPr>
          <w:rFonts w:cs="Arial"/>
          <w:i/>
          <w:iCs/>
          <w:sz w:val="22"/>
        </w:rPr>
        <w:t>records</w:t>
      </w:r>
      <w:r>
        <w:rPr>
          <w:rFonts w:cs="Arial"/>
          <w:i/>
          <w:iCs/>
          <w:spacing w:val="-2"/>
          <w:sz w:val="22"/>
        </w:rPr>
        <w:t xml:space="preserve"> </w:t>
      </w:r>
      <w:r>
        <w:rPr>
          <w:rFonts w:cs="Arial"/>
          <w:i/>
          <w:iCs/>
          <w:sz w:val="22"/>
        </w:rPr>
        <w:t>with</w:t>
      </w:r>
      <w:r>
        <w:rPr>
          <w:rFonts w:cs="Arial"/>
          <w:i/>
          <w:iCs/>
          <w:spacing w:val="1"/>
          <w:sz w:val="22"/>
        </w:rPr>
        <w:t xml:space="preserve"> </w:t>
      </w:r>
      <w:r>
        <w:rPr>
          <w:rFonts w:cs="Arial"/>
          <w:i/>
          <w:iCs/>
          <w:sz w:val="22"/>
        </w:rPr>
        <w:t>which</w:t>
      </w:r>
      <w:r>
        <w:rPr>
          <w:rFonts w:cs="Arial"/>
          <w:i/>
          <w:iCs/>
          <w:spacing w:val="2"/>
          <w:sz w:val="22"/>
        </w:rPr>
        <w:t xml:space="preserve"> </w:t>
      </w:r>
      <w:r>
        <w:rPr>
          <w:rFonts w:cs="Arial"/>
          <w:i/>
          <w:iCs/>
          <w:sz w:val="22"/>
        </w:rPr>
        <w:t>you work.</w:t>
      </w:r>
    </w:p>
    <w:p>
      <w:pPr>
        <w:pStyle w:val="Normal"/>
        <w:rPr/>
      </w:pPr>
      <w:r>
        <w:rPr>
          <w:rFonts w:cs="Arial"/>
          <w:b/>
          <w:bCs/>
          <w:i/>
          <w:iCs/>
          <w:spacing w:val="-1"/>
          <w:sz w:val="22"/>
        </w:rPr>
        <w:t>Confidentiality</w:t>
      </w:r>
      <w:r>
        <w:rPr>
          <w:rFonts w:cs="Arial"/>
          <w:b/>
          <w:bCs/>
          <w:i/>
          <w:iCs/>
          <w:spacing w:val="-15"/>
          <w:sz w:val="22"/>
        </w:rPr>
        <w:t xml:space="preserve"> </w:t>
      </w:r>
      <w:r>
        <w:rPr>
          <w:rFonts w:cs="Arial"/>
          <w:b/>
          <w:bCs/>
          <w:i/>
          <w:iCs/>
          <w:sz w:val="22"/>
        </w:rPr>
        <w:t>and</w:t>
      </w:r>
      <w:r>
        <w:rPr>
          <w:rFonts w:cs="Arial"/>
          <w:b/>
          <w:bCs/>
          <w:i/>
          <w:iCs/>
          <w:spacing w:val="-12"/>
          <w:sz w:val="22"/>
        </w:rPr>
        <w:t xml:space="preserve"> </w:t>
      </w:r>
      <w:r>
        <w:rPr>
          <w:rFonts w:cs="Arial"/>
          <w:b/>
          <w:bCs/>
          <w:i/>
          <w:iCs/>
          <w:sz w:val="22"/>
        </w:rPr>
        <w:t>Information</w:t>
      </w:r>
      <w:r>
        <w:rPr>
          <w:rFonts w:cs="Arial"/>
          <w:b/>
          <w:bCs/>
          <w:i/>
          <w:iCs/>
          <w:spacing w:val="-13"/>
          <w:sz w:val="22"/>
        </w:rPr>
        <w:t xml:space="preserve"> </w:t>
      </w:r>
      <w:r>
        <w:rPr>
          <w:rFonts w:cs="Arial"/>
          <w:b/>
          <w:bCs/>
          <w:i/>
          <w:iCs/>
          <w:sz w:val="22"/>
        </w:rPr>
        <w:t>Security</w:t>
      </w:r>
      <w:r>
        <w:rPr>
          <w:rFonts w:cs="Arial"/>
          <w:i/>
          <w:iCs/>
          <w:spacing w:val="-16"/>
          <w:sz w:val="22"/>
        </w:rPr>
        <w:t xml:space="preserve"> </w:t>
      </w:r>
      <w:r>
        <w:rPr>
          <w:rFonts w:cs="Arial"/>
          <w:i/>
          <w:iCs/>
          <w:sz w:val="22"/>
        </w:rPr>
        <w:t>-</w:t>
      </w:r>
      <w:r>
        <w:rPr>
          <w:rFonts w:cs="Arial"/>
          <w:i/>
          <w:iCs/>
          <w:spacing w:val="-10"/>
          <w:sz w:val="22"/>
        </w:rPr>
        <w:t xml:space="preserve"> </w:t>
      </w:r>
      <w:r>
        <w:rPr>
          <w:rFonts w:cs="Arial"/>
          <w:i/>
          <w:iCs/>
          <w:sz w:val="22"/>
        </w:rPr>
        <w:t>As</w:t>
      </w:r>
      <w:r>
        <w:rPr>
          <w:rFonts w:cs="Arial"/>
          <w:i/>
          <w:iCs/>
          <w:spacing w:val="-11"/>
          <w:sz w:val="22"/>
        </w:rPr>
        <w:t xml:space="preserve"> </w:t>
      </w:r>
      <w:r>
        <w:rPr>
          <w:rFonts w:cs="Arial"/>
          <w:i/>
          <w:iCs/>
          <w:sz w:val="22"/>
        </w:rPr>
        <w:t>a</w:t>
      </w:r>
      <w:r>
        <w:rPr>
          <w:rFonts w:cs="Arial"/>
          <w:i/>
          <w:iCs/>
          <w:spacing w:val="-16"/>
          <w:sz w:val="22"/>
        </w:rPr>
        <w:t xml:space="preserve"> </w:t>
      </w:r>
      <w:r>
        <w:rPr>
          <w:rFonts w:cs="Arial"/>
          <w:i/>
          <w:iCs/>
          <w:sz w:val="22"/>
        </w:rPr>
        <w:t>GMCA</w:t>
      </w:r>
      <w:r>
        <w:rPr>
          <w:rFonts w:cs="Arial"/>
          <w:i/>
          <w:iCs/>
          <w:spacing w:val="-11"/>
          <w:sz w:val="22"/>
        </w:rPr>
        <w:t xml:space="preserve"> </w:t>
      </w:r>
      <w:r>
        <w:rPr>
          <w:rFonts w:cs="Arial"/>
          <w:i/>
          <w:iCs/>
          <w:sz w:val="22"/>
        </w:rPr>
        <w:t>employee</w:t>
      </w:r>
      <w:r>
        <w:rPr>
          <w:rFonts w:cs="Arial"/>
          <w:i/>
          <w:iCs/>
          <w:spacing w:val="-12"/>
          <w:sz w:val="22"/>
        </w:rPr>
        <w:t xml:space="preserve"> </w:t>
      </w:r>
      <w:r>
        <w:rPr>
          <w:rFonts w:cs="Arial"/>
          <w:i/>
          <w:iCs/>
          <w:sz w:val="22"/>
        </w:rPr>
        <w:t>you</w:t>
      </w:r>
      <w:r>
        <w:rPr>
          <w:rFonts w:cs="Arial"/>
          <w:i/>
          <w:iCs/>
          <w:spacing w:val="-12"/>
          <w:sz w:val="22"/>
        </w:rPr>
        <w:t xml:space="preserve"> </w:t>
      </w:r>
      <w:r>
        <w:rPr>
          <w:rFonts w:cs="Arial"/>
          <w:i/>
          <w:iCs/>
          <w:sz w:val="22"/>
        </w:rPr>
        <w:t>are</w:t>
      </w:r>
      <w:r>
        <w:rPr>
          <w:rFonts w:cs="Arial"/>
          <w:i/>
          <w:iCs/>
          <w:spacing w:val="-11"/>
          <w:sz w:val="22"/>
        </w:rPr>
        <w:t xml:space="preserve"> </w:t>
      </w:r>
      <w:r>
        <w:rPr>
          <w:rFonts w:cs="Arial"/>
          <w:i/>
          <w:iCs/>
          <w:sz w:val="22"/>
        </w:rPr>
        <w:t>required</w:t>
      </w:r>
      <w:r>
        <w:rPr>
          <w:rFonts w:cs="Arial"/>
          <w:i/>
          <w:iCs/>
          <w:spacing w:val="-15"/>
          <w:sz w:val="22"/>
        </w:rPr>
        <w:t xml:space="preserve"> </w:t>
      </w:r>
      <w:r>
        <w:rPr>
          <w:rFonts w:cs="Arial"/>
          <w:i/>
          <w:iCs/>
          <w:sz w:val="22"/>
        </w:rPr>
        <w:t>to</w:t>
      </w:r>
      <w:r>
        <w:rPr>
          <w:rFonts w:cs="Arial"/>
          <w:i/>
          <w:iCs/>
          <w:spacing w:val="-12"/>
          <w:sz w:val="22"/>
        </w:rPr>
        <w:t xml:space="preserve"> </w:t>
      </w:r>
      <w:r>
        <w:rPr>
          <w:rFonts w:cs="Arial"/>
          <w:i/>
          <w:iCs/>
          <w:sz w:val="22"/>
        </w:rPr>
        <w:t>uphold</w:t>
      </w:r>
      <w:r>
        <w:rPr>
          <w:rFonts w:cs="Arial"/>
          <w:i/>
          <w:iCs/>
          <w:spacing w:val="-58"/>
          <w:sz w:val="22"/>
        </w:rPr>
        <w:t xml:space="preserve"> </w:t>
      </w:r>
      <w:r>
        <w:rPr>
          <w:rFonts w:cs="Arial"/>
          <w:i/>
          <w:iCs/>
          <w:sz w:val="22"/>
        </w:rPr>
        <w:t>the confidentiality of all records held by the GMCA, whether employee records or GMCA</w:t>
      </w:r>
      <w:r>
        <w:rPr>
          <w:rFonts w:cs="Arial"/>
          <w:i/>
          <w:iCs/>
          <w:spacing w:val="1"/>
          <w:sz w:val="22"/>
        </w:rPr>
        <w:t xml:space="preserve"> </w:t>
      </w:r>
      <w:r>
        <w:rPr>
          <w:rFonts w:cs="Arial"/>
          <w:i/>
          <w:iCs/>
          <w:sz w:val="22"/>
        </w:rPr>
        <w:t>information.</w:t>
      </w:r>
      <w:r>
        <w:rPr>
          <w:rFonts w:cs="Arial"/>
          <w:i/>
          <w:iCs/>
          <w:spacing w:val="1"/>
          <w:sz w:val="22"/>
        </w:rPr>
        <w:t xml:space="preserve"> </w:t>
      </w:r>
      <w:r>
        <w:rPr>
          <w:rFonts w:cs="Arial"/>
          <w:i/>
          <w:iCs/>
          <w:sz w:val="22"/>
        </w:rPr>
        <w:t>This</w:t>
      </w:r>
      <w:r>
        <w:rPr>
          <w:rFonts w:cs="Arial"/>
          <w:i/>
          <w:iCs/>
          <w:spacing w:val="1"/>
          <w:sz w:val="22"/>
        </w:rPr>
        <w:t xml:space="preserve"> </w:t>
      </w:r>
      <w:r>
        <w:rPr>
          <w:rFonts w:cs="Arial"/>
          <w:i/>
          <w:iCs/>
          <w:sz w:val="22"/>
        </w:rPr>
        <w:t>duty</w:t>
      </w:r>
      <w:r>
        <w:rPr>
          <w:rFonts w:cs="Arial"/>
          <w:i/>
          <w:iCs/>
          <w:spacing w:val="1"/>
          <w:sz w:val="22"/>
        </w:rPr>
        <w:t xml:space="preserve"> </w:t>
      </w:r>
      <w:r>
        <w:rPr>
          <w:rFonts w:cs="Arial"/>
          <w:i/>
          <w:iCs/>
          <w:sz w:val="22"/>
        </w:rPr>
        <w:t>lasts</w:t>
      </w:r>
      <w:r>
        <w:rPr>
          <w:rFonts w:cs="Arial"/>
          <w:i/>
          <w:iCs/>
          <w:spacing w:val="1"/>
          <w:sz w:val="22"/>
        </w:rPr>
        <w:t xml:space="preserve"> </w:t>
      </w:r>
      <w:r>
        <w:rPr>
          <w:rFonts w:cs="Arial"/>
          <w:i/>
          <w:iCs/>
          <w:sz w:val="22"/>
        </w:rPr>
        <w:t>indefinitely</w:t>
      </w:r>
      <w:r>
        <w:rPr>
          <w:rFonts w:cs="Arial"/>
          <w:i/>
          <w:iCs/>
          <w:spacing w:val="1"/>
          <w:sz w:val="22"/>
        </w:rPr>
        <w:t xml:space="preserve"> </w:t>
      </w:r>
      <w:r>
        <w:rPr>
          <w:rFonts w:cs="Arial"/>
          <w:i/>
          <w:iCs/>
          <w:sz w:val="22"/>
        </w:rPr>
        <w:t>and</w:t>
      </w:r>
      <w:r>
        <w:rPr>
          <w:rFonts w:cs="Arial"/>
          <w:i/>
          <w:iCs/>
          <w:spacing w:val="1"/>
          <w:sz w:val="22"/>
        </w:rPr>
        <w:t xml:space="preserve"> </w:t>
      </w:r>
      <w:r>
        <w:rPr>
          <w:rFonts w:cs="Arial"/>
          <w:i/>
          <w:iCs/>
          <w:sz w:val="22"/>
        </w:rPr>
        <w:t>will</w:t>
      </w:r>
      <w:r>
        <w:rPr>
          <w:rFonts w:cs="Arial"/>
          <w:i/>
          <w:iCs/>
          <w:spacing w:val="1"/>
          <w:sz w:val="22"/>
        </w:rPr>
        <w:t xml:space="preserve"> </w:t>
      </w:r>
      <w:r>
        <w:rPr>
          <w:rFonts w:cs="Arial"/>
          <w:i/>
          <w:iCs/>
          <w:sz w:val="22"/>
        </w:rPr>
        <w:t>continue</w:t>
      </w:r>
      <w:r>
        <w:rPr>
          <w:rFonts w:cs="Arial"/>
          <w:i/>
          <w:iCs/>
          <w:spacing w:val="1"/>
          <w:sz w:val="22"/>
        </w:rPr>
        <w:t xml:space="preserve"> </w:t>
      </w:r>
      <w:r>
        <w:rPr>
          <w:rFonts w:cs="Arial"/>
          <w:i/>
          <w:iCs/>
          <w:sz w:val="22"/>
        </w:rPr>
        <w:t>after</w:t>
      </w:r>
      <w:r>
        <w:rPr>
          <w:rFonts w:cs="Arial"/>
          <w:i/>
          <w:iCs/>
          <w:spacing w:val="1"/>
          <w:sz w:val="22"/>
        </w:rPr>
        <w:t xml:space="preserve"> </w:t>
      </w:r>
      <w:r>
        <w:rPr>
          <w:rFonts w:cs="Arial"/>
          <w:i/>
          <w:iCs/>
          <w:sz w:val="22"/>
        </w:rPr>
        <w:t>you</w:t>
      </w:r>
      <w:r>
        <w:rPr>
          <w:rFonts w:cs="Arial"/>
          <w:i/>
          <w:iCs/>
          <w:spacing w:val="1"/>
          <w:sz w:val="22"/>
        </w:rPr>
        <w:t xml:space="preserve"> </w:t>
      </w:r>
      <w:r>
        <w:rPr>
          <w:rFonts w:cs="Arial"/>
          <w:i/>
          <w:iCs/>
          <w:sz w:val="22"/>
        </w:rPr>
        <w:t>leave</w:t>
      </w:r>
      <w:r>
        <w:rPr>
          <w:rFonts w:cs="Arial"/>
          <w:i/>
          <w:iCs/>
          <w:spacing w:val="1"/>
          <w:sz w:val="22"/>
        </w:rPr>
        <w:t xml:space="preserve"> </w:t>
      </w:r>
      <w:r>
        <w:rPr>
          <w:rFonts w:cs="Arial"/>
          <w:i/>
          <w:iCs/>
          <w:sz w:val="22"/>
        </w:rPr>
        <w:t>the</w:t>
      </w:r>
      <w:r>
        <w:rPr>
          <w:rFonts w:cs="Arial"/>
          <w:i/>
          <w:iCs/>
          <w:spacing w:val="1"/>
          <w:sz w:val="22"/>
        </w:rPr>
        <w:t xml:space="preserve"> </w:t>
      </w:r>
      <w:r>
        <w:rPr>
          <w:rFonts w:cs="Arial"/>
          <w:i/>
          <w:iCs/>
          <w:sz w:val="22"/>
        </w:rPr>
        <w:t>GMCA</w:t>
      </w:r>
      <w:r>
        <w:rPr>
          <w:rFonts w:cs="Arial"/>
          <w:i/>
          <w:iCs/>
          <w:spacing w:val="1"/>
          <w:sz w:val="22"/>
        </w:rPr>
        <w:t xml:space="preserve"> </w:t>
      </w:r>
      <w:r>
        <w:rPr>
          <w:rFonts w:cs="Arial"/>
          <w:i/>
          <w:iCs/>
          <w:sz w:val="22"/>
        </w:rPr>
        <w:t>employment. All employees must maintain confidentiality and abide by the Data Protection</w:t>
      </w:r>
      <w:r>
        <w:rPr>
          <w:rFonts w:cs="Arial"/>
          <w:i/>
          <w:iCs/>
          <w:spacing w:val="1"/>
          <w:sz w:val="22"/>
        </w:rPr>
        <w:t xml:space="preserve"> </w:t>
      </w:r>
      <w:r>
        <w:rPr>
          <w:rFonts w:cs="Arial"/>
          <w:i/>
          <w:iCs/>
          <w:sz w:val="22"/>
        </w:rPr>
        <w:t>Act.</w:t>
      </w:r>
    </w:p>
    <w:p>
      <w:pPr>
        <w:pStyle w:val="Normal"/>
        <w:rPr/>
      </w:pPr>
      <w:r>
        <w:rPr>
          <w:rFonts w:cs="Arial"/>
          <w:b/>
          <w:bCs/>
          <w:i/>
          <w:iCs/>
          <w:sz w:val="22"/>
        </w:rPr>
        <w:t>Data</w:t>
      </w:r>
      <w:r>
        <w:rPr>
          <w:rFonts w:cs="Arial"/>
          <w:b/>
          <w:bCs/>
          <w:i/>
          <w:iCs/>
          <w:spacing w:val="1"/>
          <w:sz w:val="22"/>
        </w:rPr>
        <w:t xml:space="preserve"> </w:t>
      </w:r>
      <w:r>
        <w:rPr>
          <w:rFonts w:cs="Arial"/>
          <w:b/>
          <w:bCs/>
          <w:i/>
          <w:iCs/>
          <w:sz w:val="22"/>
        </w:rPr>
        <w:t>Quality</w:t>
      </w:r>
      <w:r>
        <w:rPr>
          <w:rFonts w:cs="Arial"/>
          <w:i/>
          <w:iCs/>
          <w:spacing w:val="1"/>
          <w:sz w:val="22"/>
        </w:rPr>
        <w:t xml:space="preserve"> </w:t>
      </w:r>
      <w:r>
        <w:rPr>
          <w:rFonts w:cs="Arial"/>
          <w:i/>
          <w:iCs/>
          <w:sz w:val="22"/>
        </w:rPr>
        <w:t>-</w:t>
      </w:r>
      <w:r>
        <w:rPr>
          <w:rFonts w:cs="Arial"/>
          <w:i/>
          <w:iCs/>
          <w:spacing w:val="1"/>
          <w:sz w:val="22"/>
        </w:rPr>
        <w:t xml:space="preserve"> </w:t>
      </w:r>
      <w:r>
        <w:rPr>
          <w:rFonts w:cs="Arial"/>
          <w:i/>
          <w:iCs/>
          <w:sz w:val="22"/>
        </w:rPr>
        <w:t>All</w:t>
      </w:r>
      <w:r>
        <w:rPr>
          <w:rFonts w:cs="Arial"/>
          <w:i/>
          <w:iCs/>
          <w:spacing w:val="1"/>
          <w:sz w:val="22"/>
        </w:rPr>
        <w:t xml:space="preserve"> </w:t>
      </w:r>
      <w:r>
        <w:rPr>
          <w:rFonts w:cs="Arial"/>
          <w:i/>
          <w:iCs/>
          <w:sz w:val="22"/>
        </w:rPr>
        <w:t>staff</w:t>
      </w:r>
      <w:r>
        <w:rPr>
          <w:rFonts w:cs="Arial"/>
          <w:i/>
          <w:iCs/>
          <w:spacing w:val="1"/>
          <w:sz w:val="22"/>
        </w:rPr>
        <w:t xml:space="preserve"> </w:t>
      </w:r>
      <w:r>
        <w:rPr>
          <w:rFonts w:cs="Arial"/>
          <w:i/>
          <w:iCs/>
          <w:sz w:val="22"/>
        </w:rPr>
        <w:t>are</w:t>
      </w:r>
      <w:r>
        <w:rPr>
          <w:rFonts w:cs="Arial"/>
          <w:i/>
          <w:iCs/>
          <w:spacing w:val="1"/>
          <w:sz w:val="22"/>
        </w:rPr>
        <w:t xml:space="preserve"> </w:t>
      </w:r>
      <w:r>
        <w:rPr>
          <w:rFonts w:cs="Arial"/>
          <w:i/>
          <w:iCs/>
          <w:sz w:val="22"/>
        </w:rPr>
        <w:t>personally</w:t>
      </w:r>
      <w:r>
        <w:rPr>
          <w:rFonts w:cs="Arial"/>
          <w:i/>
          <w:iCs/>
          <w:spacing w:val="1"/>
          <w:sz w:val="22"/>
        </w:rPr>
        <w:t xml:space="preserve"> </w:t>
      </w:r>
      <w:r>
        <w:rPr>
          <w:rFonts w:cs="Arial"/>
          <w:i/>
          <w:iCs/>
          <w:sz w:val="22"/>
        </w:rPr>
        <w:t>responsible</w:t>
      </w:r>
      <w:r>
        <w:rPr>
          <w:rFonts w:cs="Arial"/>
          <w:i/>
          <w:iCs/>
          <w:spacing w:val="1"/>
          <w:sz w:val="22"/>
        </w:rPr>
        <w:t xml:space="preserve"> </w:t>
      </w:r>
      <w:r>
        <w:rPr>
          <w:rFonts w:cs="Arial"/>
          <w:i/>
          <w:iCs/>
          <w:sz w:val="22"/>
        </w:rPr>
        <w:t>for</w:t>
      </w:r>
      <w:r>
        <w:rPr>
          <w:rFonts w:cs="Arial"/>
          <w:i/>
          <w:iCs/>
          <w:spacing w:val="1"/>
          <w:sz w:val="22"/>
        </w:rPr>
        <w:t xml:space="preserve"> </w:t>
      </w:r>
      <w:r>
        <w:rPr>
          <w:rFonts w:cs="Arial"/>
          <w:i/>
          <w:iCs/>
          <w:sz w:val="22"/>
        </w:rPr>
        <w:t>the</w:t>
      </w:r>
      <w:r>
        <w:rPr>
          <w:rFonts w:cs="Arial"/>
          <w:i/>
          <w:iCs/>
          <w:spacing w:val="1"/>
          <w:sz w:val="22"/>
        </w:rPr>
        <w:t xml:space="preserve"> </w:t>
      </w:r>
      <w:r>
        <w:rPr>
          <w:rFonts w:cs="Arial"/>
          <w:i/>
          <w:iCs/>
          <w:sz w:val="22"/>
        </w:rPr>
        <w:t>quality</w:t>
      </w:r>
      <w:r>
        <w:rPr>
          <w:rFonts w:cs="Arial"/>
          <w:i/>
          <w:iCs/>
          <w:spacing w:val="1"/>
          <w:sz w:val="22"/>
        </w:rPr>
        <w:t xml:space="preserve"> </w:t>
      </w:r>
      <w:r>
        <w:rPr>
          <w:rFonts w:cs="Arial"/>
          <w:i/>
          <w:iCs/>
          <w:sz w:val="22"/>
        </w:rPr>
        <w:t>of</w:t>
      </w:r>
      <w:r>
        <w:rPr>
          <w:rFonts w:cs="Arial"/>
          <w:i/>
          <w:iCs/>
          <w:spacing w:val="1"/>
          <w:sz w:val="22"/>
        </w:rPr>
        <w:t xml:space="preserve"> </w:t>
      </w:r>
      <w:r>
        <w:rPr>
          <w:rFonts w:cs="Arial"/>
          <w:i/>
          <w:iCs/>
          <w:sz w:val="22"/>
        </w:rPr>
        <w:t>data</w:t>
      </w:r>
      <w:r>
        <w:rPr>
          <w:rFonts w:cs="Arial"/>
          <w:i/>
          <w:iCs/>
          <w:spacing w:val="1"/>
          <w:sz w:val="22"/>
        </w:rPr>
        <w:t xml:space="preserve"> </w:t>
      </w:r>
      <w:r>
        <w:rPr>
          <w:rFonts w:cs="Arial"/>
          <w:i/>
          <w:iCs/>
          <w:sz w:val="22"/>
        </w:rPr>
        <w:t>entered</w:t>
      </w:r>
      <w:r>
        <w:rPr>
          <w:rFonts w:cs="Arial"/>
          <w:i/>
          <w:iCs/>
          <w:spacing w:val="1"/>
          <w:sz w:val="22"/>
        </w:rPr>
        <w:t xml:space="preserve"> </w:t>
      </w:r>
      <w:r>
        <w:rPr>
          <w:rFonts w:cs="Arial"/>
          <w:i/>
          <w:iCs/>
          <w:sz w:val="22"/>
        </w:rPr>
        <w:t>by</w:t>
      </w:r>
      <w:r>
        <w:rPr>
          <w:rFonts w:cs="Arial"/>
          <w:i/>
          <w:iCs/>
          <w:spacing w:val="1"/>
          <w:sz w:val="22"/>
        </w:rPr>
        <w:t xml:space="preserve"> </w:t>
      </w:r>
      <w:r>
        <w:rPr>
          <w:rFonts w:cs="Arial"/>
          <w:i/>
          <w:iCs/>
          <w:sz w:val="22"/>
        </w:rPr>
        <w:t>themselves, or on their behalf, on GMCAs computerised systems or manual records (paper</w:t>
      </w:r>
      <w:r>
        <w:rPr>
          <w:rFonts w:cs="Arial"/>
          <w:i/>
          <w:iCs/>
          <w:spacing w:val="1"/>
          <w:sz w:val="22"/>
        </w:rPr>
        <w:t xml:space="preserve"> </w:t>
      </w:r>
      <w:r>
        <w:rPr>
          <w:rFonts w:cs="Arial"/>
          <w:i/>
          <w:iCs/>
          <w:sz w:val="22"/>
        </w:rPr>
        <w:t>records) and must ensure that such data is entered accurately and, in a timely manner, to</w:t>
      </w:r>
      <w:r>
        <w:rPr>
          <w:rFonts w:cs="Arial"/>
          <w:i/>
          <w:iCs/>
          <w:spacing w:val="1"/>
          <w:sz w:val="22"/>
        </w:rPr>
        <w:t xml:space="preserve"> </w:t>
      </w:r>
      <w:r>
        <w:rPr>
          <w:rFonts w:cs="Arial"/>
          <w:i/>
          <w:iCs/>
          <w:sz w:val="22"/>
        </w:rPr>
        <w:t>ensure high</w:t>
      </w:r>
      <w:r>
        <w:rPr>
          <w:rFonts w:cs="Arial"/>
          <w:i/>
          <w:iCs/>
          <w:spacing w:val="-3"/>
          <w:sz w:val="22"/>
        </w:rPr>
        <w:t xml:space="preserve"> </w:t>
      </w:r>
      <w:r>
        <w:rPr>
          <w:rFonts w:cs="Arial"/>
          <w:i/>
          <w:iCs/>
          <w:sz w:val="22"/>
        </w:rPr>
        <w:t>standards of data</w:t>
      </w:r>
      <w:r>
        <w:rPr>
          <w:rFonts w:cs="Arial"/>
          <w:i/>
          <w:iCs/>
          <w:spacing w:val="-5"/>
          <w:sz w:val="22"/>
        </w:rPr>
        <w:t xml:space="preserve"> </w:t>
      </w:r>
      <w:r>
        <w:rPr>
          <w:rFonts w:cs="Arial"/>
          <w:i/>
          <w:iCs/>
          <w:sz w:val="22"/>
        </w:rPr>
        <w:t>quality</w:t>
      </w:r>
      <w:r>
        <w:rPr>
          <w:rFonts w:cs="Arial"/>
          <w:i/>
          <w:iCs/>
          <w:spacing w:val="-2"/>
          <w:sz w:val="22"/>
        </w:rPr>
        <w:t xml:space="preserve"> </w:t>
      </w:r>
      <w:r>
        <w:rPr>
          <w:rFonts w:cs="Arial"/>
          <w:i/>
          <w:iCs/>
          <w:sz w:val="22"/>
        </w:rPr>
        <w:t>in accordance with Departmental protocols. To ensure data is handled in a secure manner protecting the confidentiality of any personal</w:t>
      </w:r>
      <w:r>
        <w:rPr>
          <w:rFonts w:cs="Arial"/>
          <w:i/>
          <w:iCs/>
          <w:spacing w:val="1"/>
          <w:sz w:val="22"/>
        </w:rPr>
        <w:t xml:space="preserve"> </w:t>
      </w:r>
      <w:r>
        <w:rPr>
          <w:rFonts w:cs="Arial"/>
          <w:i/>
          <w:iCs/>
          <w:sz w:val="22"/>
        </w:rPr>
        <w:t>data</w:t>
      </w:r>
      <w:r>
        <w:rPr>
          <w:rFonts w:cs="Arial"/>
          <w:i/>
          <w:iCs/>
          <w:spacing w:val="-1"/>
          <w:sz w:val="22"/>
        </w:rPr>
        <w:t xml:space="preserve"> </w:t>
      </w:r>
      <w:r>
        <w:rPr>
          <w:rFonts w:cs="Arial"/>
          <w:i/>
          <w:iCs/>
          <w:sz w:val="22"/>
        </w:rPr>
        <w:t>held in</w:t>
      </w:r>
      <w:r>
        <w:rPr>
          <w:rFonts w:cs="Arial"/>
          <w:i/>
          <w:iCs/>
          <w:spacing w:val="-2"/>
          <w:sz w:val="22"/>
        </w:rPr>
        <w:t xml:space="preserve"> </w:t>
      </w:r>
      <w:r>
        <w:rPr>
          <w:rFonts w:cs="Arial"/>
          <w:i/>
          <w:iCs/>
          <w:sz w:val="22"/>
        </w:rPr>
        <w:t>meeting</w:t>
      </w:r>
      <w:r>
        <w:rPr>
          <w:rFonts w:cs="Arial"/>
          <w:i/>
          <w:iCs/>
          <w:spacing w:val="-1"/>
          <w:sz w:val="22"/>
        </w:rPr>
        <w:t xml:space="preserve"> </w:t>
      </w:r>
      <w:r>
        <w:rPr>
          <w:rFonts w:cs="Arial"/>
          <w:i/>
          <w:iCs/>
          <w:sz w:val="22"/>
        </w:rPr>
        <w:t>the</w:t>
      </w:r>
      <w:r>
        <w:rPr>
          <w:rFonts w:cs="Arial"/>
          <w:i/>
          <w:iCs/>
          <w:spacing w:val="-4"/>
          <w:sz w:val="22"/>
        </w:rPr>
        <w:t xml:space="preserve"> </w:t>
      </w:r>
      <w:r>
        <w:rPr>
          <w:rFonts w:cs="Arial"/>
          <w:i/>
          <w:iCs/>
          <w:sz w:val="22"/>
        </w:rPr>
        <w:t>requirements</w:t>
      </w:r>
      <w:r>
        <w:rPr>
          <w:rFonts w:cs="Arial"/>
          <w:i/>
          <w:iCs/>
          <w:spacing w:val="-1"/>
          <w:sz w:val="22"/>
        </w:rPr>
        <w:t xml:space="preserve"> </w:t>
      </w:r>
      <w:r>
        <w:rPr>
          <w:rFonts w:cs="Arial"/>
          <w:i/>
          <w:iCs/>
          <w:sz w:val="22"/>
        </w:rPr>
        <w:t>of</w:t>
      </w:r>
      <w:r>
        <w:rPr>
          <w:rFonts w:cs="Arial"/>
          <w:i/>
          <w:iCs/>
          <w:spacing w:val="2"/>
          <w:sz w:val="22"/>
        </w:rPr>
        <w:t xml:space="preserve"> </w:t>
      </w:r>
      <w:r>
        <w:rPr>
          <w:rFonts w:cs="Arial"/>
          <w:i/>
          <w:iCs/>
          <w:sz w:val="22"/>
        </w:rPr>
        <w:t>the</w:t>
      </w:r>
      <w:r>
        <w:rPr>
          <w:rFonts w:cs="Arial"/>
          <w:i/>
          <w:iCs/>
          <w:spacing w:val="-3"/>
          <w:sz w:val="22"/>
        </w:rPr>
        <w:t xml:space="preserve"> </w:t>
      </w:r>
      <w:r>
        <w:rPr>
          <w:rFonts w:cs="Arial"/>
          <w:i/>
          <w:iCs/>
          <w:sz w:val="22"/>
        </w:rPr>
        <w:t>Data</w:t>
      </w:r>
      <w:r>
        <w:rPr>
          <w:rFonts w:cs="Arial"/>
          <w:i/>
          <w:iCs/>
          <w:spacing w:val="-1"/>
          <w:sz w:val="22"/>
        </w:rPr>
        <w:t xml:space="preserve"> </w:t>
      </w:r>
      <w:r>
        <w:rPr>
          <w:rFonts w:cs="Arial"/>
          <w:i/>
          <w:iCs/>
          <w:sz w:val="22"/>
        </w:rPr>
        <w:t>Protection</w:t>
      </w:r>
      <w:r>
        <w:rPr>
          <w:rFonts w:cs="Arial"/>
          <w:i/>
          <w:iCs/>
          <w:spacing w:val="1"/>
          <w:sz w:val="22"/>
        </w:rPr>
        <w:t xml:space="preserve"> </w:t>
      </w:r>
      <w:r>
        <w:rPr>
          <w:rFonts w:cs="Arial"/>
          <w:i/>
          <w:iCs/>
          <w:sz w:val="22"/>
        </w:rPr>
        <w:t>Act.</w:t>
      </w:r>
    </w:p>
    <w:p>
      <w:pPr>
        <w:pStyle w:val="Normal"/>
        <w:rPr/>
      </w:pPr>
      <w:r>
        <w:rPr>
          <w:rFonts w:cs="Arial"/>
          <w:b/>
          <w:bCs/>
          <w:i/>
          <w:iCs/>
          <w:sz w:val="22"/>
        </w:rPr>
        <w:t>Health and Safety</w:t>
      </w:r>
      <w:r>
        <w:rPr>
          <w:rFonts w:cs="Arial"/>
          <w:i/>
          <w:iCs/>
          <w:sz w:val="22"/>
        </w:rPr>
        <w:t xml:space="preserve"> - All employees of GMCA have a statutory duty of care for their own</w:t>
      </w:r>
      <w:r>
        <w:rPr>
          <w:rFonts w:cs="Arial"/>
          <w:i/>
          <w:iCs/>
          <w:spacing w:val="1"/>
          <w:sz w:val="22"/>
        </w:rPr>
        <w:t xml:space="preserve"> </w:t>
      </w:r>
      <w:r>
        <w:rPr>
          <w:rFonts w:cs="Arial"/>
          <w:i/>
          <w:iCs/>
          <w:sz w:val="22"/>
        </w:rPr>
        <w:t>personal</w:t>
      </w:r>
      <w:r>
        <w:rPr>
          <w:rFonts w:cs="Arial"/>
          <w:i/>
          <w:iCs/>
          <w:spacing w:val="-9"/>
          <w:sz w:val="22"/>
        </w:rPr>
        <w:t xml:space="preserve"> </w:t>
      </w:r>
      <w:r>
        <w:rPr>
          <w:rFonts w:cs="Arial"/>
          <w:i/>
          <w:iCs/>
          <w:sz w:val="22"/>
        </w:rPr>
        <w:t>safety</w:t>
      </w:r>
      <w:r>
        <w:rPr>
          <w:rFonts w:cs="Arial"/>
          <w:i/>
          <w:iCs/>
          <w:spacing w:val="-9"/>
          <w:sz w:val="22"/>
        </w:rPr>
        <w:t xml:space="preserve"> </w:t>
      </w:r>
      <w:r>
        <w:rPr>
          <w:rFonts w:cs="Arial"/>
          <w:i/>
          <w:iCs/>
          <w:sz w:val="22"/>
        </w:rPr>
        <w:t>and</w:t>
      </w:r>
      <w:r>
        <w:rPr>
          <w:rFonts w:cs="Arial"/>
          <w:i/>
          <w:iCs/>
          <w:spacing w:val="-8"/>
          <w:sz w:val="22"/>
        </w:rPr>
        <w:t xml:space="preserve"> </w:t>
      </w:r>
      <w:r>
        <w:rPr>
          <w:rFonts w:cs="Arial"/>
          <w:i/>
          <w:iCs/>
          <w:sz w:val="22"/>
        </w:rPr>
        <w:t>that</w:t>
      </w:r>
      <w:r>
        <w:rPr>
          <w:rFonts w:cs="Arial"/>
          <w:i/>
          <w:iCs/>
          <w:spacing w:val="-9"/>
          <w:sz w:val="22"/>
        </w:rPr>
        <w:t xml:space="preserve"> </w:t>
      </w:r>
      <w:r>
        <w:rPr>
          <w:rFonts w:cs="Arial"/>
          <w:i/>
          <w:iCs/>
          <w:sz w:val="22"/>
        </w:rPr>
        <w:t>of</w:t>
      </w:r>
      <w:r>
        <w:rPr>
          <w:rFonts w:cs="Arial"/>
          <w:i/>
          <w:iCs/>
          <w:spacing w:val="-3"/>
          <w:sz w:val="22"/>
        </w:rPr>
        <w:t xml:space="preserve"> </w:t>
      </w:r>
      <w:r>
        <w:rPr>
          <w:rFonts w:cs="Arial"/>
          <w:i/>
          <w:iCs/>
          <w:sz w:val="22"/>
        </w:rPr>
        <w:t>others</w:t>
      </w:r>
      <w:r>
        <w:rPr>
          <w:rFonts w:cs="Arial"/>
          <w:i/>
          <w:iCs/>
          <w:spacing w:val="-7"/>
          <w:sz w:val="22"/>
        </w:rPr>
        <w:t xml:space="preserve"> </w:t>
      </w:r>
      <w:r>
        <w:rPr>
          <w:rFonts w:cs="Arial"/>
          <w:i/>
          <w:iCs/>
          <w:sz w:val="22"/>
        </w:rPr>
        <w:t>who</w:t>
      </w:r>
      <w:r>
        <w:rPr>
          <w:rFonts w:cs="Arial"/>
          <w:i/>
          <w:iCs/>
          <w:spacing w:val="-7"/>
          <w:sz w:val="22"/>
        </w:rPr>
        <w:t xml:space="preserve"> </w:t>
      </w:r>
      <w:r>
        <w:rPr>
          <w:rFonts w:cs="Arial"/>
          <w:i/>
          <w:iCs/>
          <w:sz w:val="22"/>
        </w:rPr>
        <w:t>may</w:t>
      </w:r>
      <w:r>
        <w:rPr>
          <w:rFonts w:cs="Arial"/>
          <w:i/>
          <w:iCs/>
          <w:spacing w:val="-10"/>
          <w:sz w:val="22"/>
        </w:rPr>
        <w:t xml:space="preserve"> </w:t>
      </w:r>
      <w:r>
        <w:rPr>
          <w:rFonts w:cs="Arial"/>
          <w:i/>
          <w:iCs/>
          <w:sz w:val="22"/>
        </w:rPr>
        <w:t>be</w:t>
      </w:r>
      <w:r>
        <w:rPr>
          <w:rFonts w:cs="Arial"/>
          <w:i/>
          <w:iCs/>
          <w:spacing w:val="-8"/>
          <w:sz w:val="22"/>
        </w:rPr>
        <w:t xml:space="preserve"> </w:t>
      </w:r>
      <w:r>
        <w:rPr>
          <w:rFonts w:cs="Arial"/>
          <w:i/>
          <w:iCs/>
          <w:sz w:val="22"/>
        </w:rPr>
        <w:t>affected</w:t>
      </w:r>
      <w:r>
        <w:rPr>
          <w:rFonts w:cs="Arial"/>
          <w:i/>
          <w:iCs/>
          <w:spacing w:val="-7"/>
          <w:sz w:val="22"/>
        </w:rPr>
        <w:t xml:space="preserve"> </w:t>
      </w:r>
      <w:r>
        <w:rPr>
          <w:rFonts w:cs="Arial"/>
          <w:i/>
          <w:iCs/>
          <w:sz w:val="22"/>
        </w:rPr>
        <w:t>by</w:t>
      </w:r>
      <w:r>
        <w:rPr>
          <w:rFonts w:cs="Arial"/>
          <w:i/>
          <w:iCs/>
          <w:spacing w:val="-10"/>
          <w:sz w:val="22"/>
        </w:rPr>
        <w:t xml:space="preserve"> </w:t>
      </w:r>
      <w:r>
        <w:rPr>
          <w:rFonts w:cs="Arial"/>
          <w:i/>
          <w:iCs/>
          <w:sz w:val="22"/>
        </w:rPr>
        <w:t>their</w:t>
      </w:r>
      <w:r>
        <w:rPr>
          <w:rFonts w:cs="Arial"/>
          <w:i/>
          <w:iCs/>
          <w:spacing w:val="-6"/>
          <w:sz w:val="22"/>
        </w:rPr>
        <w:t xml:space="preserve"> </w:t>
      </w:r>
      <w:r>
        <w:rPr>
          <w:rFonts w:cs="Arial"/>
          <w:i/>
          <w:iCs/>
          <w:sz w:val="22"/>
        </w:rPr>
        <w:t>acts</w:t>
      </w:r>
      <w:r>
        <w:rPr>
          <w:rFonts w:cs="Arial"/>
          <w:i/>
          <w:iCs/>
          <w:spacing w:val="-7"/>
          <w:sz w:val="22"/>
        </w:rPr>
        <w:t xml:space="preserve"> </w:t>
      </w:r>
      <w:r>
        <w:rPr>
          <w:rFonts w:cs="Arial"/>
          <w:i/>
          <w:iCs/>
          <w:sz w:val="22"/>
        </w:rPr>
        <w:t>or</w:t>
      </w:r>
      <w:r>
        <w:rPr>
          <w:rFonts w:cs="Arial"/>
          <w:i/>
          <w:iCs/>
          <w:spacing w:val="-6"/>
          <w:sz w:val="22"/>
        </w:rPr>
        <w:t xml:space="preserve"> </w:t>
      </w:r>
      <w:r>
        <w:rPr>
          <w:rFonts w:cs="Arial"/>
          <w:i/>
          <w:iCs/>
          <w:sz w:val="22"/>
        </w:rPr>
        <w:t>omissions.</w:t>
      </w:r>
      <w:r>
        <w:rPr>
          <w:rFonts w:cs="Arial"/>
          <w:i/>
          <w:iCs/>
          <w:spacing w:val="-5"/>
          <w:sz w:val="22"/>
        </w:rPr>
        <w:t xml:space="preserve"> </w:t>
      </w:r>
      <w:r>
        <w:rPr>
          <w:rFonts w:cs="Arial"/>
          <w:i/>
          <w:iCs/>
          <w:sz w:val="22"/>
        </w:rPr>
        <w:t>Employees</w:t>
      </w:r>
      <w:r>
        <w:rPr>
          <w:rFonts w:cs="Arial"/>
          <w:i/>
          <w:iCs/>
          <w:spacing w:val="-59"/>
          <w:sz w:val="22"/>
        </w:rPr>
        <w:t xml:space="preserve"> </w:t>
      </w:r>
      <w:r>
        <w:rPr>
          <w:rFonts w:cs="Arial"/>
          <w:i/>
          <w:iCs/>
          <w:sz w:val="22"/>
        </w:rPr>
        <w:t>are required to co-operate with management to enable GMCA to meet its own legal duties</w:t>
      </w:r>
      <w:r>
        <w:rPr>
          <w:rFonts w:cs="Arial"/>
          <w:i/>
          <w:iCs/>
          <w:spacing w:val="1"/>
          <w:sz w:val="22"/>
        </w:rPr>
        <w:t xml:space="preserve"> </w:t>
      </w:r>
      <w:r>
        <w:rPr>
          <w:rFonts w:cs="Arial"/>
          <w:i/>
          <w:iCs/>
          <w:sz w:val="22"/>
        </w:rPr>
        <w:t>and</w:t>
      </w:r>
      <w:r>
        <w:rPr>
          <w:rFonts w:cs="Arial"/>
          <w:i/>
          <w:iCs/>
          <w:spacing w:val="-5"/>
          <w:sz w:val="22"/>
        </w:rPr>
        <w:t xml:space="preserve"> </w:t>
      </w:r>
      <w:r>
        <w:rPr>
          <w:rFonts w:cs="Arial"/>
          <w:i/>
          <w:iCs/>
          <w:sz w:val="22"/>
        </w:rPr>
        <w:t>to</w:t>
      </w:r>
      <w:r>
        <w:rPr>
          <w:rFonts w:cs="Arial"/>
          <w:i/>
          <w:iCs/>
          <w:spacing w:val="-5"/>
          <w:sz w:val="22"/>
        </w:rPr>
        <w:t xml:space="preserve"> </w:t>
      </w:r>
      <w:r>
        <w:rPr>
          <w:rFonts w:cs="Arial"/>
          <w:i/>
          <w:iCs/>
          <w:sz w:val="22"/>
        </w:rPr>
        <w:t>report</w:t>
      </w:r>
      <w:r>
        <w:rPr>
          <w:rFonts w:cs="Arial"/>
          <w:i/>
          <w:iCs/>
          <w:spacing w:val="-4"/>
          <w:sz w:val="22"/>
        </w:rPr>
        <w:t xml:space="preserve"> </w:t>
      </w:r>
      <w:r>
        <w:rPr>
          <w:rFonts w:cs="Arial"/>
          <w:i/>
          <w:iCs/>
          <w:sz w:val="22"/>
        </w:rPr>
        <w:t>any</w:t>
      </w:r>
      <w:r>
        <w:rPr>
          <w:rFonts w:cs="Arial"/>
          <w:i/>
          <w:iCs/>
          <w:spacing w:val="-8"/>
          <w:sz w:val="22"/>
        </w:rPr>
        <w:t xml:space="preserve"> </w:t>
      </w:r>
      <w:r>
        <w:rPr>
          <w:rFonts w:cs="Arial"/>
          <w:i/>
          <w:iCs/>
          <w:sz w:val="22"/>
        </w:rPr>
        <w:t>circumstances</w:t>
      </w:r>
      <w:r>
        <w:rPr>
          <w:rFonts w:cs="Arial"/>
          <w:i/>
          <w:iCs/>
          <w:spacing w:val="-7"/>
          <w:sz w:val="22"/>
        </w:rPr>
        <w:t xml:space="preserve"> </w:t>
      </w:r>
      <w:r>
        <w:rPr>
          <w:rFonts w:cs="Arial"/>
          <w:i/>
          <w:iCs/>
          <w:sz w:val="22"/>
        </w:rPr>
        <w:t>that</w:t>
      </w:r>
      <w:r>
        <w:rPr>
          <w:rFonts w:cs="Arial"/>
          <w:i/>
          <w:iCs/>
          <w:spacing w:val="-5"/>
          <w:sz w:val="22"/>
        </w:rPr>
        <w:t xml:space="preserve"> </w:t>
      </w:r>
      <w:r>
        <w:rPr>
          <w:rFonts w:cs="Arial"/>
          <w:i/>
          <w:iCs/>
          <w:sz w:val="22"/>
        </w:rPr>
        <w:t>may</w:t>
      </w:r>
      <w:r>
        <w:rPr>
          <w:rFonts w:cs="Arial"/>
          <w:i/>
          <w:iCs/>
          <w:spacing w:val="-8"/>
          <w:sz w:val="22"/>
        </w:rPr>
        <w:t xml:space="preserve"> </w:t>
      </w:r>
      <w:r>
        <w:rPr>
          <w:rFonts w:cs="Arial"/>
          <w:i/>
          <w:iCs/>
          <w:sz w:val="22"/>
        </w:rPr>
        <w:t>compromise</w:t>
      </w:r>
      <w:r>
        <w:rPr>
          <w:rFonts w:cs="Arial"/>
          <w:i/>
          <w:iCs/>
          <w:spacing w:val="-4"/>
          <w:sz w:val="22"/>
        </w:rPr>
        <w:t xml:space="preserve"> </w:t>
      </w:r>
      <w:r>
        <w:rPr>
          <w:rFonts w:cs="Arial"/>
          <w:i/>
          <w:iCs/>
          <w:sz w:val="22"/>
        </w:rPr>
        <w:t>the</w:t>
      </w:r>
      <w:r>
        <w:rPr>
          <w:rFonts w:cs="Arial"/>
          <w:i/>
          <w:iCs/>
          <w:spacing w:val="-6"/>
          <w:sz w:val="22"/>
        </w:rPr>
        <w:t xml:space="preserve"> </w:t>
      </w:r>
      <w:r>
        <w:rPr>
          <w:rFonts w:cs="Arial"/>
          <w:i/>
          <w:iCs/>
          <w:sz w:val="22"/>
        </w:rPr>
        <w:t>health,</w:t>
      </w:r>
      <w:r>
        <w:rPr>
          <w:rFonts w:cs="Arial"/>
          <w:i/>
          <w:iCs/>
          <w:spacing w:val="-4"/>
          <w:sz w:val="22"/>
        </w:rPr>
        <w:t xml:space="preserve"> </w:t>
      </w:r>
      <w:r>
        <w:rPr>
          <w:rFonts w:cs="Arial"/>
          <w:i/>
          <w:iCs/>
          <w:sz w:val="22"/>
        </w:rPr>
        <w:t>safety</w:t>
      </w:r>
      <w:r>
        <w:rPr>
          <w:rFonts w:cs="Arial"/>
          <w:i/>
          <w:iCs/>
          <w:spacing w:val="-7"/>
          <w:sz w:val="22"/>
        </w:rPr>
        <w:t xml:space="preserve"> </w:t>
      </w:r>
      <w:r>
        <w:rPr>
          <w:rFonts w:cs="Arial"/>
          <w:i/>
          <w:iCs/>
          <w:sz w:val="22"/>
        </w:rPr>
        <w:t>and</w:t>
      </w:r>
      <w:r>
        <w:rPr>
          <w:rFonts w:cs="Arial"/>
          <w:i/>
          <w:iCs/>
          <w:spacing w:val="-5"/>
          <w:sz w:val="22"/>
        </w:rPr>
        <w:t xml:space="preserve"> </w:t>
      </w:r>
      <w:r>
        <w:rPr>
          <w:rFonts w:cs="Arial"/>
          <w:i/>
          <w:iCs/>
          <w:sz w:val="22"/>
        </w:rPr>
        <w:t>welfare</w:t>
      </w:r>
      <w:r>
        <w:rPr>
          <w:rFonts w:cs="Arial"/>
          <w:i/>
          <w:iCs/>
          <w:spacing w:val="-4"/>
          <w:sz w:val="22"/>
        </w:rPr>
        <w:t xml:space="preserve"> </w:t>
      </w:r>
      <w:r>
        <w:rPr>
          <w:rFonts w:cs="Arial"/>
          <w:i/>
          <w:iCs/>
          <w:sz w:val="22"/>
        </w:rPr>
        <w:t>of</w:t>
      </w:r>
      <w:r>
        <w:rPr>
          <w:rFonts w:cs="Arial"/>
          <w:i/>
          <w:iCs/>
          <w:spacing w:val="-4"/>
          <w:sz w:val="22"/>
        </w:rPr>
        <w:t xml:space="preserve"> </w:t>
      </w:r>
      <w:r>
        <w:rPr>
          <w:rFonts w:cs="Arial"/>
          <w:i/>
          <w:iCs/>
          <w:sz w:val="22"/>
        </w:rPr>
        <w:t>those</w:t>
      </w:r>
      <w:r>
        <w:rPr>
          <w:rFonts w:cs="Arial"/>
          <w:i/>
          <w:iCs/>
          <w:spacing w:val="-59"/>
          <w:sz w:val="22"/>
        </w:rPr>
        <w:t xml:space="preserve"> </w:t>
      </w:r>
      <w:r>
        <w:rPr>
          <w:rFonts w:cs="Arial"/>
          <w:i/>
          <w:iCs/>
          <w:sz w:val="22"/>
        </w:rPr>
        <w:t>affected by</w:t>
      </w:r>
      <w:r>
        <w:rPr>
          <w:rFonts w:cs="Arial"/>
          <w:i/>
          <w:iCs/>
          <w:spacing w:val="-4"/>
          <w:sz w:val="22"/>
        </w:rPr>
        <w:t xml:space="preserve"> </w:t>
      </w:r>
      <w:r>
        <w:rPr>
          <w:rFonts w:cs="Arial"/>
          <w:i/>
          <w:iCs/>
          <w:sz w:val="22"/>
        </w:rPr>
        <w:t>the Service’s</w:t>
      </w:r>
      <w:r>
        <w:rPr>
          <w:rFonts w:cs="Arial"/>
          <w:i/>
          <w:iCs/>
          <w:spacing w:val="2"/>
          <w:sz w:val="22"/>
        </w:rPr>
        <w:t xml:space="preserve"> </w:t>
      </w:r>
      <w:r>
        <w:rPr>
          <w:rFonts w:cs="Arial"/>
          <w:i/>
          <w:iCs/>
          <w:sz w:val="22"/>
        </w:rPr>
        <w:t>undertakings.</w:t>
      </w:r>
    </w:p>
    <w:p>
      <w:pPr>
        <w:pStyle w:val="Normal"/>
        <w:rPr/>
      </w:pPr>
      <w:r>
        <w:rPr>
          <w:rFonts w:cs="Arial"/>
          <w:b/>
          <w:bCs/>
          <w:i/>
          <w:iCs/>
          <w:sz w:val="22"/>
        </w:rPr>
        <w:t>Service Policies</w:t>
      </w:r>
      <w:r>
        <w:rPr>
          <w:rFonts w:cs="Arial"/>
          <w:i/>
          <w:iCs/>
          <w:sz w:val="22"/>
        </w:rPr>
        <w:t xml:space="preserve"> - All GMCA employees must observe and adhere to the provisions outlined</w:t>
      </w:r>
      <w:r>
        <w:rPr>
          <w:rFonts w:cs="Arial"/>
          <w:i/>
          <w:iCs/>
          <w:spacing w:val="-59"/>
          <w:sz w:val="22"/>
        </w:rPr>
        <w:t xml:space="preserve"> </w:t>
      </w:r>
      <w:r>
        <w:rPr>
          <w:rFonts w:cs="Arial"/>
          <w:i/>
          <w:iCs/>
          <w:sz w:val="22"/>
        </w:rPr>
        <w:t>in</w:t>
      </w:r>
      <w:r>
        <w:rPr>
          <w:rFonts w:cs="Arial"/>
          <w:i/>
          <w:iCs/>
          <w:spacing w:val="-1"/>
          <w:sz w:val="22"/>
        </w:rPr>
        <w:t xml:space="preserve"> </w:t>
      </w:r>
      <w:r>
        <w:rPr>
          <w:rFonts w:cs="Arial"/>
          <w:i/>
          <w:iCs/>
          <w:sz w:val="22"/>
        </w:rPr>
        <w:t>these policies.</w:t>
      </w:r>
    </w:p>
    <w:p>
      <w:pPr>
        <w:pStyle w:val="Normal"/>
        <w:widowControl w:val="false"/>
        <w:bidi w:val="0"/>
        <w:spacing w:lineRule="auto" w:line="360" w:before="0" w:after="240"/>
        <w:jc w:val="left"/>
        <w:rPr/>
      </w:pPr>
      <w:r>
        <w:rPr>
          <w:rFonts w:cs="Arial"/>
          <w:b/>
          <w:bCs/>
          <w:i/>
          <w:iCs/>
          <w:sz w:val="22"/>
        </w:rPr>
        <w:t>Equal Opportunities</w:t>
      </w:r>
      <w:r>
        <w:rPr>
          <w:rFonts w:cs="Arial"/>
          <w:i/>
          <w:iCs/>
          <w:sz w:val="22"/>
        </w:rPr>
        <w:t xml:space="preserve"> - GMCA provides a range of services and employment</w:t>
      </w:r>
      <w:r>
        <w:rPr>
          <w:rFonts w:cs="Arial"/>
          <w:i/>
          <w:iCs/>
          <w:spacing w:val="1"/>
          <w:sz w:val="22"/>
        </w:rPr>
        <w:t xml:space="preserve"> </w:t>
      </w:r>
      <w:r>
        <w:rPr>
          <w:rFonts w:cs="Arial"/>
          <w:i/>
          <w:iCs/>
          <w:sz w:val="22"/>
        </w:rPr>
        <w:t xml:space="preserve">opportunities for a diverse population. As a GMCA employee you are expected to treat all </w:t>
      </w:r>
      <w:r>
        <w:rPr>
          <w:rFonts w:cs="Arial"/>
          <w:i/>
          <w:iCs/>
          <w:spacing w:val="-59"/>
          <w:sz w:val="22"/>
        </w:rPr>
        <w:t xml:space="preserve"> </w:t>
      </w:r>
      <w:r>
        <w:rPr>
          <w:rFonts w:cs="Arial"/>
          <w:i/>
          <w:iCs/>
          <w:sz w:val="22"/>
        </w:rPr>
        <w:t>employees / partners / members of the public and work colleagues with dignity and</w:t>
      </w:r>
      <w:r>
        <w:rPr>
          <w:rFonts w:cs="Arial"/>
          <w:i/>
          <w:iCs/>
          <w:spacing w:val="1"/>
          <w:sz w:val="22"/>
        </w:rPr>
        <w:t xml:space="preserve"> </w:t>
      </w:r>
      <w:r>
        <w:rPr>
          <w:rFonts w:cs="Arial"/>
          <w:i/>
          <w:iCs/>
          <w:sz w:val="22"/>
        </w:rPr>
        <w:t>respect</w:t>
      </w:r>
      <w:r>
        <w:rPr>
          <w:rFonts w:cs="Arial"/>
          <w:i/>
          <w:iCs/>
          <w:spacing w:val="-2"/>
          <w:sz w:val="22"/>
        </w:rPr>
        <w:t xml:space="preserve"> </w:t>
      </w:r>
      <w:r>
        <w:rPr>
          <w:rFonts w:cs="Arial"/>
          <w:i/>
          <w:iCs/>
          <w:sz w:val="22"/>
        </w:rPr>
        <w:t>irrespective</w:t>
      </w:r>
      <w:r>
        <w:rPr>
          <w:rFonts w:cs="Arial"/>
          <w:i/>
          <w:iCs/>
          <w:spacing w:val="1"/>
          <w:sz w:val="22"/>
        </w:rPr>
        <w:t xml:space="preserve"> </w:t>
      </w:r>
      <w:r>
        <w:rPr>
          <w:rFonts w:cs="Arial"/>
          <w:i/>
          <w:iCs/>
          <w:sz w:val="22"/>
        </w:rPr>
        <w:t>of</w:t>
      </w:r>
      <w:r>
        <w:rPr>
          <w:rFonts w:cs="Arial"/>
          <w:i/>
          <w:iCs/>
          <w:spacing w:val="2"/>
          <w:sz w:val="22"/>
        </w:rPr>
        <w:t xml:space="preserve"> </w:t>
      </w:r>
      <w:r>
        <w:rPr>
          <w:rFonts w:cs="Arial"/>
          <w:i/>
          <w:iCs/>
          <w:sz w:val="22"/>
        </w:rPr>
        <w:t>their</w:t>
      </w:r>
      <w:r>
        <w:rPr>
          <w:rFonts w:cs="Arial"/>
          <w:i/>
          <w:iCs/>
          <w:spacing w:val="2"/>
          <w:sz w:val="22"/>
        </w:rPr>
        <w:t xml:space="preserve"> </w:t>
      </w:r>
      <w:r>
        <w:rPr>
          <w:rFonts w:cs="Arial"/>
          <w:i/>
          <w:iCs/>
          <w:sz w:val="22"/>
        </w:rPr>
        <w:t>background.</w:t>
      </w:r>
    </w:p>
    <w:sectPr>
      <w:headerReference w:type="default" r:id="rId2"/>
      <w:headerReference w:type="first" r:id="rId3"/>
      <w:footerReference w:type="default" r:id="rId4"/>
      <w:footerReference w:type="first" r:id="rId5"/>
      <w:type w:val="nextPage"/>
      <w:pgSz w:w="11906" w:h="16850"/>
      <w:pgMar w:left="1276" w:right="1410" w:header="709" w:top="1560" w:footer="0" w:bottom="993" w:gutter="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ourier New">
    <w:charset w:val="01"/>
    <w:family w:val="modern"/>
    <w:pitch w:val="default"/>
  </w:font>
  <w:font w:name="Wingdings">
    <w:charset w:val="02"/>
    <w:family w:val="auto"/>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0" w:after="24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0" w:after="24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4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4">
    <w:lvl w:ilvl="0">
      <w:start w:val="1"/>
      <w:numFmt w:val="bullet"/>
      <w:lvlText w:val=""/>
      <w:lvlJc w:val="left"/>
      <w:pPr>
        <w:ind w:left="720" w:hanging="360"/>
      </w:pPr>
      <w:rPr>
        <w:rFonts w:ascii="Symbol" w:hAnsi="Symbol" w:cs="Symbol" w:hint="default"/>
        <w:sz w:val="22"/>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492" w:hanging="360"/>
      </w:pPr>
      <w:rPr>
        <w:rFonts w:ascii="Symbol" w:hAnsi="Symbol" w:cs="Symbol" w:hint="default"/>
        <w:rFonts w:cs="Symbol"/>
      </w:rPr>
    </w:lvl>
    <w:lvl w:ilvl="1">
      <w:start w:val="1"/>
      <w:numFmt w:val="bullet"/>
      <w:lvlText w:val="o"/>
      <w:lvlJc w:val="left"/>
      <w:pPr>
        <w:ind w:left="1212" w:hanging="360"/>
      </w:pPr>
      <w:rPr>
        <w:rFonts w:ascii="Courier New" w:hAnsi="Courier New" w:cs="Courier New" w:hint="default"/>
        <w:rFonts w:cs="Courier New"/>
      </w:rPr>
    </w:lvl>
    <w:lvl w:ilvl="2">
      <w:start w:val="1"/>
      <w:numFmt w:val="bullet"/>
      <w:lvlText w:val=""/>
      <w:lvlJc w:val="left"/>
      <w:pPr>
        <w:ind w:left="1932" w:hanging="360"/>
      </w:pPr>
      <w:rPr>
        <w:rFonts w:ascii="Wingdings" w:hAnsi="Wingdings" w:cs="Wingdings" w:hint="default"/>
        <w:rFonts w:cs="Wingdings"/>
      </w:rPr>
    </w:lvl>
    <w:lvl w:ilvl="3">
      <w:start w:val="1"/>
      <w:numFmt w:val="bullet"/>
      <w:lvlText w:val=""/>
      <w:lvlJc w:val="left"/>
      <w:pPr>
        <w:ind w:left="2652" w:hanging="360"/>
      </w:pPr>
      <w:rPr>
        <w:rFonts w:ascii="Symbol" w:hAnsi="Symbol" w:cs="Symbol" w:hint="default"/>
        <w:rFonts w:cs="Symbol"/>
      </w:rPr>
    </w:lvl>
    <w:lvl w:ilvl="4">
      <w:start w:val="1"/>
      <w:numFmt w:val="bullet"/>
      <w:lvlText w:val="o"/>
      <w:lvlJc w:val="left"/>
      <w:pPr>
        <w:ind w:left="3372" w:hanging="360"/>
      </w:pPr>
      <w:rPr>
        <w:rFonts w:ascii="Courier New" w:hAnsi="Courier New" w:cs="Courier New" w:hint="default"/>
        <w:rFonts w:cs="Courier New"/>
      </w:rPr>
    </w:lvl>
    <w:lvl w:ilvl="5">
      <w:start w:val="1"/>
      <w:numFmt w:val="bullet"/>
      <w:lvlText w:val=""/>
      <w:lvlJc w:val="left"/>
      <w:pPr>
        <w:ind w:left="4092" w:hanging="360"/>
      </w:pPr>
      <w:rPr>
        <w:rFonts w:ascii="Wingdings" w:hAnsi="Wingdings" w:cs="Wingdings" w:hint="default"/>
        <w:rFonts w:cs="Wingdings"/>
      </w:rPr>
    </w:lvl>
    <w:lvl w:ilvl="6">
      <w:start w:val="1"/>
      <w:numFmt w:val="bullet"/>
      <w:lvlText w:val=""/>
      <w:lvlJc w:val="left"/>
      <w:pPr>
        <w:ind w:left="4812" w:hanging="360"/>
      </w:pPr>
      <w:rPr>
        <w:rFonts w:ascii="Symbol" w:hAnsi="Symbol" w:cs="Symbol" w:hint="default"/>
        <w:rFonts w:cs="Symbol"/>
      </w:rPr>
    </w:lvl>
    <w:lvl w:ilvl="7">
      <w:start w:val="1"/>
      <w:numFmt w:val="bullet"/>
      <w:lvlText w:val="o"/>
      <w:lvlJc w:val="left"/>
      <w:pPr>
        <w:ind w:left="5532" w:hanging="360"/>
      </w:pPr>
      <w:rPr>
        <w:rFonts w:ascii="Courier New" w:hAnsi="Courier New" w:cs="Courier New" w:hint="default"/>
        <w:rFonts w:cs="Courier New"/>
      </w:rPr>
    </w:lvl>
    <w:lvl w:ilvl="8">
      <w:start w:val="1"/>
      <w:numFmt w:val="bullet"/>
      <w:lvlText w:val=""/>
      <w:lvlJc w:val="left"/>
      <w:pPr>
        <w:ind w:left="6252" w:hanging="360"/>
      </w:pPr>
      <w:rPr>
        <w:rFonts w:ascii="Wingdings" w:hAnsi="Wingdings" w:cs="Wingdings" w:hint="default"/>
        <w:rFonts w:cs="Wingdings"/>
      </w:rPr>
    </w:lvl>
  </w:abstractNum>
  <w:abstractNum w:abstractNumId="6">
    <w:lvl w:ilvl="0">
      <w:start w:val="1"/>
      <w:numFmt w:val="bullet"/>
      <w:lvlText w:val=""/>
      <w:lvlJc w:val="left"/>
      <w:pPr>
        <w:ind w:left="492" w:hanging="360"/>
      </w:pPr>
      <w:rPr>
        <w:rFonts w:ascii="Symbol" w:hAnsi="Symbol" w:cs="Symbol" w:hint="default"/>
        <w:rFonts w:cs="Symbol"/>
        <w:lang w:eastAsia="en-GB"/>
      </w:rPr>
    </w:lvl>
    <w:lvl w:ilvl="1">
      <w:start w:val="1"/>
      <w:numFmt w:val="bullet"/>
      <w:lvlText w:val="o"/>
      <w:lvlJc w:val="left"/>
      <w:pPr>
        <w:ind w:left="1212" w:hanging="360"/>
      </w:pPr>
      <w:rPr>
        <w:rFonts w:ascii="Courier New" w:hAnsi="Courier New" w:cs="Courier New" w:hint="default"/>
        <w:rFonts w:cs="Courier New"/>
      </w:rPr>
    </w:lvl>
    <w:lvl w:ilvl="2">
      <w:start w:val="1"/>
      <w:numFmt w:val="bullet"/>
      <w:lvlText w:val=""/>
      <w:lvlJc w:val="left"/>
      <w:pPr>
        <w:ind w:left="1932" w:hanging="360"/>
      </w:pPr>
      <w:rPr>
        <w:rFonts w:ascii="Wingdings" w:hAnsi="Wingdings" w:cs="Wingdings" w:hint="default"/>
        <w:rFonts w:cs="Wingdings"/>
      </w:rPr>
    </w:lvl>
    <w:lvl w:ilvl="3">
      <w:start w:val="1"/>
      <w:numFmt w:val="bullet"/>
      <w:lvlText w:val=""/>
      <w:lvlJc w:val="left"/>
      <w:pPr>
        <w:ind w:left="2652" w:hanging="360"/>
      </w:pPr>
      <w:rPr>
        <w:rFonts w:ascii="Symbol" w:hAnsi="Symbol" w:cs="Symbol" w:hint="default"/>
        <w:rFonts w:cs="Symbol"/>
        <w:lang w:eastAsia="en-GB"/>
      </w:rPr>
    </w:lvl>
    <w:lvl w:ilvl="4">
      <w:start w:val="1"/>
      <w:numFmt w:val="bullet"/>
      <w:lvlText w:val="o"/>
      <w:lvlJc w:val="left"/>
      <w:pPr>
        <w:ind w:left="3372" w:hanging="360"/>
      </w:pPr>
      <w:rPr>
        <w:rFonts w:ascii="Courier New" w:hAnsi="Courier New" w:cs="Courier New" w:hint="default"/>
        <w:rFonts w:cs="Courier New"/>
      </w:rPr>
    </w:lvl>
    <w:lvl w:ilvl="5">
      <w:start w:val="1"/>
      <w:numFmt w:val="bullet"/>
      <w:lvlText w:val=""/>
      <w:lvlJc w:val="left"/>
      <w:pPr>
        <w:ind w:left="4092" w:hanging="360"/>
      </w:pPr>
      <w:rPr>
        <w:rFonts w:ascii="Wingdings" w:hAnsi="Wingdings" w:cs="Wingdings" w:hint="default"/>
        <w:rFonts w:cs="Wingdings"/>
      </w:rPr>
    </w:lvl>
    <w:lvl w:ilvl="6">
      <w:start w:val="1"/>
      <w:numFmt w:val="bullet"/>
      <w:lvlText w:val=""/>
      <w:lvlJc w:val="left"/>
      <w:pPr>
        <w:ind w:left="4812" w:hanging="360"/>
      </w:pPr>
      <w:rPr>
        <w:rFonts w:ascii="Symbol" w:hAnsi="Symbol" w:cs="Symbol" w:hint="default"/>
        <w:rFonts w:cs="Symbol"/>
        <w:lang w:eastAsia="en-GB"/>
      </w:rPr>
    </w:lvl>
    <w:lvl w:ilvl="7">
      <w:start w:val="1"/>
      <w:numFmt w:val="bullet"/>
      <w:lvlText w:val="o"/>
      <w:lvlJc w:val="left"/>
      <w:pPr>
        <w:ind w:left="5532" w:hanging="360"/>
      </w:pPr>
      <w:rPr>
        <w:rFonts w:ascii="Courier New" w:hAnsi="Courier New" w:cs="Courier New" w:hint="default"/>
        <w:rFonts w:cs="Courier New"/>
      </w:rPr>
    </w:lvl>
    <w:lvl w:ilvl="8">
      <w:start w:val="1"/>
      <w:numFmt w:val="bullet"/>
      <w:lvlText w:val=""/>
      <w:lvlJc w:val="left"/>
      <w:pPr>
        <w:ind w:left="6252"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2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TextBody"/>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paragraph" w:styleId="Heading4">
    <w:name w:val="Heading 4"/>
    <w:basedOn w:val="Normal"/>
    <w:next w:val="Normal"/>
    <w:qFormat/>
    <w:pPr>
      <w:keepNext w:val="true"/>
      <w:keepLines/>
      <w:numPr>
        <w:ilvl w:val="3"/>
        <w:numId w:val="1"/>
      </w:numPr>
      <w:spacing w:before="40" w:after="0"/>
      <w:outlineLvl w:val="3"/>
    </w:pPr>
    <w:rPr>
      <w:rFonts w:ascii="Cambria" w:hAnsi="Cambria" w:eastAsia="" w:cs=""/>
      <w:i/>
      <w:iCs/>
      <w:color w:val="213B47"/>
    </w:rPr>
  </w:style>
  <w:style w:type="paragraph" w:styleId="Heading5">
    <w:name w:val="Heading 5"/>
    <w:basedOn w:val="Normal"/>
    <w:next w:val="Normal"/>
    <w:qFormat/>
    <w:pPr>
      <w:keepNext w:val="true"/>
      <w:keepLines/>
      <w:numPr>
        <w:ilvl w:val="4"/>
        <w:numId w:val="1"/>
      </w:numPr>
      <w:spacing w:before="40" w:after="0"/>
      <w:outlineLvl w:val="4"/>
    </w:pPr>
    <w:rPr>
      <w:rFonts w:ascii="Cambria" w:hAnsi="Cambria" w:eastAsia="" w:cs=""/>
      <w:color w:val="213B47"/>
    </w:rPr>
  </w:style>
  <w:style w:type="paragraph" w:styleId="Heading6">
    <w:name w:val="Heading 6"/>
    <w:basedOn w:val="Normal"/>
    <w:next w:val="Normal"/>
    <w:qFormat/>
    <w:pPr>
      <w:keepNext w:val="true"/>
      <w:keepLines/>
      <w:numPr>
        <w:ilvl w:val="5"/>
        <w:numId w:val="1"/>
      </w:numPr>
      <w:spacing w:before="40" w:after="0"/>
      <w:outlineLvl w:val="5"/>
    </w:pPr>
    <w:rPr>
      <w:rFonts w:ascii="Cambria" w:hAnsi="Cambria" w:eastAsia="" w:cs=""/>
      <w:color w:val="16272F"/>
    </w:rPr>
  </w:style>
  <w:style w:type="paragraph" w:styleId="Heading7">
    <w:name w:val="Heading 7"/>
    <w:basedOn w:val="Normal"/>
    <w:next w:val="Normal"/>
    <w:qFormat/>
    <w:pPr>
      <w:keepNext w:val="true"/>
      <w:keepLines/>
      <w:numPr>
        <w:ilvl w:val="6"/>
        <w:numId w:val="1"/>
      </w:numPr>
      <w:spacing w:before="40" w:after="0"/>
      <w:outlineLvl w:val="6"/>
    </w:pPr>
    <w:rPr>
      <w:rFonts w:ascii="Cambria" w:hAnsi="Cambria" w:eastAsia="" w:cs=""/>
      <w:i/>
      <w:iCs/>
      <w:color w:val="16272F"/>
    </w:rPr>
  </w:style>
  <w:style w:type="paragraph" w:styleId="Heading8">
    <w:name w:val="Heading 8"/>
    <w:basedOn w:val="Normal"/>
    <w:next w:val="Normal"/>
    <w:qFormat/>
    <w:pPr>
      <w:keepNext w:val="true"/>
      <w:keepLines/>
      <w:numPr>
        <w:ilvl w:val="7"/>
        <w:numId w:val="1"/>
      </w:numPr>
      <w:spacing w:before="40" w:after="0"/>
      <w:outlineLvl w:val="7"/>
    </w:pPr>
    <w:rPr>
      <w:rFonts w:ascii="Cambria" w:hAnsi="Cambria" w:eastAsia="" w:cs=""/>
      <w:color w:val="272727"/>
      <w:sz w:val="21"/>
      <w:szCs w:val="21"/>
    </w:rPr>
  </w:style>
  <w:style w:type="paragraph" w:styleId="Heading9">
    <w:name w:val="Heading 9"/>
    <w:basedOn w:val="Normal"/>
    <w:next w:val="Normal"/>
    <w:qFormat/>
    <w:pPr>
      <w:keepNext w:val="true"/>
      <w:keepLines/>
      <w:numPr>
        <w:ilvl w:val="8"/>
        <w:numId w:val="1"/>
      </w:numPr>
      <w:spacing w:before="40" w:after="0"/>
      <w:outlineLvl w:val="8"/>
    </w:pPr>
    <w:rPr>
      <w:rFonts w:ascii="Cambria" w:hAnsi="Cambria" w:eastAsia="" w:cs=""/>
      <w:i/>
      <w:iCs/>
      <w:color w:val="272727"/>
      <w:sz w:val="21"/>
      <w:szCs w:val="21"/>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sz w:val="20"/>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WW8Num3z0">
    <w:name w:val="WW8Num3z0"/>
    <w:qFormat/>
    <w:rPr>
      <w:rFonts w:ascii="Symbol" w:hAnsi="Symbol" w:cs="Symbol"/>
      <w:sz w:val="22"/>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lang w:eastAsia="en-GB"/>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character" w:styleId="ListParagraphChar">
    <w:name w:val="List Paragraph Char"/>
    <w:basedOn w:val="DefaultParagraphFont"/>
    <w:qFormat/>
    <w:rPr>
      <w:rFonts w:ascii="Arial" w:hAnsi="Arial" w:eastAsia="Calibri" w:cs="Calibri"/>
      <w:color w:val="262626"/>
      <w:sz w:val="24"/>
      <w:lang w:val="en-GB"/>
    </w:rPr>
  </w:style>
  <w:style w:type="character" w:styleId="BookTitle">
    <w:name w:val="Book Title"/>
    <w:basedOn w:val="DefaultParagraphFont"/>
    <w:qFormat/>
    <w:rPr>
      <w:b/>
      <w:bCs/>
      <w:i/>
      <w:iCs/>
      <w:spacing w:val="5"/>
    </w:rPr>
  </w:style>
  <w:style w:type="character" w:styleId="Emphasis">
    <w:name w:val="Emphasis"/>
    <w:basedOn w:val="DefaultParagraphFont"/>
    <w:qFormat/>
    <w:rPr>
      <w:i/>
      <w:iCs/>
    </w:rPr>
  </w:style>
  <w:style w:type="character" w:styleId="Heading4Char">
    <w:name w:val="Heading 4 Char"/>
    <w:basedOn w:val="DefaultParagraphFont"/>
    <w:qFormat/>
    <w:rPr>
      <w:rFonts w:ascii="Cambria" w:hAnsi="Cambria" w:eastAsia="" w:cs=""/>
      <w:i/>
      <w:iCs/>
      <w:color w:val="213B47"/>
      <w:sz w:val="24"/>
      <w:lang w:val="en-GB"/>
    </w:rPr>
  </w:style>
  <w:style w:type="character" w:styleId="Heading5Char">
    <w:name w:val="Heading 5 Char"/>
    <w:basedOn w:val="DefaultParagraphFont"/>
    <w:qFormat/>
    <w:rPr>
      <w:rFonts w:ascii="Cambria" w:hAnsi="Cambria" w:eastAsia="" w:cs=""/>
      <w:color w:val="213B47"/>
      <w:sz w:val="24"/>
      <w:lang w:val="en-GB"/>
    </w:rPr>
  </w:style>
  <w:style w:type="character" w:styleId="Heading6Char">
    <w:name w:val="Heading 6 Char"/>
    <w:basedOn w:val="DefaultParagraphFont"/>
    <w:qFormat/>
    <w:rPr>
      <w:rFonts w:ascii="Cambria" w:hAnsi="Cambria" w:eastAsia="" w:cs=""/>
      <w:color w:val="16272F"/>
      <w:sz w:val="24"/>
      <w:lang w:val="en-GB"/>
    </w:rPr>
  </w:style>
  <w:style w:type="character" w:styleId="Heading7Char">
    <w:name w:val="Heading 7 Char"/>
    <w:basedOn w:val="DefaultParagraphFont"/>
    <w:qFormat/>
    <w:rPr>
      <w:rFonts w:ascii="Cambria" w:hAnsi="Cambria" w:eastAsia="" w:cs=""/>
      <w:i/>
      <w:iCs/>
      <w:color w:val="16272F"/>
      <w:sz w:val="24"/>
      <w:lang w:val="en-GB"/>
    </w:rPr>
  </w:style>
  <w:style w:type="character" w:styleId="Heading8Char">
    <w:name w:val="Heading 8 Char"/>
    <w:basedOn w:val="DefaultParagraphFont"/>
    <w:qFormat/>
    <w:rPr>
      <w:rFonts w:ascii="Cambria" w:hAnsi="Cambria" w:eastAsia="" w:cs=""/>
      <w:color w:val="272727"/>
      <w:sz w:val="21"/>
      <w:szCs w:val="21"/>
      <w:lang w:val="en-GB"/>
    </w:rPr>
  </w:style>
  <w:style w:type="character" w:styleId="Heading9Char">
    <w:name w:val="Heading 9 Char"/>
    <w:basedOn w:val="DefaultParagraphFont"/>
    <w:qFormat/>
    <w:rPr>
      <w:rFonts w:ascii="Cambria" w:hAnsi="Cambria" w:eastAsia="" w:cs=""/>
      <w:i/>
      <w:iCs/>
      <w:color w:val="272727"/>
      <w:sz w:val="21"/>
      <w:szCs w:val="21"/>
      <w:lang w:val="en-GB"/>
    </w:rPr>
  </w:style>
  <w:style w:type="character" w:styleId="IntenseEmphasis">
    <w:name w:val="Intense Emphasis"/>
    <w:basedOn w:val="DefaultParagraphFont"/>
    <w:qFormat/>
    <w:rPr>
      <w:i/>
      <w:iCs/>
      <w:color w:val="2C5060"/>
    </w:rPr>
  </w:style>
  <w:style w:type="character" w:styleId="IntenseQuoteChar">
    <w:name w:val="Intense Quote Char"/>
    <w:basedOn w:val="DefaultParagraphFont"/>
    <w:qFormat/>
    <w:rPr>
      <w:rFonts w:ascii="Arial" w:hAnsi="Arial" w:eastAsia="Calibri" w:cs="Calibri"/>
      <w:i/>
      <w:iCs/>
      <w:color w:val="2C5060"/>
      <w:sz w:val="24"/>
      <w:lang w:val="en-GB"/>
    </w:rPr>
  </w:style>
  <w:style w:type="character" w:styleId="IntenseReference">
    <w:name w:val="Intense Reference"/>
    <w:basedOn w:val="DefaultParagraphFont"/>
    <w:qFormat/>
    <w:rPr>
      <w:b/>
      <w:bCs/>
      <w:smallCaps/>
      <w:color w:val="2C5060"/>
      <w:spacing w:val="5"/>
    </w:rPr>
  </w:style>
  <w:style w:type="character" w:styleId="QuoteChar">
    <w:name w:val="Quote Char"/>
    <w:basedOn w:val="DefaultParagraphFont"/>
    <w:qFormat/>
    <w:rPr>
      <w:rFonts w:ascii="Arial" w:hAnsi="Arial" w:eastAsia="Calibri" w:cs="Calibri"/>
      <w:i/>
      <w:iCs/>
      <w:color w:val="404040"/>
      <w:sz w:val="24"/>
      <w:lang w:val="en-GB"/>
    </w:rPr>
  </w:style>
  <w:style w:type="character" w:styleId="SubtitleChar">
    <w:name w:val="Subtitle Char"/>
    <w:basedOn w:val="DefaultParagraphFont"/>
    <w:qFormat/>
    <w:rPr>
      <w:rFonts w:eastAsia=""/>
      <w:color w:val="5A5A5A"/>
      <w:spacing w:val="15"/>
      <w:lang w:val="en-GB"/>
    </w:rPr>
  </w:style>
  <w:style w:type="character" w:styleId="SubtleEmphasis">
    <w:name w:val="Subtle Emphasis"/>
    <w:basedOn w:val="DefaultParagraphFont"/>
    <w:qFormat/>
    <w:rPr>
      <w:i/>
      <w:iCs/>
      <w:color w:val="404040"/>
    </w:rPr>
  </w:style>
  <w:style w:type="character" w:styleId="SubtleReference">
    <w:name w:val="Subtle Reference"/>
    <w:basedOn w:val="DefaultParagraphFont"/>
    <w:qFormat/>
    <w:rPr>
      <w:smallCaps/>
      <w:color w:val="5A5A5A"/>
    </w:rPr>
  </w:style>
  <w:style w:type="character" w:styleId="Normaltextrun">
    <w:name w:val="normaltextrun"/>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rFonts w:eastAsia="Arial" w:cs="Arial"/>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TextBody"/>
    <w:qFormat/>
    <w:pPr>
      <w:spacing w:before="92" w:after="240"/>
      <w:ind w:left="4012" w:right="4328" w:hanging="0"/>
      <w:jc w:val="center"/>
    </w:pPr>
    <w:rPr>
      <w:rFonts w:eastAsia="Arial" w:cs="Arial"/>
      <w:b/>
      <w:bCs/>
      <w:sz w:val="28"/>
      <w:szCs w:val="28"/>
    </w:rPr>
  </w:style>
  <w:style w:type="paragraph" w:styleId="ListParagraph">
    <w:name w:val="List Paragraph"/>
    <w:basedOn w:val="Normal"/>
    <w:qFormat/>
    <w:pPr>
      <w:spacing w:before="60" w:after="240"/>
    </w:pPr>
    <w:rPr/>
  </w:style>
  <w:style w:type="paragraph" w:styleId="TableParagraph">
    <w:name w:val="Table Paragraph"/>
    <w:basedOn w:val="Normal"/>
    <w:qFormat/>
    <w:pPr>
      <w:ind w:left="107" w:right="0" w:hanging="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paragraph" w:styleId="Caption1">
    <w:name w:val="caption"/>
    <w:basedOn w:val="Normal"/>
    <w:next w:val="Normal"/>
    <w:qFormat/>
    <w:pPr>
      <w:spacing w:lineRule="auto" w:line="240" w:before="0" w:after="200"/>
    </w:pPr>
    <w:rPr>
      <w:i/>
      <w:iCs/>
      <w:color w:val="44546A"/>
      <w:sz w:val="18"/>
      <w:szCs w:val="18"/>
    </w:rPr>
  </w:style>
  <w:style w:type="paragraph" w:styleId="IntenseQuote">
    <w:name w:val="Intense Quote"/>
    <w:basedOn w:val="Normal"/>
    <w:next w:val="Normal"/>
    <w:qFormat/>
    <w:pPr>
      <w:pBdr>
        <w:top w:val="single" w:sz="4" w:space="10" w:color="2C5060"/>
        <w:bottom w:val="single" w:sz="4" w:space="10" w:color="2C5060"/>
      </w:pBdr>
      <w:spacing w:before="360" w:after="360"/>
      <w:ind w:left="864" w:right="864" w:hanging="0"/>
      <w:jc w:val="center"/>
    </w:pPr>
    <w:rPr>
      <w:i/>
      <w:iCs/>
      <w:color w:val="2C5060"/>
    </w:rPr>
  </w:style>
  <w:style w:type="paragraph" w:styleId="NoSpacing">
    <w:name w:val="No Spacing"/>
    <w:qFormat/>
    <w:pPr>
      <w:widowControl w:val="false"/>
      <w:suppressAutoHyphens w:val="true"/>
      <w:bidi w:val="0"/>
      <w:spacing w:before="0" w:after="0"/>
      <w:jc w:val="left"/>
    </w:pPr>
    <w:rPr>
      <w:rFonts w:ascii="Arial" w:hAnsi="Arial" w:eastAsia="Calibri" w:cs="Calibri"/>
      <w:color w:val="262626"/>
      <w:kern w:val="0"/>
      <w:sz w:val="24"/>
      <w:szCs w:val="22"/>
      <w:lang w:val="en-GB" w:eastAsia="en-US" w:bidi="ar-SA"/>
    </w:rPr>
  </w:style>
  <w:style w:type="paragraph" w:styleId="Quote">
    <w:name w:val="Quote"/>
    <w:basedOn w:val="Normal"/>
    <w:next w:val="Normal"/>
    <w:qFormat/>
    <w:pPr>
      <w:spacing w:before="200" w:after="160"/>
      <w:ind w:left="864" w:right="864" w:hanging="0"/>
      <w:jc w:val="center"/>
    </w:pPr>
    <w:rPr>
      <w:i/>
      <w:iCs/>
      <w:color w:val="404040"/>
    </w:rPr>
  </w:style>
  <w:style w:type="paragraph" w:styleId="Subtitle">
    <w:name w:val="Subtitle"/>
    <w:basedOn w:val="Normal"/>
    <w:next w:val="Normal"/>
    <w:qFormat/>
    <w:pPr>
      <w:spacing w:before="0" w:after="160"/>
    </w:pPr>
    <w:rPr>
      <w:rFonts w:ascii="Calibri" w:hAnsi="Calibri" w:eastAsia="" w:cs=""/>
      <w:color w:val="5A5A5A"/>
      <w:spacing w:val="15"/>
      <w:sz w:val="22"/>
    </w:rPr>
  </w:style>
  <w:style w:type="paragraph" w:styleId="TOCHeading">
    <w:name w:val="TOC Heading"/>
    <w:basedOn w:val="Heading1"/>
    <w:next w:val="Normal"/>
    <w:qFormat/>
    <w:pPr>
      <w:keepNext w:val="true"/>
      <w:keepLines/>
      <w:numPr>
        <w:ilvl w:val="0"/>
        <w:numId w:val="0"/>
      </w:numPr>
      <w:pBdr>
        <w:top w:val="nil"/>
        <w:left w:val="nil"/>
        <w:bottom w:val="nil"/>
        <w:right w:val="nil"/>
      </w:pBdr>
      <w:spacing w:lineRule="auto" w:line="360" w:before="240" w:after="0"/>
      <w:jc w:val="left"/>
    </w:pPr>
    <w:rPr>
      <w:rFonts w:ascii="Cambria" w:hAnsi="Cambria" w:eastAsia="" w:cs=""/>
      <w:b w:val="false"/>
      <w:bCs w:val="false"/>
      <w:color w:val="213B47"/>
      <w:sz w:val="32"/>
      <w:szCs w:val="32"/>
    </w:rPr>
  </w:style>
  <w:style w:type="paragraph" w:styleId="Body">
    <w:name w:val="Body"/>
    <w:qFormat/>
    <w:pPr>
      <w:widowControl/>
      <w:pBdr/>
      <w:suppressAutoHyphens w:val="true"/>
      <w:bidi w:val="0"/>
      <w:spacing w:before="0" w:after="0"/>
      <w:jc w:val="left"/>
    </w:pPr>
    <w:rPr>
      <w:rFonts w:ascii="Arial" w:hAnsi="Arial" w:eastAsia="Calibri" w:cs="Arial"/>
      <w:color w:val="000000"/>
      <w:kern w:val="0"/>
      <w:sz w:val="24"/>
      <w:szCs w:val="22"/>
      <w:u w:val="none" w:color="000000"/>
      <w:lang w:val="en-GB" w:eastAsia="en-US" w:bidi="ar-SA"/>
    </w:rPr>
  </w:style>
  <w:style w:type="paragraph" w:styleId="Paragraph">
    <w:name w:val="paragraph"/>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999</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