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br/>
        <w:t>Events and Safety Attendant</w:t>
      </w:r>
    </w:p>
    <w:p>
      <w:pPr>
        <w:pStyle w:val="ListParagraph"/>
        <w:numPr>
          <w:ilvl w:val="0"/>
          <w:numId w:val="2"/>
        </w:numPr>
        <w:rPr/>
      </w:pPr>
      <w:r>
        <w:rPr>
          <w:rFonts w:cs="Arial"/>
          <w:b/>
          <w:bCs/>
          <w:szCs w:val="24"/>
        </w:rPr>
        <w:t>Grade:</w:t>
      </w:r>
      <w:r>
        <w:rPr>
          <w:rFonts w:cs="Arial"/>
          <w:szCs w:val="24"/>
        </w:rPr>
        <w:t xml:space="preserve"> </w:t>
      </w:r>
      <w:r>
        <w:rPr>
          <w:b/>
          <w:bCs/>
        </w:rPr>
        <w:t>5</w:t>
      </w:r>
    </w:p>
    <w:p>
      <w:pPr>
        <w:pStyle w:val="ListParagraph"/>
        <w:numPr>
          <w:ilvl w:val="0"/>
          <w:numId w:val="2"/>
        </w:numPr>
        <w:rPr/>
      </w:pPr>
      <w:r>
        <w:rPr>
          <w:rFonts w:cs="Arial"/>
          <w:b/>
          <w:bCs/>
          <w:szCs w:val="24"/>
        </w:rPr>
        <w:t>Business area:</w:t>
      </w:r>
      <w:r>
        <w:rPr>
          <w:rFonts w:cs="Arial"/>
          <w:szCs w:val="24"/>
        </w:rPr>
        <w:t xml:space="preserve"> Governance, Risk and Assurance</w:t>
      </w:r>
    </w:p>
    <w:p>
      <w:pPr>
        <w:pStyle w:val="ListParagraph"/>
        <w:numPr>
          <w:ilvl w:val="0"/>
          <w:numId w:val="2"/>
        </w:numPr>
        <w:rPr/>
      </w:pPr>
      <w:r>
        <w:rPr>
          <w:rFonts w:cs="Arial"/>
          <w:b/>
          <w:bCs/>
          <w:szCs w:val="24"/>
        </w:rPr>
        <w:t>Job title</w:t>
      </w:r>
      <w:r>
        <w:rPr>
          <w:rFonts w:cs="Arial"/>
          <w:szCs w:val="24"/>
        </w:rPr>
        <w:t xml:space="preserve">: Mayoral Attendant </w:t>
      </w:r>
    </w:p>
    <w:p>
      <w:pPr>
        <w:pStyle w:val="ListParagraph"/>
        <w:numPr>
          <w:ilvl w:val="0"/>
          <w:numId w:val="2"/>
        </w:numPr>
        <w:rPr/>
      </w:pPr>
      <w:r>
        <w:rPr>
          <w:rFonts w:cs="Arial"/>
          <w:b/>
          <w:bCs/>
          <w:szCs w:val="24"/>
        </w:rPr>
        <w:t>Reporting line:</w:t>
      </w:r>
      <w:r>
        <w:rPr>
          <w:rFonts w:cs="Arial"/>
          <w:szCs w:val="24"/>
        </w:rPr>
        <w:t xml:space="preserve"> Head of Governance &amp; Scrutiny</w:t>
      </w:r>
    </w:p>
    <w:p>
      <w:pPr>
        <w:pStyle w:val="ListParagraph"/>
        <w:numPr>
          <w:ilvl w:val="0"/>
          <w:numId w:val="2"/>
        </w:numPr>
        <w:rPr/>
      </w:pPr>
      <w:r>
        <w:rPr>
          <w:rFonts w:cs="Arial"/>
          <w:b/>
          <w:bCs/>
          <w:szCs w:val="24"/>
        </w:rPr>
        <w:t xml:space="preserve">Team: </w:t>
      </w:r>
      <w:r>
        <w:rPr>
          <w:rFonts w:cs="Arial"/>
          <w:szCs w:val="24"/>
        </w:rPr>
        <w:t>Business Support</w:t>
      </w:r>
    </w:p>
    <w:p>
      <w:pPr>
        <w:pStyle w:val="Heading2"/>
        <w:shd w:fill="004F6E" w:val="clear"/>
        <w:rPr>
          <w:rFonts w:cs="Arial"/>
          <w:sz w:val="24"/>
          <w:szCs w:val="24"/>
        </w:rPr>
      </w:pPr>
      <w:r>
        <w:rPr>
          <w:rFonts w:cs="Arial"/>
          <w:sz w:val="24"/>
          <w:szCs w:val="24"/>
        </w:rPr>
        <w:t>Job Purpose</w:t>
      </w:r>
    </w:p>
    <w:p>
      <w:pPr>
        <w:pStyle w:val="Normal"/>
        <w:rPr/>
      </w:pPr>
      <w:r>
        <w:rPr/>
        <w:t>To provide professional, discreet and practical support to the Mayor, Deputy Mayor and designated senior office-holders when attending meetings, visits, events and public engagements on behalf of GMCA.</w:t>
      </w:r>
    </w:p>
    <w:p>
      <w:pPr>
        <w:pStyle w:val="Normal"/>
        <w:rPr/>
      </w:pPr>
      <w:r>
        <w:rPr/>
        <w:t>The postholder will provide a calm, professional and approachable presence, using sound judgement, discretion and excellent interpersonal skills to support positive interaction with members of the public, guests and stakeholders. They will recognise and respond appropriately to changing circumstances, including challenging or sensitive interactions, and escalate safety, security, crowd-related or welfare concerns promptly.</w:t>
      </w:r>
    </w:p>
    <w:p>
      <w:pPr>
        <w:pStyle w:val="Normal"/>
        <w:rPr/>
      </w:pPr>
      <w:r>
        <w:rPr/>
        <w:t>The postholder will help engagements to run safely and smoothly by working with the Mayor’s Office &amp; Executive Support colleagues to prepare for attendance at events/engagement, maintaining good situational and security awareness and contributing to proportionate assessments of event and personal-safety risks. They will work closely with GMCA colleagues, event organisers, venues and security teams to confirm arrangements, identify concerns and ensure that matters requiring specialist attention are referred to the appropriate person or organisation.</w:t>
      </w:r>
    </w:p>
    <w:p>
      <w:pPr>
        <w:pStyle w:val="Normal"/>
        <w:rPr/>
      </w:pPr>
      <w:r>
        <w:rPr/>
        <w:t>The role provides practical support, safety awareness, liaison and escalation. It does not provide close protection, operational security, specialist threat assessment or operational crowd-control services.</w:t>
      </w:r>
    </w:p>
    <w:p>
      <w:pPr>
        <w:pStyle w:val="Heading2"/>
        <w:shd w:fill="004F6E" w:val="clear"/>
        <w:rPr>
          <w:rFonts w:cs="Arial"/>
          <w:sz w:val="24"/>
          <w:szCs w:val="24"/>
        </w:rPr>
      </w:pPr>
      <w:r>
        <w:rPr>
          <w:rFonts w:cs="Arial"/>
          <w:sz w:val="24"/>
          <w:szCs w:val="24"/>
        </w:rPr>
        <w:t>Key working relationships</w:t>
      </w:r>
    </w:p>
    <w:p>
      <w:pPr>
        <w:pStyle w:val="ListBullet"/>
        <w:numPr>
          <w:ilvl w:val="0"/>
          <w:numId w:val="0"/>
        </w:numPr>
        <w:spacing w:lineRule="auto" w:line="360"/>
        <w:ind w:left="0" w:right="0" w:hanging="0"/>
        <w:rPr>
          <w:rFonts w:ascii="Arial" w:hAnsi="Arial" w:cs="Arial"/>
        </w:rPr>
      </w:pPr>
      <w:r>
        <w:rPr>
          <w:rFonts w:cs="Arial" w:ascii="Arial" w:hAnsi="Arial"/>
        </w:rPr>
        <w:t>The postholder will work closely with internal and external colleagues and stakeholders, including:</w:t>
      </w:r>
    </w:p>
    <w:p>
      <w:pPr>
        <w:pStyle w:val="ListBullet"/>
        <w:numPr>
          <w:ilvl w:val="0"/>
          <w:numId w:val="3"/>
        </w:numPr>
        <w:spacing w:lineRule="auto" w:line="360"/>
        <w:rPr>
          <w:rFonts w:ascii="Arial" w:hAnsi="Arial" w:cs="Arial"/>
        </w:rPr>
      </w:pPr>
      <w:r>
        <w:rPr>
          <w:rFonts w:cs="Arial" w:ascii="Arial" w:hAnsi="Arial"/>
        </w:rPr>
        <w:t>Greater Manchester Mayor and Deputy Mayor;</w:t>
      </w:r>
    </w:p>
    <w:p>
      <w:pPr>
        <w:pStyle w:val="ListBullet"/>
        <w:numPr>
          <w:ilvl w:val="0"/>
          <w:numId w:val="3"/>
        </w:numPr>
        <w:spacing w:lineRule="auto" w:line="360"/>
        <w:rPr>
          <w:rFonts w:ascii="Arial" w:hAnsi="Arial" w:cs="Arial"/>
        </w:rPr>
      </w:pPr>
      <w:r>
        <w:rPr>
          <w:rFonts w:cs="Arial" w:ascii="Arial" w:hAnsi="Arial"/>
        </w:rPr>
        <w:t>the Mayor’s Office and executive support colleagues;</w:t>
      </w:r>
    </w:p>
    <w:p>
      <w:pPr>
        <w:pStyle w:val="ListBullet"/>
        <w:numPr>
          <w:ilvl w:val="0"/>
          <w:numId w:val="3"/>
        </w:numPr>
        <w:spacing w:lineRule="auto" w:line="360"/>
        <w:rPr>
          <w:rFonts w:ascii="Arial" w:hAnsi="Arial" w:cs="Arial"/>
        </w:rPr>
      </w:pPr>
      <w:r>
        <w:rPr>
          <w:rFonts w:cs="Arial" w:ascii="Arial" w:hAnsi="Arial"/>
        </w:rPr>
        <w:t>GMCA senior officers and directorates;</w:t>
      </w:r>
    </w:p>
    <w:p>
      <w:pPr>
        <w:pStyle w:val="ListBullet"/>
        <w:numPr>
          <w:ilvl w:val="0"/>
          <w:numId w:val="3"/>
        </w:numPr>
        <w:spacing w:lineRule="auto" w:line="360"/>
        <w:rPr>
          <w:rFonts w:ascii="Arial" w:hAnsi="Arial" w:cs="Arial"/>
        </w:rPr>
      </w:pPr>
      <w:r>
        <w:rPr>
          <w:rFonts w:cs="Arial" w:ascii="Arial" w:hAnsi="Arial"/>
        </w:rPr>
        <w:t>GMCA communications, engagement, events, facilities, health and safety, risk and security colleagues;</w:t>
      </w:r>
    </w:p>
    <w:p>
      <w:pPr>
        <w:pStyle w:val="ListBullet"/>
        <w:numPr>
          <w:ilvl w:val="0"/>
          <w:numId w:val="3"/>
        </w:numPr>
        <w:spacing w:lineRule="auto" w:line="360"/>
        <w:rPr>
          <w:rFonts w:ascii="Arial" w:hAnsi="Arial" w:cs="Arial"/>
        </w:rPr>
      </w:pPr>
      <w:r>
        <w:rPr>
          <w:rFonts w:cs="Arial" w:ascii="Arial" w:hAnsi="Arial"/>
        </w:rPr>
        <w:t>event organisers and event delivery teams;</w:t>
      </w:r>
    </w:p>
    <w:p>
      <w:pPr>
        <w:pStyle w:val="ListBullet"/>
        <w:numPr>
          <w:ilvl w:val="0"/>
          <w:numId w:val="3"/>
        </w:numPr>
        <w:spacing w:lineRule="auto" w:line="360"/>
        <w:rPr>
          <w:rFonts w:ascii="Arial" w:hAnsi="Arial" w:cs="Arial"/>
        </w:rPr>
      </w:pPr>
      <w:r>
        <w:rPr>
          <w:rFonts w:cs="Arial" w:ascii="Arial" w:hAnsi="Arial"/>
        </w:rPr>
        <w:t>venue managers and venue staff;</w:t>
      </w:r>
    </w:p>
    <w:p>
      <w:pPr>
        <w:pStyle w:val="ListBullet"/>
        <w:numPr>
          <w:ilvl w:val="0"/>
          <w:numId w:val="3"/>
        </w:numPr>
        <w:spacing w:lineRule="auto" w:line="360"/>
        <w:rPr>
          <w:rFonts w:ascii="Arial" w:hAnsi="Arial" w:cs="Arial"/>
        </w:rPr>
      </w:pPr>
      <w:r>
        <w:rPr>
          <w:rFonts w:cs="Arial" w:ascii="Arial" w:hAnsi="Arial"/>
        </w:rPr>
        <w:t>stewarding and security providers;</w:t>
      </w:r>
    </w:p>
    <w:p>
      <w:pPr>
        <w:pStyle w:val="ListBullet"/>
        <w:numPr>
          <w:ilvl w:val="0"/>
          <w:numId w:val="3"/>
        </w:numPr>
        <w:spacing w:lineRule="auto" w:line="360"/>
        <w:rPr>
          <w:rFonts w:ascii="Arial" w:hAnsi="Arial" w:cs="Arial"/>
        </w:rPr>
      </w:pPr>
      <w:r>
        <w:rPr>
          <w:rFonts w:cs="Arial" w:ascii="Arial" w:hAnsi="Arial"/>
        </w:rPr>
        <w:t>partner organisations, local authorities and other public bodies;</w:t>
      </w:r>
    </w:p>
    <w:p>
      <w:pPr>
        <w:pStyle w:val="ListBullet"/>
        <w:numPr>
          <w:ilvl w:val="0"/>
          <w:numId w:val="3"/>
        </w:numPr>
        <w:spacing w:lineRule="auto" w:line="360"/>
        <w:rPr>
          <w:rFonts w:ascii="Arial" w:hAnsi="Arial" w:cs="Arial"/>
        </w:rPr>
      </w:pPr>
      <w:r>
        <w:rPr>
          <w:rFonts w:cs="Arial" w:ascii="Arial" w:hAnsi="Arial"/>
        </w:rPr>
        <w:t>emergency services, where appropriate; and</w:t>
      </w:r>
    </w:p>
    <w:p>
      <w:pPr>
        <w:pStyle w:val="ListBullet"/>
        <w:numPr>
          <w:ilvl w:val="0"/>
          <w:numId w:val="3"/>
        </w:numPr>
        <w:spacing w:lineRule="auto" w:line="360"/>
        <w:rPr>
          <w:rFonts w:ascii="Arial" w:hAnsi="Arial" w:cs="Arial"/>
        </w:rPr>
      </w:pPr>
      <w:r>
        <w:rPr>
          <w:rFonts w:cs="Arial" w:ascii="Arial" w:hAnsi="Arial"/>
        </w:rPr>
        <w:t>members of the public, community representatives, invited guests and other attendees.</w:t>
      </w:r>
    </w:p>
    <w:p>
      <w:pPr>
        <w:pStyle w:val="ListBullet"/>
        <w:numPr>
          <w:ilvl w:val="0"/>
          <w:numId w:val="0"/>
        </w:numPr>
        <w:ind w:left="0" w:right="0" w:hanging="0"/>
        <w:rPr>
          <w:rFonts w:ascii="Arial" w:hAnsi="Arial" w:eastAsia="Calibri" w:cs="Arial"/>
          <w:kern w:val="0"/>
          <w:szCs w:val="22"/>
          <w:lang w:val="en-GB" w:eastAsia="en-US"/>
        </w:rPr>
      </w:pPr>
      <w:r>
        <w:rPr>
          <w:rFonts w:eastAsia="Calibri" w:cs="Arial" w:ascii="Arial" w:hAnsi="Arial"/>
          <w:kern w:val="0"/>
          <w:szCs w:val="22"/>
          <w:lang w:val="en-GB" w:eastAsia="en-US"/>
        </w:rPr>
      </w:r>
    </w:p>
    <w:p>
      <w:pPr>
        <w:pStyle w:val="Heading2"/>
        <w:shd w:fill="004F6E" w:val="clear"/>
        <w:rPr>
          <w:rFonts w:cs="Arial"/>
          <w:sz w:val="24"/>
          <w:szCs w:val="24"/>
        </w:rPr>
      </w:pPr>
      <w:r>
        <w:rPr>
          <w:rFonts w:cs="Arial"/>
          <w:sz w:val="24"/>
          <w:szCs w:val="24"/>
        </w:rPr>
        <w:t>Key Responsibilities</w:t>
      </w:r>
    </w:p>
    <w:p>
      <w:pPr>
        <w:pStyle w:val="ListParagraph"/>
        <w:numPr>
          <w:ilvl w:val="0"/>
          <w:numId w:val="5"/>
        </w:numPr>
        <w:ind w:left="720" w:right="0" w:hanging="0"/>
        <w:rPr>
          <w:rFonts w:cs="Arial"/>
          <w:b/>
          <w:b/>
          <w:bCs/>
          <w:color w:val="auto"/>
          <w:szCs w:val="24"/>
        </w:rPr>
      </w:pPr>
      <w:r>
        <w:rPr>
          <w:rFonts w:cs="Arial"/>
          <w:b/>
          <w:bCs/>
          <w:color w:val="auto"/>
          <w:szCs w:val="24"/>
        </w:rPr>
        <w:t>Event and engagement preparation</w:t>
      </w:r>
    </w:p>
    <w:p>
      <w:pPr>
        <w:pStyle w:val="ListParagraph"/>
        <w:numPr>
          <w:ilvl w:val="0"/>
          <w:numId w:val="6"/>
        </w:numPr>
        <w:rPr>
          <w:rFonts w:cs="Arial"/>
          <w:color w:val="auto"/>
          <w:szCs w:val="24"/>
        </w:rPr>
      </w:pPr>
      <w:r>
        <w:rPr>
          <w:rFonts w:cs="Arial"/>
          <w:color w:val="auto"/>
          <w:szCs w:val="24"/>
        </w:rPr>
        <w:t>Review event and visit arrangements in advance, including the programme, venue, expected attendance, public access and relevant safety considerations.</w:t>
      </w:r>
    </w:p>
    <w:p>
      <w:pPr>
        <w:pStyle w:val="ListParagraph"/>
        <w:numPr>
          <w:ilvl w:val="0"/>
          <w:numId w:val="6"/>
        </w:numPr>
        <w:rPr>
          <w:rFonts w:cs="Arial"/>
          <w:color w:val="auto"/>
          <w:szCs w:val="24"/>
        </w:rPr>
      </w:pPr>
      <w:r>
        <w:rPr>
          <w:rFonts w:cs="Arial"/>
          <w:color w:val="auto"/>
          <w:szCs w:val="24"/>
        </w:rPr>
        <w:t>Liaise with GMCA colleagues, event organisers and venues to confirm arrangements, responsibilities and any issues requiring attention.</w:t>
      </w:r>
    </w:p>
    <w:p>
      <w:pPr>
        <w:pStyle w:val="ListParagraph"/>
        <w:numPr>
          <w:ilvl w:val="0"/>
          <w:numId w:val="6"/>
        </w:numPr>
        <w:rPr>
          <w:rFonts w:cs="Arial"/>
          <w:color w:val="auto"/>
          <w:szCs w:val="24"/>
        </w:rPr>
      </w:pPr>
      <w:r>
        <w:rPr>
          <w:rFonts w:cs="Arial"/>
          <w:color w:val="auto"/>
          <w:szCs w:val="24"/>
        </w:rPr>
        <w:t>Undertake or contribute to proportionate event and personal-safety risk assessments within the scope of the role.</w:t>
      </w:r>
    </w:p>
    <w:p>
      <w:pPr>
        <w:pStyle w:val="ListParagraph"/>
        <w:numPr>
          <w:ilvl w:val="0"/>
          <w:numId w:val="6"/>
        </w:numPr>
        <w:rPr>
          <w:rFonts w:cs="Arial"/>
          <w:color w:val="auto"/>
          <w:szCs w:val="24"/>
        </w:rPr>
      </w:pPr>
      <w:r>
        <w:rPr>
          <w:rFonts w:cs="Arial"/>
          <w:color w:val="auto"/>
          <w:szCs w:val="24"/>
        </w:rPr>
        <w:t>Identify and escalate concerns requiring specialist security, safety or crowd-management advice.</w:t>
      </w:r>
    </w:p>
    <w:p>
      <w:pPr>
        <w:pStyle w:val="ListParagraph"/>
        <w:numPr>
          <w:ilvl w:val="0"/>
          <w:numId w:val="6"/>
        </w:numPr>
        <w:rPr>
          <w:rFonts w:cs="Arial"/>
          <w:color w:val="auto"/>
          <w:szCs w:val="24"/>
        </w:rPr>
      </w:pPr>
      <w:r>
        <w:rPr>
          <w:rFonts w:cs="Arial"/>
          <w:color w:val="auto"/>
          <w:szCs w:val="24"/>
        </w:rPr>
        <w:t>Handle event and engagement information with appropriate discretion and confidentiality.</w:t>
      </w:r>
    </w:p>
    <w:p>
      <w:pPr>
        <w:pStyle w:val="ListParagraph"/>
        <w:numPr>
          <w:ilvl w:val="0"/>
          <w:numId w:val="5"/>
        </w:numPr>
        <w:ind w:left="720" w:right="0" w:hanging="0"/>
        <w:rPr>
          <w:rFonts w:cs="Arial"/>
          <w:b/>
          <w:b/>
          <w:bCs/>
          <w:color w:val="auto"/>
          <w:szCs w:val="24"/>
        </w:rPr>
      </w:pPr>
      <w:r>
        <w:rPr>
          <w:rFonts w:cs="Arial"/>
          <w:b/>
          <w:bCs/>
          <w:color w:val="auto"/>
          <w:szCs w:val="24"/>
        </w:rPr>
        <w:t>Support at events and engagements</w:t>
      </w:r>
    </w:p>
    <w:p>
      <w:pPr>
        <w:pStyle w:val="ListParagraph"/>
        <w:numPr>
          <w:ilvl w:val="0"/>
          <w:numId w:val="7"/>
        </w:numPr>
        <w:rPr>
          <w:rFonts w:cs="Arial"/>
          <w:color w:val="auto"/>
          <w:szCs w:val="24"/>
        </w:rPr>
      </w:pPr>
      <w:r>
        <w:rPr>
          <w:rFonts w:cs="Arial"/>
          <w:color w:val="auto"/>
          <w:szCs w:val="24"/>
        </w:rPr>
        <w:t>Accompany the Mayor/Deputy Mayor and/or designated senior office-holders and official guests at meetings, visits, events and public engagements, providing practical support throughout.</w:t>
      </w:r>
    </w:p>
    <w:p>
      <w:pPr>
        <w:pStyle w:val="ListParagraph"/>
        <w:numPr>
          <w:ilvl w:val="0"/>
          <w:numId w:val="7"/>
        </w:numPr>
        <w:rPr>
          <w:rFonts w:cs="Arial"/>
          <w:color w:val="auto"/>
          <w:szCs w:val="24"/>
        </w:rPr>
      </w:pPr>
      <w:r>
        <w:rPr>
          <w:rFonts w:cs="Arial"/>
          <w:color w:val="auto"/>
          <w:szCs w:val="24"/>
        </w:rPr>
        <w:t>Act as a key point of liaison with GMCA colleagues, event organisers, venue staff, stewards and security personnel.</w:t>
      </w:r>
    </w:p>
    <w:p>
      <w:pPr>
        <w:pStyle w:val="ListParagraph"/>
        <w:numPr>
          <w:ilvl w:val="0"/>
          <w:numId w:val="7"/>
        </w:numPr>
        <w:rPr>
          <w:rFonts w:cs="Arial"/>
          <w:color w:val="auto"/>
          <w:szCs w:val="24"/>
        </w:rPr>
      </w:pPr>
      <w:r>
        <w:rPr>
          <w:rFonts w:cs="Arial"/>
          <w:color w:val="auto"/>
          <w:szCs w:val="24"/>
        </w:rPr>
        <w:t>Maintain awareness of the immediate environment and identify changes that may affect the safe and smooth running of the engagement.</w:t>
      </w:r>
    </w:p>
    <w:p>
      <w:pPr>
        <w:pStyle w:val="ListParagraph"/>
        <w:numPr>
          <w:ilvl w:val="0"/>
          <w:numId w:val="7"/>
        </w:numPr>
        <w:rPr>
          <w:rFonts w:cs="Arial"/>
          <w:color w:val="auto"/>
          <w:szCs w:val="24"/>
        </w:rPr>
      </w:pPr>
      <w:r>
        <w:rPr>
          <w:rFonts w:cs="Arial"/>
          <w:color w:val="auto"/>
          <w:szCs w:val="24"/>
        </w:rPr>
        <w:t>Anticipate and resolve practical issues within the scope of the role, escalating matters where specialist responsibility or authority is required.</w:t>
      </w:r>
    </w:p>
    <w:p>
      <w:pPr>
        <w:pStyle w:val="ListParagraph"/>
        <w:numPr>
          <w:ilvl w:val="0"/>
          <w:numId w:val="7"/>
        </w:numPr>
        <w:rPr>
          <w:rFonts w:cs="Arial"/>
          <w:color w:val="auto"/>
          <w:szCs w:val="24"/>
        </w:rPr>
      </w:pPr>
      <w:r>
        <w:rPr>
          <w:rFonts w:cs="Arial"/>
          <w:color w:val="auto"/>
          <w:szCs w:val="24"/>
        </w:rPr>
        <w:t>Remain calm and adaptable when programmes, circumstances or arrangements change.</w:t>
      </w:r>
    </w:p>
    <w:p>
      <w:pPr>
        <w:pStyle w:val="ListParagraph"/>
        <w:numPr>
          <w:ilvl w:val="0"/>
          <w:numId w:val="5"/>
        </w:numPr>
        <w:ind w:left="720" w:right="0" w:hanging="0"/>
        <w:rPr>
          <w:rFonts w:cs="Arial"/>
          <w:b/>
          <w:b/>
          <w:bCs/>
          <w:color w:val="auto"/>
          <w:szCs w:val="24"/>
        </w:rPr>
      </w:pPr>
      <w:r>
        <w:rPr>
          <w:rFonts w:cs="Arial"/>
          <w:b/>
          <w:bCs/>
          <w:color w:val="auto"/>
          <w:szCs w:val="24"/>
        </w:rPr>
        <w:t>Public interaction and situational awareness</w:t>
      </w:r>
    </w:p>
    <w:p>
      <w:pPr>
        <w:pStyle w:val="ListParagraph"/>
        <w:numPr>
          <w:ilvl w:val="0"/>
          <w:numId w:val="8"/>
        </w:numPr>
        <w:rPr>
          <w:rFonts w:cs="Arial"/>
          <w:color w:val="auto"/>
          <w:szCs w:val="24"/>
        </w:rPr>
      </w:pPr>
      <w:r>
        <w:rPr>
          <w:rFonts w:cs="Arial"/>
          <w:color w:val="auto"/>
          <w:szCs w:val="24"/>
        </w:rPr>
        <w:t>Engage professionally and respectfully with members of the public, guests, stakeholders and event staff.</w:t>
      </w:r>
    </w:p>
    <w:p>
      <w:pPr>
        <w:pStyle w:val="ListParagraph"/>
        <w:numPr>
          <w:ilvl w:val="0"/>
          <w:numId w:val="8"/>
        </w:numPr>
        <w:rPr>
          <w:rFonts w:cs="Arial"/>
          <w:color w:val="auto"/>
          <w:szCs w:val="24"/>
        </w:rPr>
      </w:pPr>
      <w:r>
        <w:rPr>
          <w:rFonts w:cs="Arial"/>
          <w:color w:val="auto"/>
          <w:szCs w:val="24"/>
        </w:rPr>
        <w:t>Use tact, diplomacy and sound judgement to manage sensitive, challenging or unexpected interactions.</w:t>
      </w:r>
    </w:p>
    <w:p>
      <w:pPr>
        <w:pStyle w:val="ListParagraph"/>
        <w:numPr>
          <w:ilvl w:val="0"/>
          <w:numId w:val="8"/>
        </w:numPr>
        <w:rPr>
          <w:rFonts w:cs="Arial"/>
          <w:color w:val="auto"/>
          <w:szCs w:val="24"/>
        </w:rPr>
      </w:pPr>
      <w:r>
        <w:rPr>
          <w:rFonts w:cs="Arial"/>
          <w:color w:val="auto"/>
          <w:szCs w:val="24"/>
        </w:rPr>
        <w:t>Use appropriate communication and de-escalation skills to help calm difficult situations without assuming security or enforcement responsibilities.</w:t>
      </w:r>
    </w:p>
    <w:p>
      <w:pPr>
        <w:pStyle w:val="ListParagraph"/>
        <w:numPr>
          <w:ilvl w:val="0"/>
          <w:numId w:val="8"/>
        </w:numPr>
        <w:rPr>
          <w:rFonts w:cs="Arial"/>
          <w:color w:val="auto"/>
          <w:szCs w:val="24"/>
        </w:rPr>
      </w:pPr>
      <w:r>
        <w:rPr>
          <w:rFonts w:cs="Arial"/>
          <w:color w:val="auto"/>
          <w:szCs w:val="24"/>
        </w:rPr>
        <w:t>Recognise emerging concerns relating to behaviour, crowding, access or the wider environment and escalate these appropriately.</w:t>
      </w:r>
    </w:p>
    <w:p>
      <w:pPr>
        <w:pStyle w:val="ListParagraph"/>
        <w:numPr>
          <w:ilvl w:val="0"/>
          <w:numId w:val="8"/>
        </w:numPr>
        <w:rPr>
          <w:rFonts w:cs="Arial"/>
          <w:color w:val="auto"/>
          <w:szCs w:val="24"/>
        </w:rPr>
      </w:pPr>
      <w:r>
        <w:rPr>
          <w:rFonts w:cs="Arial"/>
          <w:color w:val="auto"/>
          <w:szCs w:val="24"/>
        </w:rPr>
        <w:t>Support positive and accessible public engagement while maintaining appropriate awareness of safety and welfare.</w:t>
      </w:r>
    </w:p>
    <w:p>
      <w:pPr>
        <w:pStyle w:val="ListParagraph"/>
        <w:numPr>
          <w:ilvl w:val="0"/>
          <w:numId w:val="0"/>
        </w:numPr>
        <w:ind w:left="720" w:right="0" w:hanging="0"/>
        <w:rPr>
          <w:rFonts w:cs="Arial"/>
          <w:color w:val="auto"/>
          <w:szCs w:val="24"/>
        </w:rPr>
      </w:pPr>
      <w:r>
        <w:rPr>
          <w:rFonts w:cs="Arial"/>
          <w:color w:val="auto"/>
          <w:szCs w:val="24"/>
        </w:rPr>
      </w:r>
    </w:p>
    <w:p>
      <w:pPr>
        <w:pStyle w:val="ListParagraph"/>
        <w:numPr>
          <w:ilvl w:val="0"/>
          <w:numId w:val="5"/>
        </w:numPr>
        <w:ind w:left="720" w:right="0" w:hanging="0"/>
        <w:rPr>
          <w:rFonts w:cs="Arial"/>
          <w:b/>
          <w:b/>
          <w:bCs/>
          <w:color w:val="auto"/>
          <w:szCs w:val="24"/>
        </w:rPr>
      </w:pPr>
      <w:r>
        <w:rPr>
          <w:rFonts w:cs="Arial"/>
          <w:b/>
          <w:bCs/>
          <w:color w:val="auto"/>
          <w:szCs w:val="24"/>
        </w:rPr>
        <w:t>Safety, security and risk</w:t>
      </w:r>
    </w:p>
    <w:p>
      <w:pPr>
        <w:pStyle w:val="ListParagraph"/>
        <w:numPr>
          <w:ilvl w:val="0"/>
          <w:numId w:val="9"/>
        </w:numPr>
        <w:rPr>
          <w:rFonts w:cs="Arial"/>
          <w:color w:val="auto"/>
          <w:szCs w:val="24"/>
        </w:rPr>
      </w:pPr>
      <w:r>
        <w:rPr>
          <w:rFonts w:cs="Arial"/>
          <w:color w:val="auto"/>
          <w:szCs w:val="24"/>
        </w:rPr>
        <w:t>Maintain a high level of general safety, security and situational awareness appropriate to the role.</w:t>
      </w:r>
    </w:p>
    <w:p>
      <w:pPr>
        <w:pStyle w:val="ListParagraph"/>
        <w:numPr>
          <w:ilvl w:val="0"/>
          <w:numId w:val="9"/>
        </w:numPr>
        <w:rPr>
          <w:rFonts w:cs="Arial"/>
          <w:color w:val="auto"/>
          <w:szCs w:val="24"/>
        </w:rPr>
      </w:pPr>
      <w:r>
        <w:rPr>
          <w:rFonts w:cs="Arial"/>
          <w:color w:val="auto"/>
          <w:szCs w:val="24"/>
        </w:rPr>
        <w:t>Apply relevant controls identified through event, venue or personal-safety risk assessments and follow GMCA policies and procedures.</w:t>
      </w:r>
    </w:p>
    <w:p>
      <w:pPr>
        <w:pStyle w:val="ListParagraph"/>
        <w:numPr>
          <w:ilvl w:val="0"/>
          <w:numId w:val="9"/>
        </w:numPr>
        <w:rPr>
          <w:rFonts w:cs="Arial"/>
          <w:color w:val="auto"/>
          <w:szCs w:val="24"/>
        </w:rPr>
      </w:pPr>
      <w:r>
        <w:rPr>
          <w:rFonts w:cs="Arial"/>
          <w:color w:val="auto"/>
          <w:szCs w:val="24"/>
        </w:rPr>
        <w:t>Make proportionate judgements within the scope of the role and recognise when specialist advice or intervention is required.</w:t>
      </w:r>
    </w:p>
    <w:p>
      <w:pPr>
        <w:pStyle w:val="ListParagraph"/>
        <w:numPr>
          <w:ilvl w:val="0"/>
          <w:numId w:val="9"/>
        </w:numPr>
        <w:rPr>
          <w:rFonts w:cs="Arial"/>
          <w:color w:val="auto"/>
          <w:szCs w:val="24"/>
        </w:rPr>
      </w:pPr>
      <w:r>
        <w:rPr>
          <w:rFonts w:cs="Arial"/>
          <w:color w:val="auto"/>
          <w:szCs w:val="24"/>
        </w:rPr>
        <w:t>Report and escalate safety, security, welfare or crowd-related concerns through agreed channels.</w:t>
      </w:r>
    </w:p>
    <w:p>
      <w:pPr>
        <w:pStyle w:val="ListParagraph"/>
        <w:numPr>
          <w:ilvl w:val="0"/>
          <w:numId w:val="9"/>
        </w:numPr>
        <w:rPr>
          <w:rFonts w:cs="Arial"/>
          <w:color w:val="auto"/>
          <w:szCs w:val="24"/>
        </w:rPr>
      </w:pPr>
      <w:r>
        <w:rPr>
          <w:rFonts w:cs="Arial"/>
          <w:color w:val="auto"/>
          <w:szCs w:val="24"/>
        </w:rPr>
        <w:t>Record relevant incidents and contribute to post-event reviews and learning where appropriate.</w:t>
      </w:r>
    </w:p>
    <w:p>
      <w:pPr>
        <w:pStyle w:val="ListParagraph"/>
        <w:numPr>
          <w:ilvl w:val="0"/>
          <w:numId w:val="9"/>
        </w:numPr>
        <w:rPr>
          <w:rFonts w:cs="Arial"/>
          <w:color w:val="auto"/>
          <w:szCs w:val="24"/>
        </w:rPr>
      </w:pPr>
      <w:r>
        <w:rPr>
          <w:rFonts w:cs="Arial"/>
          <w:color w:val="auto"/>
          <w:szCs w:val="24"/>
        </w:rPr>
        <w:t>Work within the boundaries of the role and do not undertake specialist security, close protection, enforcement or physical crowd-control activity.</w:t>
      </w:r>
    </w:p>
    <w:p>
      <w:pPr>
        <w:pStyle w:val="ListParagraph"/>
        <w:numPr>
          <w:ilvl w:val="0"/>
          <w:numId w:val="5"/>
        </w:numPr>
        <w:ind w:left="720" w:right="0" w:hanging="0"/>
        <w:rPr>
          <w:rFonts w:cs="Arial"/>
          <w:b/>
          <w:b/>
          <w:bCs/>
          <w:color w:val="auto"/>
          <w:szCs w:val="24"/>
        </w:rPr>
      </w:pPr>
      <w:r>
        <w:rPr>
          <w:rFonts w:cs="Arial"/>
          <w:b/>
          <w:bCs/>
          <w:color w:val="auto"/>
          <w:szCs w:val="24"/>
        </w:rPr>
        <w:t>Professional relationships and standards</w:t>
      </w:r>
    </w:p>
    <w:p>
      <w:pPr>
        <w:pStyle w:val="ListParagraph"/>
        <w:numPr>
          <w:ilvl w:val="0"/>
          <w:numId w:val="10"/>
        </w:numPr>
        <w:rPr>
          <w:rFonts w:cs="Arial"/>
          <w:color w:val="auto"/>
          <w:szCs w:val="24"/>
        </w:rPr>
      </w:pPr>
      <w:r>
        <w:rPr>
          <w:rFonts w:cs="Arial"/>
          <w:color w:val="auto"/>
          <w:szCs w:val="24"/>
        </w:rPr>
        <w:t>Build trusted and effective relationships with the Mayor, Deputy Mayor, senior office-holders, GMCA colleagues, event organisers, venues, partners and specialist providers.</w:t>
      </w:r>
    </w:p>
    <w:p>
      <w:pPr>
        <w:pStyle w:val="ListParagraph"/>
        <w:numPr>
          <w:ilvl w:val="0"/>
          <w:numId w:val="10"/>
        </w:numPr>
        <w:rPr>
          <w:rFonts w:cs="Arial"/>
          <w:color w:val="auto"/>
          <w:szCs w:val="24"/>
        </w:rPr>
      </w:pPr>
      <w:r>
        <w:rPr>
          <w:rFonts w:cs="Arial"/>
          <w:color w:val="auto"/>
          <w:szCs w:val="24"/>
        </w:rPr>
        <w:t>Exercise discretion, maintain confidentiality and demonstrate political awareness and impartiality.</w:t>
      </w:r>
    </w:p>
    <w:p>
      <w:pPr>
        <w:pStyle w:val="ListParagraph"/>
        <w:numPr>
          <w:ilvl w:val="0"/>
          <w:numId w:val="10"/>
        </w:numPr>
        <w:rPr>
          <w:rFonts w:cs="Arial"/>
          <w:color w:val="auto"/>
          <w:szCs w:val="24"/>
        </w:rPr>
      </w:pPr>
      <w:r>
        <w:rPr>
          <w:rFonts w:cs="Arial"/>
          <w:color w:val="auto"/>
          <w:szCs w:val="24"/>
        </w:rPr>
        <w:t>Raise concerns confidently and constructively, including where arrangements may need to be reconsidered.</w:t>
      </w:r>
    </w:p>
    <w:p>
      <w:pPr>
        <w:pStyle w:val="ListParagraph"/>
        <w:numPr>
          <w:ilvl w:val="0"/>
          <w:numId w:val="10"/>
        </w:numPr>
        <w:rPr>
          <w:rFonts w:cs="Arial"/>
          <w:color w:val="auto"/>
          <w:szCs w:val="24"/>
        </w:rPr>
      </w:pPr>
      <w:r>
        <w:rPr>
          <w:rFonts w:cs="Arial"/>
          <w:color w:val="auto"/>
          <w:szCs w:val="24"/>
        </w:rPr>
        <w:t>Remain professional and composed when working under pressure or dealing with conflicting expectations.</w:t>
      </w:r>
    </w:p>
    <w:p>
      <w:pPr>
        <w:pStyle w:val="ListParagraph"/>
        <w:numPr>
          <w:ilvl w:val="0"/>
          <w:numId w:val="10"/>
        </w:numPr>
        <w:rPr>
          <w:rFonts w:cs="Arial"/>
          <w:color w:val="auto"/>
          <w:szCs w:val="24"/>
        </w:rPr>
      </w:pPr>
      <w:r>
        <w:rPr>
          <w:rFonts w:cs="Arial"/>
          <w:color w:val="auto"/>
          <w:szCs w:val="24"/>
        </w:rPr>
        <w:t>Represent GMCA positively, work collaboratively with colleagues and partners,  demonstrating the organisation’s values and behaviours.</w:t>
      </w:r>
    </w:p>
    <w:p>
      <w:pPr>
        <w:pStyle w:val="ListParagraph"/>
        <w:numPr>
          <w:ilvl w:val="0"/>
          <w:numId w:val="10"/>
        </w:numPr>
        <w:rPr>
          <w:rFonts w:cs="Arial"/>
          <w:color w:val="auto"/>
          <w:szCs w:val="24"/>
        </w:rPr>
      </w:pPr>
      <w:r>
        <w:rPr>
          <w:rFonts w:cs="Arial"/>
          <w:color w:val="auto"/>
          <w:szCs w:val="24"/>
        </w:rPr>
        <w:t>Maintain the knowledge and skills required for the role through appropriate learning and development.</w:t>
      </w:r>
    </w:p>
    <w:p>
      <w:pPr>
        <w:pStyle w:val="Heading2"/>
        <w:shd w:fill="004F6E" w:val="clear"/>
        <w:rPr>
          <w:rFonts w:cs="Arial"/>
          <w:sz w:val="24"/>
          <w:szCs w:val="24"/>
        </w:rPr>
      </w:pPr>
      <w:r>
        <w:rPr>
          <w:rFonts w:cs="Arial"/>
          <w:sz w:val="24"/>
          <w:szCs w:val="24"/>
        </w:rPr>
        <w:t>General.</w:t>
      </w:r>
    </w:p>
    <w:p>
      <w:pPr>
        <w:pStyle w:val="Normal"/>
        <w:rPr>
          <w:rFonts w:cs="Arial"/>
          <w:b/>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Knowledge, Skills, and Experience</w:t>
      </w:r>
    </w:p>
    <w:p>
      <w:pPr>
        <w:pStyle w:val="Heading3"/>
        <w:rPr>
          <w:rFonts w:cs="Arial"/>
          <w:b/>
          <w:b/>
          <w:bCs/>
          <w:sz w:val="24"/>
        </w:rPr>
      </w:pPr>
      <w:r>
        <w:rPr>
          <w:rFonts w:cs="Arial"/>
          <w:b/>
          <w:bCs/>
          <w:sz w:val="24"/>
        </w:rPr>
        <w:t>Knowledge &amp; Experience</w:t>
      </w:r>
    </w:p>
    <w:p>
      <w:pPr>
        <w:pStyle w:val="ListParagraph"/>
        <w:numPr>
          <w:ilvl w:val="0"/>
          <w:numId w:val="4"/>
        </w:numPr>
        <w:rPr>
          <w:rFonts w:cs="Arial"/>
          <w:color w:val="auto"/>
        </w:rPr>
      </w:pPr>
      <w:r>
        <w:rPr>
          <w:rFonts w:cs="Arial"/>
          <w:color w:val="auto"/>
        </w:rPr>
        <w:t xml:space="preserve">Experience of working in a public-facing role requiring professionalism, discretion and sound judgement. </w:t>
      </w:r>
    </w:p>
    <w:p>
      <w:pPr>
        <w:pStyle w:val="ListParagraph"/>
        <w:numPr>
          <w:ilvl w:val="0"/>
          <w:numId w:val="4"/>
        </w:numPr>
        <w:rPr>
          <w:rFonts w:cs="Arial"/>
          <w:color w:val="auto"/>
        </w:rPr>
      </w:pPr>
      <w:r>
        <w:rPr>
          <w:rFonts w:cs="Arial"/>
          <w:color w:val="auto"/>
        </w:rPr>
        <w:t xml:space="preserve">Experience of supporting senior individuals, stakeholders or members of the public in busy, sensitive or high-profile environments. </w:t>
      </w:r>
    </w:p>
    <w:p>
      <w:pPr>
        <w:pStyle w:val="ListParagraph"/>
        <w:numPr>
          <w:ilvl w:val="0"/>
          <w:numId w:val="4"/>
        </w:numPr>
        <w:rPr>
          <w:rFonts w:cs="Arial"/>
          <w:color w:val="auto"/>
        </w:rPr>
      </w:pPr>
      <w:r>
        <w:rPr>
          <w:rFonts w:cs="Arial"/>
          <w:color w:val="auto"/>
        </w:rPr>
        <w:t xml:space="preserve">Experience of dealing calmly and effectively with challenging or unexpected situations. </w:t>
      </w:r>
    </w:p>
    <w:p>
      <w:pPr>
        <w:pStyle w:val="ListParagraph"/>
        <w:numPr>
          <w:ilvl w:val="0"/>
          <w:numId w:val="4"/>
        </w:numPr>
        <w:rPr>
          <w:rFonts w:cs="Arial"/>
          <w:color w:val="auto"/>
        </w:rPr>
      </w:pPr>
      <w:r>
        <w:rPr>
          <w:rFonts w:cs="Arial"/>
          <w:color w:val="auto"/>
        </w:rPr>
        <w:t xml:space="preserve">Ability to identify potential risks or concerns, take proportionate action and recognise when matters need to be escalated. </w:t>
      </w:r>
    </w:p>
    <w:p>
      <w:pPr>
        <w:pStyle w:val="ListParagraph"/>
        <w:numPr>
          <w:ilvl w:val="0"/>
          <w:numId w:val="4"/>
        </w:numPr>
        <w:rPr>
          <w:rFonts w:cs="Arial"/>
          <w:color w:val="auto"/>
        </w:rPr>
      </w:pPr>
      <w:r>
        <w:rPr>
          <w:rFonts w:cs="Arial"/>
          <w:color w:val="auto"/>
        </w:rPr>
        <w:t xml:space="preserve">Understanding of personal safety, event safety, practical risk assessment and general security awareness. </w:t>
      </w:r>
    </w:p>
    <w:p>
      <w:pPr>
        <w:pStyle w:val="ListParagraph"/>
        <w:numPr>
          <w:ilvl w:val="0"/>
          <w:numId w:val="4"/>
        </w:numPr>
        <w:rPr>
          <w:rFonts w:cs="Arial"/>
          <w:color w:val="auto"/>
        </w:rPr>
      </w:pPr>
      <w:r>
        <w:rPr>
          <w:rFonts w:cs="Arial"/>
          <w:color w:val="auto"/>
        </w:rPr>
        <w:t xml:space="preserve">Understanding of the importance of confidentiality and the appropriate handling of sensitive information. </w:t>
      </w:r>
    </w:p>
    <w:p>
      <w:pPr>
        <w:pStyle w:val="ListParagraph"/>
        <w:numPr>
          <w:ilvl w:val="0"/>
          <w:numId w:val="4"/>
        </w:numPr>
        <w:rPr>
          <w:rFonts w:cs="Arial"/>
          <w:color w:val="auto"/>
        </w:rPr>
      </w:pPr>
      <w:r>
        <w:rPr>
          <w:rFonts w:cs="Arial"/>
          <w:color w:val="auto"/>
        </w:rPr>
        <w:t>Awareness of political sensitivity, impartiality and public accountability when working in a mayoral combined authority environment.</w:t>
      </w:r>
    </w:p>
    <w:p>
      <w:pPr>
        <w:pStyle w:val="ListParagraph"/>
        <w:numPr>
          <w:ilvl w:val="0"/>
          <w:numId w:val="0"/>
        </w:numPr>
        <w:ind w:left="720" w:right="0" w:hanging="0"/>
        <w:rPr>
          <w:rFonts w:cs="Arial"/>
          <w:color w:val="auto"/>
        </w:rPr>
      </w:pPr>
      <w:r>
        <w:rPr>
          <w:rFonts w:cs="Arial"/>
          <w:color w:val="auto"/>
        </w:rPr>
      </w:r>
    </w:p>
    <w:p>
      <w:pPr>
        <w:pStyle w:val="Normal"/>
        <w:rPr>
          <w:rFonts w:cs="Arial"/>
          <w:b/>
          <w:b/>
          <w:bCs/>
          <w:color w:val="auto"/>
        </w:rPr>
      </w:pPr>
      <w:r>
        <w:rPr>
          <w:rFonts w:cs="Arial"/>
          <w:b/>
          <w:bCs/>
          <w:color w:val="auto"/>
        </w:rPr>
        <w:t>Skills, Values and Behaviours</w:t>
      </w:r>
    </w:p>
    <w:p>
      <w:pPr>
        <w:pStyle w:val="ListParagraph"/>
        <w:numPr>
          <w:ilvl w:val="0"/>
          <w:numId w:val="4"/>
        </w:numPr>
        <w:spacing w:before="60" w:after="240"/>
        <w:contextualSpacing/>
        <w:rPr/>
      </w:pPr>
      <w:r>
        <w:rPr>
          <w:rFonts w:cs="Arial"/>
          <w:szCs w:val="24"/>
        </w:rPr>
        <w:t xml:space="preserve">Judgement and situational awareness – Able to assess changing situations, </w:t>
      </w:r>
      <w:r>
        <w:rPr>
          <w:rFonts w:cs="Arial"/>
          <w:color w:val="auto"/>
        </w:rPr>
        <w:t xml:space="preserve">identify potential concerns, take proportionate action and recognise when escalation or specialist support is required. </w:t>
      </w:r>
    </w:p>
    <w:p>
      <w:pPr>
        <w:pStyle w:val="ListParagraph"/>
        <w:numPr>
          <w:ilvl w:val="0"/>
          <w:numId w:val="4"/>
        </w:numPr>
        <w:rPr>
          <w:rFonts w:cs="Arial"/>
          <w:color w:val="auto"/>
        </w:rPr>
      </w:pPr>
      <w:r>
        <w:rPr>
          <w:rFonts w:cs="Arial"/>
          <w:color w:val="auto"/>
        </w:rPr>
        <w:t xml:space="preserve">Communication and interpersonal skills – Confident, approachable and diplomatic, with the ability to build effective relationships and manage sensitive or challenging interactions calmly. </w:t>
      </w:r>
    </w:p>
    <w:p>
      <w:pPr>
        <w:pStyle w:val="ListParagraph"/>
        <w:numPr>
          <w:ilvl w:val="0"/>
          <w:numId w:val="4"/>
        </w:numPr>
        <w:rPr>
          <w:rFonts w:cs="Arial"/>
          <w:color w:val="auto"/>
        </w:rPr>
      </w:pPr>
      <w:r>
        <w:rPr>
          <w:rFonts w:cs="Arial"/>
          <w:color w:val="auto"/>
        </w:rPr>
        <w:t xml:space="preserve">Discretion and integrity – Demonstrates sound judgement, maintains confidentiality and understands appropriate professional boundaries. </w:t>
      </w:r>
    </w:p>
    <w:p>
      <w:pPr>
        <w:pStyle w:val="ListParagraph"/>
        <w:numPr>
          <w:ilvl w:val="0"/>
          <w:numId w:val="4"/>
        </w:numPr>
        <w:rPr>
          <w:rFonts w:cs="Arial"/>
          <w:color w:val="auto"/>
        </w:rPr>
      </w:pPr>
      <w:r>
        <w:rPr>
          <w:rFonts w:cs="Arial"/>
          <w:color w:val="auto"/>
        </w:rPr>
        <w:t xml:space="preserve">Political awareness and impartiality – Understands the sensitivities of working in a high-profile public environment and acts professionally and impartially. </w:t>
      </w:r>
    </w:p>
    <w:p>
      <w:pPr>
        <w:pStyle w:val="ListParagraph"/>
        <w:numPr>
          <w:ilvl w:val="0"/>
          <w:numId w:val="4"/>
        </w:numPr>
        <w:rPr>
          <w:rFonts w:cs="Arial"/>
          <w:color w:val="auto"/>
        </w:rPr>
      </w:pPr>
      <w:r>
        <w:rPr>
          <w:rFonts w:cs="Arial"/>
          <w:color w:val="auto"/>
        </w:rPr>
        <w:t>Flexibility and responsiveness – Willing and able to work flexibly, including occasional evenings and weekends where required, adapting working hours and availability to support changing diary commitments, events and engagements.</w:t>
      </w:r>
    </w:p>
    <w:p>
      <w:pPr>
        <w:pStyle w:val="ListParagraph"/>
        <w:numPr>
          <w:ilvl w:val="0"/>
          <w:numId w:val="4"/>
        </w:numPr>
        <w:rPr>
          <w:rFonts w:cs="Arial"/>
          <w:color w:val="auto"/>
        </w:rPr>
      </w:pPr>
      <w:r>
        <w:rPr>
          <w:rFonts w:cs="Arial"/>
          <w:color w:val="auto"/>
        </w:rPr>
        <w:t xml:space="preserve">Planning and adaptability – Able to anticipate practical issues, respond effectively to changing circumstances and remain calm under pressure. </w:t>
      </w:r>
    </w:p>
    <w:p>
      <w:pPr>
        <w:pStyle w:val="ListParagraph"/>
        <w:numPr>
          <w:ilvl w:val="0"/>
          <w:numId w:val="4"/>
        </w:numPr>
        <w:rPr>
          <w:rFonts w:cs="Arial"/>
          <w:color w:val="auto"/>
        </w:rPr>
      </w:pPr>
      <w:r>
        <w:rPr>
          <w:rFonts w:cs="Arial"/>
          <w:color w:val="auto"/>
        </w:rPr>
        <w:t xml:space="preserve">Collaboration – Works effectively with colleagues, partners, event organisers, venues and specialist providers. </w:t>
      </w:r>
    </w:p>
    <w:p>
      <w:pPr>
        <w:pStyle w:val="ListParagraph"/>
        <w:numPr>
          <w:ilvl w:val="0"/>
          <w:numId w:val="4"/>
        </w:numPr>
        <w:rPr>
          <w:rFonts w:cs="Arial"/>
          <w:color w:val="auto"/>
        </w:rPr>
      </w:pPr>
      <w:r>
        <w:rPr>
          <w:rFonts w:cs="Arial"/>
          <w:color w:val="auto"/>
        </w:rPr>
        <w:t xml:space="preserve">Commitment to equality – Treats people with dignity and respect and supports inclusive and accessible engagement. </w:t>
      </w:r>
    </w:p>
    <w:p>
      <w:pPr>
        <w:pStyle w:val="ListParagraph"/>
        <w:numPr>
          <w:ilvl w:val="0"/>
          <w:numId w:val="4"/>
        </w:numPr>
        <w:rPr>
          <w:rFonts w:cs="Arial"/>
          <w:color w:val="auto"/>
        </w:rPr>
      </w:pPr>
      <w:r>
        <w:rPr>
          <w:rFonts w:cs="Arial"/>
          <w:color w:val="auto"/>
        </w:rPr>
        <w:t>Personal style – Demonstrates professionalism, resilience and the values and behaviours of GMCA.</w:t>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footerReference w:type="default" r:id="rId4"/>
      <w:footerReference w:type="first" r:id="rId5"/>
      <w:type w:val="nextPage"/>
      <w:pgSz w:w="11906" w:h="16850"/>
      <w:pgMar w:left="1276" w:right="1410" w:header="709" w:top="1560" w:footer="0" w:bottom="993"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o"/>
      <w:lvlJc w:val="left"/>
      <w:pPr>
        <w:ind w:left="502" w:hanging="360"/>
      </w:pPr>
      <w:rPr>
        <w:rFonts w:ascii="Courier New" w:hAnsi="Courier New" w:cs="Courier New" w:hint="default"/>
        <w:rFonts w:cs="Courier New"/>
      </w:rPr>
    </w:lvl>
    <w:lvl w:ilvl="1">
      <w:start w:val="1"/>
      <w:numFmt w:val="bullet"/>
      <w:lvlText w:val="o"/>
      <w:lvlJc w:val="left"/>
      <w:pPr>
        <w:ind w:left="1178" w:hanging="360"/>
      </w:pPr>
      <w:rPr>
        <w:rFonts w:ascii="Courier New" w:hAnsi="Courier New" w:cs="Courier New" w:hint="default"/>
        <w:rFonts w:cs="Times New Roman"/>
      </w:rPr>
    </w:lvl>
    <w:lvl w:ilvl="2">
      <w:start w:val="1"/>
      <w:numFmt w:val="bullet"/>
      <w:lvlText w:val=""/>
      <w:lvlJc w:val="left"/>
      <w:pPr>
        <w:ind w:left="1898" w:hanging="360"/>
      </w:pPr>
      <w:rPr>
        <w:rFonts w:ascii="Wingdings" w:hAnsi="Wingdings" w:cs="Wingdings" w:hint="default"/>
        <w:rFonts w:cs="Wingdings"/>
      </w:rPr>
    </w:lvl>
    <w:lvl w:ilvl="3">
      <w:start w:val="1"/>
      <w:numFmt w:val="bullet"/>
      <w:lvlText w:val=""/>
      <w:lvlJc w:val="left"/>
      <w:pPr>
        <w:ind w:left="2618" w:hanging="360"/>
      </w:pPr>
      <w:rPr>
        <w:rFonts w:ascii="Symbol" w:hAnsi="Symbol" w:cs="Symbol" w:hint="default"/>
        <w:rFonts w:cs="Symbol"/>
      </w:rPr>
    </w:lvl>
    <w:lvl w:ilvl="4">
      <w:start w:val="1"/>
      <w:numFmt w:val="bullet"/>
      <w:lvlText w:val="o"/>
      <w:lvlJc w:val="left"/>
      <w:pPr>
        <w:ind w:left="3338" w:hanging="360"/>
      </w:pPr>
      <w:rPr>
        <w:rFonts w:ascii="Courier New" w:hAnsi="Courier New" w:cs="Courier New" w:hint="default"/>
        <w:rFonts w:cs="Times New Roman"/>
      </w:rPr>
    </w:lvl>
    <w:lvl w:ilvl="5">
      <w:start w:val="1"/>
      <w:numFmt w:val="bullet"/>
      <w:lvlText w:val=""/>
      <w:lvlJc w:val="left"/>
      <w:pPr>
        <w:ind w:left="4058" w:hanging="360"/>
      </w:pPr>
      <w:rPr>
        <w:rFonts w:ascii="Wingdings" w:hAnsi="Wingdings" w:cs="Wingdings" w:hint="default"/>
        <w:rFonts w:cs="Wingdings"/>
      </w:rPr>
    </w:lvl>
    <w:lvl w:ilvl="6">
      <w:start w:val="1"/>
      <w:numFmt w:val="bullet"/>
      <w:lvlText w:val=""/>
      <w:lvlJc w:val="left"/>
      <w:pPr>
        <w:ind w:left="4778" w:hanging="360"/>
      </w:pPr>
      <w:rPr>
        <w:rFonts w:ascii="Symbol" w:hAnsi="Symbol" w:cs="Symbol" w:hint="default"/>
        <w:rFonts w:cs="Symbol"/>
      </w:rPr>
    </w:lvl>
    <w:lvl w:ilvl="7">
      <w:start w:val="1"/>
      <w:numFmt w:val="bullet"/>
      <w:lvlText w:val="o"/>
      <w:lvlJc w:val="left"/>
      <w:pPr>
        <w:ind w:left="5498" w:hanging="360"/>
      </w:pPr>
      <w:rPr>
        <w:rFonts w:ascii="Courier New" w:hAnsi="Courier New" w:cs="Courier New" w:hint="default"/>
        <w:rFonts w:cs="Times New Roman"/>
      </w:rPr>
    </w:lvl>
    <w:lvl w:ilvl="8">
      <w:start w:val="1"/>
      <w:numFmt w:val="bullet"/>
      <w:lvlText w:val=""/>
      <w:lvlJc w:val="left"/>
      <w:pPr>
        <w:ind w:left="6218"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color w:val="auto"/>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0" w:hanging="36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0">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paragraph" w:styleId="Heading4">
    <w:name w:val="Heading 4"/>
    <w:basedOn w:val="Normal"/>
    <w:next w:val="Normal"/>
    <w:qFormat/>
    <w:pPr>
      <w:keepNext w:val="true"/>
      <w:keepLines/>
      <w:numPr>
        <w:ilvl w:val="3"/>
        <w:numId w:val="1"/>
      </w:numPr>
      <w:spacing w:before="40" w:after="0"/>
      <w:outlineLvl w:val="3"/>
    </w:pPr>
    <w:rPr>
      <w:rFonts w:ascii="Cambria" w:hAnsi="Cambria" w:eastAsia="" w:cs=""/>
      <w:i/>
      <w:iCs/>
      <w:color w:val="213B47"/>
    </w:rPr>
  </w:style>
  <w:style w:type="paragraph" w:styleId="Heading5">
    <w:name w:val="Heading 5"/>
    <w:basedOn w:val="Normal"/>
    <w:next w:val="Normal"/>
    <w:qFormat/>
    <w:pPr>
      <w:keepNext w:val="true"/>
      <w:keepLines/>
      <w:numPr>
        <w:ilvl w:val="4"/>
        <w:numId w:val="1"/>
      </w:numPr>
      <w:spacing w:before="40" w:after="0"/>
      <w:outlineLvl w:val="4"/>
    </w:pPr>
    <w:rPr>
      <w:rFonts w:ascii="Cambria" w:hAnsi="Cambria" w:eastAsia="" w:cs=""/>
      <w:color w:val="213B47"/>
    </w:rPr>
  </w:style>
  <w:style w:type="paragraph" w:styleId="Heading6">
    <w:name w:val="Heading 6"/>
    <w:basedOn w:val="Normal"/>
    <w:next w:val="Normal"/>
    <w:qFormat/>
    <w:pPr>
      <w:keepNext w:val="true"/>
      <w:keepLines/>
      <w:numPr>
        <w:ilvl w:val="5"/>
        <w:numId w:val="1"/>
      </w:numPr>
      <w:spacing w:before="40" w:after="0"/>
      <w:outlineLvl w:val="5"/>
    </w:pPr>
    <w:rPr>
      <w:rFonts w:ascii="Cambria" w:hAnsi="Cambria" w:eastAsia="" w:cs=""/>
      <w:color w:val="16272F"/>
    </w:rPr>
  </w:style>
  <w:style w:type="paragraph" w:styleId="Heading7">
    <w:name w:val="Heading 7"/>
    <w:basedOn w:val="Normal"/>
    <w:next w:val="Normal"/>
    <w:qFormat/>
    <w:pPr>
      <w:keepNext w:val="true"/>
      <w:keepLines/>
      <w:numPr>
        <w:ilvl w:val="6"/>
        <w:numId w:val="1"/>
      </w:numPr>
      <w:spacing w:before="40" w:after="0"/>
      <w:outlineLvl w:val="6"/>
    </w:pPr>
    <w:rPr>
      <w:rFonts w:ascii="Cambria" w:hAnsi="Cambria" w:eastAsia="" w:cs=""/>
      <w:i/>
      <w:iCs/>
      <w:color w:val="16272F"/>
    </w:rPr>
  </w:style>
  <w:style w:type="paragraph" w:styleId="Heading8">
    <w:name w:val="Heading 8"/>
    <w:basedOn w:val="Normal"/>
    <w:next w:val="Normal"/>
    <w:qFormat/>
    <w:pPr>
      <w:keepNext w:val="true"/>
      <w:keepLines/>
      <w:numPr>
        <w:ilvl w:val="7"/>
        <w:numId w:val="1"/>
      </w:numPr>
      <w:spacing w:before="40" w:after="0"/>
      <w:outlineLvl w:val="7"/>
    </w:pPr>
    <w:rPr>
      <w:rFonts w:ascii="Cambria" w:hAnsi="Cambria" w:eastAsia="" w:cs=""/>
      <w:color w:val="272727"/>
      <w:sz w:val="21"/>
      <w:szCs w:val="21"/>
    </w:rPr>
  </w:style>
  <w:style w:type="paragraph" w:styleId="Heading9">
    <w:name w:val="Heading 9"/>
    <w:basedOn w:val="Normal"/>
    <w:next w:val="Normal"/>
    <w:qFormat/>
    <w:pPr>
      <w:keepNext w:val="true"/>
      <w:keepLines/>
      <w:numPr>
        <w:ilvl w:val="8"/>
        <w:numId w:val="1"/>
      </w:numPr>
      <w:spacing w:before="40" w:after="0"/>
      <w:outlineLvl w:val="8"/>
    </w:pPr>
    <w:rPr>
      <w:rFonts w:ascii="Cambria" w:hAnsi="Cambria" w:eastAsia="" w:cs=""/>
      <w:i/>
      <w:iCs/>
      <w:color w:val="272727"/>
      <w:sz w:val="21"/>
      <w:szCs w:val="21"/>
    </w:rPr>
  </w:style>
  <w:style w:type="character" w:styleId="WW8Num1z0">
    <w:name w:val="WW8Num1z0"/>
    <w:qFormat/>
    <w:rPr>
      <w:rFonts w:ascii="Symbol" w:hAnsi="Symbol" w:cs="Symbol"/>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Courier New" w:hAnsi="Courier New" w:cs="Courier New"/>
    </w:rPr>
  </w:style>
  <w:style w:type="character" w:styleId="WW8Num2z1">
    <w:name w:val="WW8Num2z1"/>
    <w:qFormat/>
    <w:rPr>
      <w:rFonts w:ascii="Courier New" w:hAnsi="Courier New" w:cs="Times New Roman"/>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auto"/>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qFormat/>
    <w:rPr>
      <w:rFonts w:ascii="Arial" w:hAnsi="Arial" w:eastAsia="Calibri" w:cs="Calibri"/>
      <w:color w:val="262626"/>
      <w:sz w:val="24"/>
      <w:lang w:val="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Cf01">
    <w:name w:val="cf01"/>
    <w:basedOn w:val="DefaultParagraphFont"/>
    <w:qFormat/>
    <w:rPr>
      <w:rFonts w:ascii="Segoe UI" w:hAnsi="Segoe UI" w:cs="Segoe UI"/>
      <w:color w:val="262626"/>
      <w:sz w:val="18"/>
      <w:szCs w:val="18"/>
    </w:rPr>
  </w:style>
  <w:style w:type="character" w:styleId="BookTitle">
    <w:name w:val="Book Title"/>
    <w:basedOn w:val="DefaultParagraphFont"/>
    <w:qFormat/>
    <w:rPr>
      <w:b/>
      <w:bCs/>
      <w:i/>
      <w:iCs/>
      <w:spacing w:val="5"/>
    </w:rPr>
  </w:style>
  <w:style w:type="character" w:styleId="Emphasis">
    <w:name w:val="Emphasis"/>
    <w:basedOn w:val="DefaultParagraphFont"/>
    <w:qFormat/>
    <w:rPr>
      <w:i/>
      <w:iCs/>
    </w:rPr>
  </w:style>
  <w:style w:type="character" w:styleId="Heading4Char">
    <w:name w:val="Heading 4 Char"/>
    <w:basedOn w:val="DefaultParagraphFont"/>
    <w:qFormat/>
    <w:rPr>
      <w:rFonts w:ascii="Cambria" w:hAnsi="Cambria" w:eastAsia="" w:cs=""/>
      <w:i/>
      <w:iCs/>
      <w:color w:val="213B47"/>
      <w:sz w:val="24"/>
      <w:lang w:val="en-GB"/>
    </w:rPr>
  </w:style>
  <w:style w:type="character" w:styleId="Heading5Char">
    <w:name w:val="Heading 5 Char"/>
    <w:basedOn w:val="DefaultParagraphFont"/>
    <w:qFormat/>
    <w:rPr>
      <w:rFonts w:ascii="Cambria" w:hAnsi="Cambria" w:eastAsia="" w:cs=""/>
      <w:color w:val="213B47"/>
      <w:sz w:val="24"/>
      <w:lang w:val="en-GB"/>
    </w:rPr>
  </w:style>
  <w:style w:type="character" w:styleId="Heading6Char">
    <w:name w:val="Heading 6 Char"/>
    <w:basedOn w:val="DefaultParagraphFont"/>
    <w:qFormat/>
    <w:rPr>
      <w:rFonts w:ascii="Cambria" w:hAnsi="Cambria" w:eastAsia="" w:cs=""/>
      <w:color w:val="16272F"/>
      <w:sz w:val="24"/>
      <w:lang w:val="en-GB"/>
    </w:rPr>
  </w:style>
  <w:style w:type="character" w:styleId="Heading7Char">
    <w:name w:val="Heading 7 Char"/>
    <w:basedOn w:val="DefaultParagraphFont"/>
    <w:qFormat/>
    <w:rPr>
      <w:rFonts w:ascii="Cambria" w:hAnsi="Cambria" w:eastAsia="" w:cs=""/>
      <w:i/>
      <w:iCs/>
      <w:color w:val="16272F"/>
      <w:sz w:val="24"/>
      <w:lang w:val="en-GB"/>
    </w:rPr>
  </w:style>
  <w:style w:type="character" w:styleId="Heading8Char">
    <w:name w:val="Heading 8 Char"/>
    <w:basedOn w:val="DefaultParagraphFont"/>
    <w:qFormat/>
    <w:rPr>
      <w:rFonts w:ascii="Cambria" w:hAnsi="Cambria" w:eastAsia="" w:cs=""/>
      <w:color w:val="272727"/>
      <w:sz w:val="21"/>
      <w:szCs w:val="21"/>
      <w:lang w:val="en-GB"/>
    </w:rPr>
  </w:style>
  <w:style w:type="character" w:styleId="Heading9Char">
    <w:name w:val="Heading 9 Char"/>
    <w:basedOn w:val="DefaultParagraphFont"/>
    <w:qFormat/>
    <w:rPr>
      <w:rFonts w:ascii="Cambria" w:hAnsi="Cambria" w:eastAsia="" w:cs=""/>
      <w:i/>
      <w:iCs/>
      <w:color w:val="272727"/>
      <w:sz w:val="21"/>
      <w:szCs w:val="21"/>
      <w:lang w:val="en-GB"/>
    </w:rPr>
  </w:style>
  <w:style w:type="character" w:styleId="IntenseEmphasis">
    <w:name w:val="Intense Emphasis"/>
    <w:basedOn w:val="DefaultParagraphFont"/>
    <w:qFormat/>
    <w:rPr>
      <w:i/>
      <w:iCs/>
      <w:color w:val="2C5060"/>
    </w:rPr>
  </w:style>
  <w:style w:type="character" w:styleId="IntenseQuoteChar">
    <w:name w:val="Intense Quote Char"/>
    <w:basedOn w:val="DefaultParagraphFont"/>
    <w:qFormat/>
    <w:rPr>
      <w:rFonts w:ascii="Arial" w:hAnsi="Arial" w:eastAsia="Calibri" w:cs="Calibri"/>
      <w:i/>
      <w:iCs/>
      <w:color w:val="2C5060"/>
      <w:sz w:val="24"/>
      <w:lang w:val="en-GB"/>
    </w:rPr>
  </w:style>
  <w:style w:type="character" w:styleId="IntenseReference">
    <w:name w:val="Intense Reference"/>
    <w:basedOn w:val="DefaultParagraphFont"/>
    <w:qFormat/>
    <w:rPr>
      <w:b/>
      <w:bCs/>
      <w:smallCaps/>
      <w:color w:val="2C5060"/>
      <w:spacing w:val="5"/>
    </w:rPr>
  </w:style>
  <w:style w:type="character" w:styleId="QuoteChar">
    <w:name w:val="Quote Char"/>
    <w:basedOn w:val="DefaultParagraphFont"/>
    <w:qFormat/>
    <w:rPr>
      <w:rFonts w:ascii="Arial" w:hAnsi="Arial" w:eastAsia="Calibri" w:cs="Calibri"/>
      <w:i/>
      <w:iCs/>
      <w:color w:val="404040"/>
      <w:sz w:val="24"/>
      <w:lang w:val="en-GB"/>
    </w:rPr>
  </w:style>
  <w:style w:type="character" w:styleId="SubtitleChar">
    <w:name w:val="Subtitle Char"/>
    <w:basedOn w:val="DefaultParagraphFont"/>
    <w:qFormat/>
    <w:rPr>
      <w:rFonts w:eastAsia=""/>
      <w:color w:val="5A5A5A"/>
      <w:spacing w:val="15"/>
      <w:lang w:val="en-GB"/>
    </w:rPr>
  </w:style>
  <w:style w:type="character" w:styleId="SubtleEmphasis">
    <w:name w:val="Subtle Emphasis"/>
    <w:basedOn w:val="DefaultParagraphFont"/>
    <w:qFormat/>
    <w:rPr>
      <w:i/>
      <w:iCs/>
      <w:color w:val="404040"/>
    </w:rPr>
  </w:style>
  <w:style w:type="character" w:styleId="SubtleReference">
    <w:name w:val="Subtle Reference"/>
    <w:basedOn w:val="DefaultParagraphFont"/>
    <w:qFormat/>
    <w:rPr>
      <w:smallCaps/>
      <w:color w:val="5A5A5A"/>
    </w:rPr>
  </w:style>
  <w:style w:type="character" w:styleId="Heading1Char">
    <w:name w:val="Heading 1 Char"/>
    <w:basedOn w:val="DefaultParagraphFont"/>
    <w:qFormat/>
    <w:rPr>
      <w:rFonts w:ascii="Arial" w:hAnsi="Arial" w:eastAsia="Calibri" w:cs="Calibri"/>
      <w:color w:val="FFFFFF"/>
      <w:sz w:val="44"/>
      <w:szCs w:val="40"/>
      <w:shd w:fill="004F6E" w:val="clear"/>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BodyA">
    <w:name w:val="Body A"/>
    <w:qFormat/>
    <w:pPr>
      <w:widowControl/>
      <w:suppressAutoHyphens w:val="true"/>
      <w:bidi w:val="0"/>
      <w:spacing w:before="0" w:after="0"/>
      <w:jc w:val="left"/>
    </w:pPr>
    <w:rPr>
      <w:rFonts w:ascii="Times New Roman" w:hAnsi="Times New Roman" w:eastAsia="Arial Unicode MS" w:cs="Arial Unicode MS"/>
      <w:color w:val="000000"/>
      <w:kern w:val="0"/>
      <w:sz w:val="24"/>
      <w:szCs w:val="24"/>
      <w:u w:val="none" w:color="000000"/>
      <w:lang w:val="en-US" w:eastAsia="en-GB" w:bidi="ar-SA"/>
    </w:rPr>
  </w:style>
  <w:style w:type="paragraph" w:styleId="ListBullet">
    <w:name w:val="List Bullet"/>
    <w:basedOn w:val="Normal"/>
    <w:qFormat/>
    <w:pPr>
      <w:widowControl/>
      <w:spacing w:lineRule="auto" w:line="276" w:before="0" w:after="160"/>
      <w:ind w:left="0" w:right="0" w:hanging="0"/>
      <w:contextualSpacing/>
    </w:pPr>
    <w:rPr>
      <w:rFonts w:ascii="Calibri" w:hAnsi="Calibri" w:eastAsia="" w:cs=""/>
      <w:color w:val="auto"/>
      <w:kern w:val="2"/>
      <w:szCs w:val="24"/>
      <w:lang w:val="en-US" w:eastAsia="zh-CN"/>
    </w:rPr>
  </w:style>
  <w:style w:type="paragraph" w:styleId="Pf0">
    <w:name w:val="pf0"/>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Caption1">
    <w:name w:val="caption"/>
    <w:basedOn w:val="Normal"/>
    <w:next w:val="Normal"/>
    <w:qFormat/>
    <w:pPr>
      <w:spacing w:lineRule="auto" w:line="240" w:before="0" w:after="200"/>
    </w:pPr>
    <w:rPr>
      <w:i/>
      <w:iCs/>
      <w:color w:val="44546A"/>
      <w:sz w:val="18"/>
      <w:szCs w:val="18"/>
    </w:rPr>
  </w:style>
  <w:style w:type="paragraph" w:styleId="IntenseQuote">
    <w:name w:val="Intense Quote"/>
    <w:basedOn w:val="Normal"/>
    <w:next w:val="Normal"/>
    <w:qFormat/>
    <w:pPr>
      <w:pBdr>
        <w:top w:val="single" w:sz="4" w:space="10" w:color="2C5060"/>
        <w:bottom w:val="single" w:sz="4" w:space="10" w:color="2C5060"/>
      </w:pBdr>
      <w:spacing w:before="360" w:after="360"/>
      <w:ind w:left="864" w:right="864" w:hanging="0"/>
      <w:jc w:val="center"/>
    </w:pPr>
    <w:rPr>
      <w:i/>
      <w:iCs/>
      <w:color w:val="2C5060"/>
    </w:rPr>
  </w:style>
  <w:style w:type="paragraph" w:styleId="NoSpacing">
    <w:name w:val="No Spacing"/>
    <w:qFormat/>
    <w:pPr>
      <w:widowControl w:val="false"/>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Quote">
    <w:name w:val="Quote"/>
    <w:basedOn w:val="Normal"/>
    <w:next w:val="Normal"/>
    <w:qFormat/>
    <w:pPr>
      <w:spacing w:before="200" w:after="160"/>
      <w:ind w:left="864" w:right="864" w:hanging="0"/>
      <w:jc w:val="center"/>
    </w:pPr>
    <w:rPr>
      <w:i/>
      <w:iCs/>
      <w:color w:val="404040"/>
    </w:rPr>
  </w:style>
  <w:style w:type="paragraph" w:styleId="Subtitle">
    <w:name w:val="Subtitle"/>
    <w:basedOn w:val="Normal"/>
    <w:next w:val="Normal"/>
    <w:qFormat/>
    <w:pPr>
      <w:spacing w:before="0" w:after="160"/>
    </w:pPr>
    <w:rPr>
      <w:rFonts w:ascii="Calibri" w:hAnsi="Calibri" w:eastAsia="" w:cs=""/>
      <w:color w:val="5A5A5A"/>
      <w:spacing w:val="15"/>
      <w:sz w:val="22"/>
    </w:rPr>
  </w:style>
  <w:style w:type="paragraph" w:styleId="TOCHeading">
    <w:name w:val="TOC Heading"/>
    <w:basedOn w:val="Heading1"/>
    <w:next w:val="Normal"/>
    <w:qFormat/>
    <w:pPr>
      <w:keepNext w:val="true"/>
      <w:keepLines/>
      <w:numPr>
        <w:ilvl w:val="0"/>
        <w:numId w:val="0"/>
      </w:numPr>
      <w:pBdr>
        <w:top w:val="nil"/>
        <w:left w:val="nil"/>
        <w:bottom w:val="nil"/>
        <w:right w:val="nil"/>
      </w:pBdr>
      <w:spacing w:lineRule="auto" w:line="360" w:before="240" w:after="0"/>
      <w:jc w:val="left"/>
    </w:pPr>
    <w:rPr>
      <w:rFonts w:ascii="Cambria" w:hAnsi="Cambria" w:eastAsia="" w:cs=""/>
      <w:b w:val="false"/>
      <w:bCs w:val="false"/>
      <w:color w:val="213B47"/>
      <w:sz w:val="32"/>
      <w:szCs w:val="32"/>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